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tabs>
          <w:tab w:val="left" w:pos="6909"/>
        </w:tabs>
        <w:kinsoku/>
        <w:wordWrap/>
        <w:bidi w:val="0"/>
        <w:rPr>
          <w:rFonts w:hint="default" w:ascii="Times New Roman" w:hAnsi="Times New Roman" w:cs="Times New Roman"/>
          <w:sz w:val="20"/>
        </w:rPr>
      </w:pPr>
    </w:p>
    <w:p>
      <w:pPr>
        <w:pStyle w:val="35"/>
        <w:pageBreakBefore w:val="0"/>
        <w:kinsoku/>
        <w:wordWrap/>
        <w:bidi w:val="0"/>
        <w:rPr>
          <w:rFonts w:hint="default" w:ascii="Times New Roman" w:hAnsi="Times New Roman" w:cs="Times New Roman"/>
          <w:sz w:val="20"/>
        </w:rPr>
      </w:pPr>
    </w:p>
    <w:p>
      <w:pPr>
        <w:pStyle w:val="35"/>
        <w:pageBreakBefore w:val="0"/>
        <w:kinsoku/>
        <w:wordWrap/>
        <w:bidi w:val="0"/>
        <w:spacing w:before="1"/>
        <w:rPr>
          <w:rFonts w:hint="default" w:ascii="Times New Roman" w:hAnsi="Times New Roman" w:cs="Times New Roman"/>
          <w:sz w:val="25"/>
        </w:rPr>
      </w:pPr>
    </w:p>
    <w:p>
      <w:pPr>
        <w:pageBreakBefore w:val="0"/>
        <w:kinsoku/>
        <w:wordWrap/>
        <w:bidi w:val="0"/>
        <w:spacing w:before="38"/>
        <w:ind w:left="209" w:right="1"/>
        <w:jc w:val="center"/>
        <w:rPr>
          <w:rFonts w:hint="default" w:ascii="Times New Roman" w:hAnsi="Times New Roman" w:eastAsia="宋体" w:cs="Times New Roman"/>
          <w:b/>
          <w:sz w:val="36"/>
          <w:szCs w:val="36"/>
          <w:highlight w:val="none"/>
          <w:lang w:eastAsia="zh-CN"/>
        </w:rPr>
      </w:pPr>
      <w:r>
        <w:rPr>
          <w:rFonts w:hint="default" w:ascii="Times New Roman" w:hAnsi="Times New Roman" w:cs="Times New Roman"/>
          <w:b/>
          <w:sz w:val="36"/>
          <w:szCs w:val="36"/>
          <w:highlight w:val="none"/>
          <w:lang w:eastAsia="zh-CN"/>
        </w:rPr>
        <w:t>长春国际物流经济开发区新兴建材产业园区建设项目</w:t>
      </w:r>
    </w:p>
    <w:p>
      <w:pPr>
        <w:pStyle w:val="35"/>
        <w:pageBreakBefore w:val="0"/>
        <w:kinsoku/>
        <w:wordWrap/>
        <w:bidi w:val="0"/>
        <w:spacing w:before="7"/>
        <w:rPr>
          <w:rFonts w:hint="default" w:ascii="Times New Roman" w:hAnsi="Times New Roman" w:cs="Times New Roman"/>
          <w:b/>
          <w:sz w:val="38"/>
          <w:highlight w:val="none"/>
        </w:rPr>
      </w:pPr>
    </w:p>
    <w:p>
      <w:pPr>
        <w:pageBreakBefore w:val="0"/>
        <w:kinsoku/>
        <w:wordWrap/>
        <w:bidi w:val="0"/>
        <w:ind w:left="209" w:right="12"/>
        <w:jc w:val="center"/>
        <w:rPr>
          <w:rFonts w:hint="default" w:ascii="Times New Roman" w:hAnsi="Times New Roman" w:eastAsia="黑体" w:cs="Times New Roman"/>
          <w:bCs/>
          <w:sz w:val="72"/>
          <w:szCs w:val="72"/>
          <w:highlight w:val="none"/>
        </w:rPr>
      </w:pPr>
      <w:r>
        <w:rPr>
          <w:rFonts w:hint="default" w:ascii="Times New Roman" w:hAnsi="Times New Roman" w:eastAsia="黑体" w:cs="Times New Roman"/>
          <w:bCs/>
          <w:sz w:val="72"/>
          <w:szCs w:val="72"/>
          <w:highlight w:val="none"/>
        </w:rPr>
        <w:t>水土保持方案报告书</w:t>
      </w:r>
    </w:p>
    <w:p>
      <w:pPr>
        <w:pageBreakBefore w:val="0"/>
        <w:kinsoku/>
        <w:wordWrap/>
        <w:bidi w:val="0"/>
        <w:spacing w:before="38"/>
        <w:ind w:left="209" w:right="1"/>
        <w:jc w:val="center"/>
        <w:rPr>
          <w:rFonts w:hint="eastAsia" w:ascii="Times New Roman" w:hAnsi="Times New Roman" w:cs="Times New Roman"/>
          <w:b/>
          <w:sz w:val="36"/>
          <w:szCs w:val="36"/>
          <w:highlight w:val="none"/>
          <w:lang w:eastAsia="zh-CN"/>
        </w:rPr>
      </w:pPr>
    </w:p>
    <w:p>
      <w:pPr>
        <w:pageBreakBefore w:val="0"/>
        <w:kinsoku/>
        <w:wordWrap/>
        <w:bidi w:val="0"/>
        <w:spacing w:before="38"/>
        <w:ind w:left="209" w:right="1"/>
        <w:jc w:val="center"/>
        <w:rPr>
          <w:rFonts w:hint="eastAsia" w:ascii="Times New Roman" w:hAnsi="Times New Roman" w:cs="Times New Roman"/>
          <w:b/>
          <w:sz w:val="36"/>
          <w:szCs w:val="36"/>
          <w:highlight w:val="none"/>
          <w:lang w:eastAsia="zh-CN"/>
        </w:rPr>
      </w:pPr>
      <w:r>
        <w:rPr>
          <w:rFonts w:hint="eastAsia" w:ascii="Times New Roman" w:hAnsi="Times New Roman" w:cs="Times New Roman"/>
          <w:b/>
          <w:sz w:val="36"/>
          <w:szCs w:val="36"/>
          <w:highlight w:val="none"/>
          <w:lang w:eastAsia="zh-CN"/>
        </w:rPr>
        <w:t>（</w:t>
      </w:r>
      <w:r>
        <w:rPr>
          <w:rFonts w:hint="eastAsia" w:ascii="Times New Roman" w:hAnsi="Times New Roman" w:cs="Times New Roman"/>
          <w:b/>
          <w:sz w:val="36"/>
          <w:szCs w:val="36"/>
          <w:highlight w:val="none"/>
          <w:lang w:val="en-US" w:eastAsia="zh-CN"/>
        </w:rPr>
        <w:t>B地块补充</w:t>
      </w:r>
      <w:r>
        <w:rPr>
          <w:rFonts w:hint="eastAsia" w:ascii="Times New Roman" w:hAnsi="Times New Roman" w:cs="Times New Roman"/>
          <w:b/>
          <w:sz w:val="36"/>
          <w:szCs w:val="36"/>
          <w:highlight w:val="none"/>
          <w:lang w:eastAsia="zh-CN"/>
        </w:rPr>
        <w:t>）</w:t>
      </w:r>
    </w:p>
    <w:p>
      <w:pPr>
        <w:pStyle w:val="35"/>
        <w:pageBreakBefore w:val="0"/>
        <w:kinsoku/>
        <w:wordWrap/>
        <w:bidi w:val="0"/>
        <w:rPr>
          <w:rFonts w:hint="default" w:ascii="Times New Roman" w:hAnsi="Times New Roman" w:cs="Times New Roman"/>
          <w:b/>
          <w:sz w:val="44"/>
          <w:highlight w:val="none"/>
        </w:rPr>
      </w:pPr>
    </w:p>
    <w:p>
      <w:pPr>
        <w:pStyle w:val="35"/>
        <w:pageBreakBefore w:val="0"/>
        <w:kinsoku/>
        <w:wordWrap/>
        <w:bidi w:val="0"/>
        <w:rPr>
          <w:rFonts w:hint="default" w:ascii="Times New Roman" w:hAnsi="Times New Roman" w:cs="Times New Roman"/>
          <w:b/>
          <w:sz w:val="44"/>
          <w:highlight w:val="none"/>
        </w:rPr>
      </w:pPr>
    </w:p>
    <w:p>
      <w:pPr>
        <w:pStyle w:val="35"/>
        <w:pageBreakBefore w:val="0"/>
        <w:kinsoku/>
        <w:wordWrap/>
        <w:bidi w:val="0"/>
        <w:rPr>
          <w:rFonts w:hint="default" w:ascii="Times New Roman" w:hAnsi="Times New Roman" w:cs="Times New Roman"/>
          <w:b/>
          <w:sz w:val="44"/>
          <w:highlight w:val="none"/>
        </w:rPr>
      </w:pPr>
    </w:p>
    <w:p>
      <w:pPr>
        <w:pStyle w:val="35"/>
        <w:pageBreakBefore w:val="0"/>
        <w:kinsoku/>
        <w:wordWrap/>
        <w:bidi w:val="0"/>
        <w:rPr>
          <w:rFonts w:hint="default" w:ascii="Times New Roman" w:hAnsi="Times New Roman" w:cs="Times New Roman"/>
          <w:b/>
          <w:sz w:val="44"/>
          <w:highlight w:val="none"/>
        </w:rPr>
      </w:pPr>
    </w:p>
    <w:p>
      <w:pPr>
        <w:pStyle w:val="35"/>
        <w:pageBreakBefore w:val="0"/>
        <w:kinsoku/>
        <w:wordWrap/>
        <w:bidi w:val="0"/>
        <w:rPr>
          <w:rFonts w:hint="default" w:ascii="Times New Roman" w:hAnsi="Times New Roman" w:cs="Times New Roman"/>
          <w:b/>
          <w:sz w:val="44"/>
          <w:highlight w:val="none"/>
        </w:rPr>
      </w:pPr>
    </w:p>
    <w:p>
      <w:pPr>
        <w:pStyle w:val="35"/>
        <w:pageBreakBefore w:val="0"/>
        <w:kinsoku/>
        <w:wordWrap/>
        <w:bidi w:val="0"/>
        <w:rPr>
          <w:rFonts w:hint="default" w:ascii="Times New Roman" w:hAnsi="Times New Roman" w:cs="Times New Roman"/>
          <w:b/>
          <w:sz w:val="44"/>
          <w:highlight w:val="none"/>
        </w:rPr>
      </w:pPr>
    </w:p>
    <w:p>
      <w:pPr>
        <w:pStyle w:val="35"/>
        <w:pageBreakBefore w:val="0"/>
        <w:kinsoku/>
        <w:wordWrap/>
        <w:bidi w:val="0"/>
        <w:rPr>
          <w:rFonts w:hint="default" w:ascii="Times New Roman" w:hAnsi="Times New Roman" w:cs="Times New Roman"/>
          <w:b/>
          <w:sz w:val="44"/>
          <w:highlight w:val="none"/>
        </w:rPr>
      </w:pPr>
    </w:p>
    <w:p>
      <w:pPr>
        <w:pStyle w:val="35"/>
        <w:pageBreakBefore w:val="0"/>
        <w:kinsoku/>
        <w:wordWrap/>
        <w:bidi w:val="0"/>
        <w:rPr>
          <w:rFonts w:hint="default" w:ascii="Times New Roman" w:hAnsi="Times New Roman" w:cs="Times New Roman"/>
          <w:b/>
          <w:sz w:val="44"/>
          <w:highlight w:val="none"/>
        </w:rPr>
      </w:pPr>
    </w:p>
    <w:p>
      <w:pPr>
        <w:pStyle w:val="35"/>
        <w:pageBreakBefore w:val="0"/>
        <w:kinsoku/>
        <w:wordWrap/>
        <w:bidi w:val="0"/>
        <w:rPr>
          <w:rFonts w:hint="default" w:ascii="Times New Roman" w:hAnsi="Times New Roman" w:cs="Times New Roman"/>
          <w:b/>
          <w:sz w:val="44"/>
          <w:highlight w:val="none"/>
        </w:rPr>
      </w:pPr>
    </w:p>
    <w:p>
      <w:pPr>
        <w:pStyle w:val="35"/>
        <w:pageBreakBefore w:val="0"/>
        <w:kinsoku/>
        <w:wordWrap/>
        <w:bidi w:val="0"/>
        <w:rPr>
          <w:rFonts w:hint="default" w:ascii="Times New Roman" w:hAnsi="Times New Roman" w:cs="Times New Roman"/>
          <w:b/>
          <w:sz w:val="44"/>
          <w:highlight w:val="none"/>
        </w:rPr>
      </w:pPr>
    </w:p>
    <w:p>
      <w:pPr>
        <w:pageBreakBefore w:val="0"/>
        <w:kinsoku/>
        <w:wordWrap/>
        <w:bidi w:val="0"/>
        <w:rPr>
          <w:rFonts w:hint="default" w:ascii="Times New Roman" w:hAnsi="Times New Roman" w:cs="Times New Roman"/>
          <w:b/>
          <w:sz w:val="44"/>
          <w:highlight w:val="none"/>
        </w:rPr>
      </w:pPr>
    </w:p>
    <w:p>
      <w:pPr>
        <w:pStyle w:val="87"/>
        <w:pageBreakBefore w:val="0"/>
        <w:kinsoku/>
        <w:wordWrap/>
        <w:bidi w:val="0"/>
        <w:ind w:left="0" w:leftChars="0" w:firstLine="0" w:firstLineChars="0"/>
        <w:rPr>
          <w:rFonts w:hint="default" w:ascii="Times New Roman" w:hAnsi="Times New Roman" w:cs="Times New Roman"/>
          <w:b/>
          <w:sz w:val="44"/>
          <w:highlight w:val="none"/>
        </w:rPr>
      </w:pPr>
    </w:p>
    <w:p>
      <w:pPr>
        <w:pStyle w:val="86"/>
        <w:pageBreakBefore w:val="0"/>
        <w:kinsoku/>
        <w:wordWrap/>
        <w:bidi w:val="0"/>
        <w:ind w:left="0" w:leftChars="0" w:firstLine="0" w:firstLineChars="0"/>
        <w:rPr>
          <w:rFonts w:hint="default" w:ascii="Times New Roman" w:hAnsi="Times New Roman" w:cs="Times New Roman"/>
          <w:highlight w:val="none"/>
        </w:rPr>
      </w:pPr>
    </w:p>
    <w:p>
      <w:pPr>
        <w:pStyle w:val="35"/>
        <w:pageBreakBefore w:val="0"/>
        <w:kinsoku/>
        <w:wordWrap/>
        <w:bidi w:val="0"/>
        <w:spacing w:before="2"/>
        <w:rPr>
          <w:rFonts w:hint="default" w:ascii="Times New Roman" w:hAnsi="Times New Roman" w:cs="Times New Roman"/>
          <w:b/>
          <w:sz w:val="36"/>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1920" w:firstLineChars="600"/>
        <w:jc w:val="left"/>
        <w:textAlignment w:val="auto"/>
        <w:rPr>
          <w:rFonts w:hint="default" w:ascii="Times New Roman" w:hAnsi="Times New Roman" w:eastAsia="宋体" w:cs="Times New Roman"/>
          <w:sz w:val="32"/>
          <w:highlight w:val="none"/>
          <w:lang w:eastAsia="zh-CN"/>
        </w:rPr>
      </w:pPr>
      <w:r>
        <w:rPr>
          <w:rFonts w:hint="default" w:ascii="Times New Roman" w:hAnsi="Times New Roman" w:cs="Times New Roman"/>
          <w:sz w:val="32"/>
          <w:highlight w:val="none"/>
        </w:rPr>
        <w:t>建设单位：</w:t>
      </w:r>
      <w:r>
        <w:rPr>
          <w:rFonts w:hint="default" w:ascii="Times New Roman" w:hAnsi="Times New Roman" w:cs="Times New Roman"/>
          <w:sz w:val="32"/>
          <w:highlight w:val="none"/>
          <w:lang w:eastAsia="zh-CN"/>
        </w:rPr>
        <w:t>长春市瑞通投资有限公司</w:t>
      </w:r>
    </w:p>
    <w:p>
      <w:pPr>
        <w:keepNext w:val="0"/>
        <w:keepLines w:val="0"/>
        <w:pageBreakBefore w:val="0"/>
        <w:widowControl w:val="0"/>
        <w:tabs>
          <w:tab w:val="left" w:pos="5288"/>
        </w:tabs>
        <w:kinsoku/>
        <w:wordWrap/>
        <w:overflowPunct/>
        <w:topLinePunct w:val="0"/>
        <w:autoSpaceDE/>
        <w:autoSpaceDN/>
        <w:bidi w:val="0"/>
        <w:adjustRightInd/>
        <w:snapToGrid/>
        <w:spacing w:line="360" w:lineRule="auto"/>
        <w:ind w:left="0" w:leftChars="0" w:right="0" w:firstLine="1920" w:firstLineChars="600"/>
        <w:jc w:val="left"/>
        <w:textAlignment w:val="auto"/>
        <w:rPr>
          <w:rFonts w:hint="default" w:ascii="Times New Roman" w:hAnsi="Times New Roman" w:eastAsia="宋体" w:cs="Times New Roman"/>
          <w:b/>
          <w:bCs/>
          <w:sz w:val="32"/>
          <w:highlight w:val="none"/>
          <w:lang w:eastAsia="zh-CN"/>
        </w:rPr>
      </w:pPr>
      <w:r>
        <w:rPr>
          <w:rFonts w:hint="default" w:ascii="Times New Roman" w:hAnsi="Times New Roman" w:cs="Times New Roman"/>
          <w:sz w:val="32"/>
          <w:highlight w:val="none"/>
        </w:rPr>
        <w:t>编制单位：</w:t>
      </w:r>
      <w:r>
        <w:rPr>
          <w:rFonts w:hint="eastAsia" w:cs="Times New Roman"/>
          <w:sz w:val="32"/>
          <w:highlight w:val="none"/>
          <w:lang w:eastAsia="zh-CN"/>
        </w:rPr>
        <w:t>吉林省晟元工程咨询有限公司</w:t>
      </w:r>
    </w:p>
    <w:p>
      <w:pPr>
        <w:keepNext w:val="0"/>
        <w:keepLines w:val="0"/>
        <w:pageBreakBefore w:val="0"/>
        <w:widowControl w:val="0"/>
        <w:tabs>
          <w:tab w:val="left" w:pos="5288"/>
        </w:tabs>
        <w:kinsoku/>
        <w:wordWrap/>
        <w:overflowPunct/>
        <w:topLinePunct w:val="0"/>
        <w:autoSpaceDE/>
        <w:autoSpaceDN/>
        <w:bidi w:val="0"/>
        <w:adjustRightInd/>
        <w:snapToGrid/>
        <w:spacing w:line="360" w:lineRule="auto"/>
        <w:ind w:left="0" w:leftChars="0" w:right="0" w:firstLine="0" w:firstLineChars="0"/>
        <w:jc w:val="center"/>
        <w:textAlignment w:val="auto"/>
        <w:rPr>
          <w:rFonts w:hint="default" w:ascii="Times New Roman" w:hAnsi="Times New Roman" w:cs="Times New Roman"/>
          <w:sz w:val="32"/>
          <w:highlight w:val="none"/>
          <w:lang w:eastAsia="zh-CN"/>
        </w:rPr>
      </w:pPr>
    </w:p>
    <w:p>
      <w:pPr>
        <w:keepNext w:val="0"/>
        <w:keepLines w:val="0"/>
        <w:pageBreakBefore w:val="0"/>
        <w:widowControl w:val="0"/>
        <w:tabs>
          <w:tab w:val="left" w:pos="5288"/>
        </w:tabs>
        <w:kinsoku/>
        <w:wordWrap/>
        <w:overflowPunct/>
        <w:topLinePunct w:val="0"/>
        <w:autoSpaceDE/>
        <w:autoSpaceDN/>
        <w:bidi w:val="0"/>
        <w:adjustRightInd/>
        <w:snapToGrid/>
        <w:spacing w:line="360" w:lineRule="auto"/>
        <w:ind w:left="0" w:leftChars="0" w:right="0" w:firstLine="0" w:firstLineChars="0"/>
        <w:jc w:val="center"/>
        <w:textAlignment w:val="auto"/>
        <w:rPr>
          <w:rFonts w:hint="default" w:ascii="Times New Roman" w:hAnsi="Times New Roman" w:cs="Times New Roman"/>
          <w:sz w:val="32"/>
          <w:highlight w:val="none"/>
          <w:lang w:eastAsia="zh-CN"/>
        </w:rPr>
      </w:pPr>
      <w:r>
        <w:rPr>
          <w:rFonts w:hint="eastAsia" w:cs="Times New Roman"/>
          <w:sz w:val="32"/>
          <w:highlight w:val="none"/>
          <w:lang w:eastAsia="zh-CN"/>
        </w:rPr>
        <w:t>二〇二三年五月</w:t>
      </w:r>
    </w:p>
    <w:p>
      <w:pPr>
        <w:pStyle w:val="87"/>
        <w:pageBreakBefore w:val="0"/>
        <w:kinsoku/>
        <w:wordWrap/>
        <w:bidi w:val="0"/>
        <w:ind w:left="0" w:leftChars="0" w:firstLine="0" w:firstLineChars="0"/>
        <w:rPr>
          <w:rFonts w:hint="default" w:ascii="Times New Roman" w:hAnsi="Times New Roman" w:cs="Times New Roman"/>
          <w:sz w:val="32"/>
          <w:highlight w:val="none"/>
          <w:lang w:eastAsia="zh-CN"/>
        </w:rPr>
      </w:pPr>
    </w:p>
    <w:p>
      <w:pPr>
        <w:pStyle w:val="37"/>
        <w:pageBreakBefore w:val="0"/>
        <w:kinsoku/>
        <w:wordWrap/>
        <w:bidi w:val="0"/>
        <w:rPr>
          <w:rFonts w:hint="default" w:ascii="Times New Roman" w:hAnsi="Times New Roman" w:cs="Times New Roman"/>
          <w:lang w:eastAsia="zh-CN"/>
        </w:rPr>
        <w:sectPr>
          <w:pgSz w:w="11910" w:h="16850"/>
          <w:pgMar w:top="1460" w:right="1240" w:bottom="280" w:left="1260" w:header="720" w:footer="720" w:gutter="0"/>
          <w:pgBorders>
            <w:top w:val="none" w:sz="0" w:space="0"/>
            <w:left w:val="none" w:sz="0" w:space="0"/>
            <w:bottom w:val="none" w:sz="0" w:space="0"/>
            <w:right w:val="none" w:sz="0" w:space="0"/>
          </w:pgBorders>
          <w:pgNumType w:fmt="decimal"/>
          <w:cols w:space="720" w:num="1"/>
        </w:sectPr>
      </w:pPr>
    </w:p>
    <w:p>
      <w:pPr>
        <w:pageBreakBefore w:val="0"/>
        <w:kinsoku/>
        <w:wordWrap/>
        <w:bidi w:val="0"/>
        <w:adjustRightInd w:val="0"/>
        <w:snapToGrid w:val="0"/>
        <w:spacing w:before="120" w:line="360" w:lineRule="auto"/>
        <w:jc w:val="center"/>
        <w:rPr>
          <w:rFonts w:hint="default" w:ascii="Times New Roman" w:hAnsi="Times New Roman" w:eastAsia="黑体" w:cs="Times New Roman"/>
          <w:bCs/>
          <w:sz w:val="32"/>
          <w:szCs w:val="32"/>
          <w:highlight w:val="none"/>
          <w:lang w:val="zh-CN"/>
        </w:rPr>
      </w:pPr>
      <w:r>
        <w:rPr>
          <w:rFonts w:hint="eastAsia" w:eastAsia="黑体" w:cs="Times New Roman"/>
          <w:bCs/>
          <w:sz w:val="32"/>
          <w:szCs w:val="32"/>
          <w:highlight w:val="none"/>
          <w:lang w:val="zh-CN" w:eastAsia="zh-CN"/>
        </w:rPr>
        <w:t>长春国际物流经济开发区新兴建材产业园区建设</w:t>
      </w:r>
      <w:r>
        <w:rPr>
          <w:rFonts w:hint="eastAsia" w:eastAsia="黑体" w:cs="Times New Roman"/>
          <w:bCs/>
          <w:sz w:val="32"/>
          <w:szCs w:val="32"/>
          <w:highlight w:val="none"/>
          <w:lang w:val="zh-CN"/>
        </w:rPr>
        <w:t>项目</w:t>
      </w:r>
    </w:p>
    <w:p>
      <w:pPr>
        <w:pageBreakBefore w:val="0"/>
        <w:kinsoku/>
        <w:wordWrap/>
        <w:bidi w:val="0"/>
        <w:adjustRightInd w:val="0"/>
        <w:snapToGrid w:val="0"/>
        <w:spacing w:before="120" w:line="360" w:lineRule="auto"/>
        <w:jc w:val="center"/>
        <w:rPr>
          <w:rFonts w:hint="default" w:ascii="Times New Roman" w:hAnsi="Times New Roman" w:eastAsia="黑体" w:cs="Times New Roman"/>
          <w:bCs/>
          <w:sz w:val="32"/>
          <w:szCs w:val="32"/>
          <w:highlight w:val="none"/>
          <w:lang w:val="zh-CN"/>
        </w:rPr>
      </w:pPr>
      <w:r>
        <w:rPr>
          <w:rFonts w:hint="default" w:ascii="Times New Roman" w:hAnsi="Times New Roman" w:eastAsia="黑体" w:cs="Times New Roman"/>
          <w:bCs/>
          <w:sz w:val="32"/>
          <w:szCs w:val="32"/>
          <w:highlight w:val="none"/>
          <w:lang w:val="zh-CN"/>
        </w:rPr>
        <w:t>水土保持方案报告书</w:t>
      </w:r>
      <w:r>
        <w:rPr>
          <w:rFonts w:hint="eastAsia" w:eastAsia="黑体" w:cs="Times New Roman"/>
          <w:bCs/>
          <w:sz w:val="32"/>
          <w:szCs w:val="32"/>
          <w:highlight w:val="none"/>
          <w:lang w:val="zh-CN"/>
        </w:rPr>
        <w:t>（</w:t>
      </w:r>
      <w:r>
        <w:rPr>
          <w:rFonts w:hint="eastAsia" w:eastAsia="黑体" w:cs="Times New Roman"/>
          <w:bCs/>
          <w:sz w:val="32"/>
          <w:szCs w:val="32"/>
          <w:highlight w:val="none"/>
          <w:lang w:val="en-US" w:eastAsia="zh-CN"/>
        </w:rPr>
        <w:t>B地块补充</w:t>
      </w:r>
      <w:r>
        <w:rPr>
          <w:rFonts w:hint="eastAsia" w:eastAsia="黑体" w:cs="Times New Roman"/>
          <w:bCs/>
          <w:sz w:val="32"/>
          <w:szCs w:val="32"/>
          <w:highlight w:val="none"/>
          <w:lang w:val="zh-CN"/>
        </w:rPr>
        <w:t>）</w:t>
      </w:r>
    </w:p>
    <w:p>
      <w:pPr>
        <w:pageBreakBefore w:val="0"/>
        <w:kinsoku/>
        <w:wordWrap/>
        <w:bidi w:val="0"/>
        <w:adjustRightInd w:val="0"/>
        <w:snapToGrid w:val="0"/>
        <w:spacing w:before="120" w:line="360" w:lineRule="auto"/>
        <w:jc w:val="center"/>
        <w:rPr>
          <w:rFonts w:hint="default" w:ascii="Times New Roman" w:hAnsi="Times New Roman" w:eastAsia="黑体" w:cs="Times New Roman"/>
          <w:bCs/>
          <w:sz w:val="32"/>
          <w:szCs w:val="32"/>
          <w:highlight w:val="none"/>
          <w:lang w:val="zh-CN"/>
        </w:rPr>
      </w:pPr>
      <w:r>
        <w:rPr>
          <w:rFonts w:hint="default" w:ascii="Times New Roman" w:hAnsi="Times New Roman" w:eastAsia="黑体" w:cs="Times New Roman"/>
          <w:bCs/>
          <w:sz w:val="32"/>
          <w:szCs w:val="32"/>
          <w:highlight w:val="none"/>
          <w:lang w:val="zh-CN"/>
        </w:rPr>
        <w:t>责任页</w:t>
      </w:r>
    </w:p>
    <w:p>
      <w:pPr>
        <w:pStyle w:val="35"/>
        <w:pageBreakBefore w:val="0"/>
        <w:kinsoku/>
        <w:wordWrap/>
        <w:bidi w:val="0"/>
        <w:jc w:val="center"/>
        <w:rPr>
          <w:rFonts w:hint="default" w:ascii="Times New Roman" w:hAnsi="Times New Roman" w:cs="Times New Roman"/>
          <w:sz w:val="28"/>
          <w:szCs w:val="28"/>
          <w:highlight w:val="none"/>
        </w:rPr>
      </w:pPr>
      <w:r>
        <w:rPr>
          <w:rFonts w:hint="eastAsia" w:cs="Times New Roman"/>
          <w:sz w:val="28"/>
          <w:szCs w:val="28"/>
          <w:highlight w:val="none"/>
          <w:lang w:eastAsia="zh-CN"/>
        </w:rPr>
        <w:t>吉林省晟元工程咨询有限公司</w:t>
      </w:r>
    </w:p>
    <w:tbl>
      <w:tblPr>
        <w:tblStyle w:val="88"/>
        <w:tblW w:w="0" w:type="auto"/>
        <w:jc w:val="center"/>
        <w:tblLayout w:type="autofit"/>
        <w:tblCellMar>
          <w:top w:w="0" w:type="dxa"/>
          <w:left w:w="108" w:type="dxa"/>
          <w:bottom w:w="0" w:type="dxa"/>
          <w:right w:w="108" w:type="dxa"/>
        </w:tblCellMar>
      </w:tblPr>
      <w:tblGrid>
        <w:gridCol w:w="1985"/>
        <w:gridCol w:w="2126"/>
        <w:gridCol w:w="3402"/>
      </w:tblGrid>
      <w:tr>
        <w:tblPrEx>
          <w:tblCellMar>
            <w:top w:w="0" w:type="dxa"/>
            <w:left w:w="108" w:type="dxa"/>
            <w:bottom w:w="0" w:type="dxa"/>
            <w:right w:w="108" w:type="dxa"/>
          </w:tblCellMar>
        </w:tblPrEx>
        <w:trPr>
          <w:trHeight w:val="907" w:hRule="exact"/>
          <w:jc w:val="center"/>
        </w:trPr>
        <w:tc>
          <w:tcPr>
            <w:tcW w:w="1985" w:type="dxa"/>
            <w:noWrap w:val="0"/>
            <w:vAlign w:val="center"/>
          </w:tcPr>
          <w:p>
            <w:pPr>
              <w:pageBreakBefore w:val="0"/>
              <w:kinsoku/>
              <w:wordWrap/>
              <w:bidi w:val="0"/>
              <w:adjustRightInd w:val="0"/>
              <w:snapToGrid w:val="0"/>
              <w:ind w:left="155" w:leftChars="74" w:right="158" w:rightChars="75"/>
              <w:jc w:val="distribute"/>
              <w:rPr>
                <w:rFonts w:hint="default" w:ascii="Times New Roman" w:hAnsi="Times New Roman" w:eastAsia="黑体" w:cs="Times New Roman"/>
                <w:bCs/>
                <w:sz w:val="28"/>
                <w:szCs w:val="28"/>
                <w:highlight w:val="none"/>
              </w:rPr>
            </w:pPr>
            <w:r>
              <w:rPr>
                <w:rFonts w:hint="default" w:ascii="Times New Roman" w:hAnsi="Times New Roman" w:eastAsia="黑体" w:cs="Times New Roman"/>
                <w:bCs/>
                <w:sz w:val="28"/>
                <w:szCs w:val="28"/>
                <w:highlight w:val="none"/>
              </w:rPr>
              <w:t>批准</w:t>
            </w:r>
          </w:p>
        </w:tc>
        <w:tc>
          <w:tcPr>
            <w:tcW w:w="5528" w:type="dxa"/>
            <w:gridSpan w:val="2"/>
            <w:noWrap w:val="0"/>
            <w:vAlign w:val="center"/>
          </w:tcPr>
          <w:p>
            <w:pPr>
              <w:pageBreakBefore w:val="0"/>
              <w:kinsoku/>
              <w:wordWrap/>
              <w:bidi w:val="0"/>
              <w:adjustRightInd w:val="0"/>
              <w:snapToGrid w:val="0"/>
              <w:jc w:val="center"/>
              <w:rPr>
                <w:rFonts w:hint="default" w:ascii="Times New Roman" w:hAnsi="Times New Roman" w:eastAsia="黑体" w:cs="Times New Roman"/>
                <w:b/>
                <w:sz w:val="32"/>
                <w:szCs w:val="32"/>
                <w:highlight w:val="none"/>
              </w:rPr>
            </w:pPr>
          </w:p>
        </w:tc>
      </w:tr>
      <w:tr>
        <w:tblPrEx>
          <w:tblCellMar>
            <w:top w:w="0" w:type="dxa"/>
            <w:left w:w="108" w:type="dxa"/>
            <w:bottom w:w="0" w:type="dxa"/>
            <w:right w:w="108" w:type="dxa"/>
          </w:tblCellMar>
        </w:tblPrEx>
        <w:trPr>
          <w:trHeight w:val="907" w:hRule="exact"/>
          <w:jc w:val="center"/>
        </w:trPr>
        <w:tc>
          <w:tcPr>
            <w:tcW w:w="1985" w:type="dxa"/>
            <w:noWrap w:val="0"/>
            <w:vAlign w:val="center"/>
          </w:tcPr>
          <w:p>
            <w:pPr>
              <w:pageBreakBefore w:val="0"/>
              <w:kinsoku/>
              <w:wordWrap/>
              <w:bidi w:val="0"/>
              <w:adjustRightInd w:val="0"/>
              <w:snapToGrid w:val="0"/>
              <w:ind w:left="155" w:leftChars="74" w:right="158" w:rightChars="75"/>
              <w:jc w:val="distribute"/>
              <w:rPr>
                <w:rFonts w:hint="default" w:ascii="Times New Roman" w:hAnsi="Times New Roman" w:eastAsia="黑体" w:cs="Times New Roman"/>
                <w:bCs/>
                <w:sz w:val="28"/>
                <w:szCs w:val="28"/>
                <w:highlight w:val="none"/>
              </w:rPr>
            </w:pPr>
            <w:r>
              <w:rPr>
                <w:rFonts w:hint="default" w:ascii="Times New Roman" w:hAnsi="Times New Roman" w:eastAsia="黑体" w:cs="Times New Roman"/>
                <w:bCs/>
                <w:sz w:val="28"/>
                <w:szCs w:val="28"/>
                <w:highlight w:val="none"/>
              </w:rPr>
              <w:t>核定</w:t>
            </w:r>
          </w:p>
        </w:tc>
        <w:tc>
          <w:tcPr>
            <w:tcW w:w="5528" w:type="dxa"/>
            <w:gridSpan w:val="2"/>
            <w:noWrap w:val="0"/>
            <w:vAlign w:val="center"/>
          </w:tcPr>
          <w:p>
            <w:pPr>
              <w:pageBreakBefore w:val="0"/>
              <w:kinsoku/>
              <w:wordWrap/>
              <w:bidi w:val="0"/>
              <w:adjustRightInd w:val="0"/>
              <w:snapToGrid w:val="0"/>
              <w:jc w:val="center"/>
              <w:rPr>
                <w:rFonts w:hint="default" w:ascii="Times New Roman" w:hAnsi="Times New Roman" w:eastAsia="黑体" w:cs="Times New Roman"/>
                <w:b/>
                <w:sz w:val="32"/>
                <w:szCs w:val="32"/>
                <w:highlight w:val="none"/>
              </w:rPr>
            </w:pPr>
          </w:p>
        </w:tc>
      </w:tr>
      <w:tr>
        <w:tblPrEx>
          <w:tblCellMar>
            <w:top w:w="0" w:type="dxa"/>
            <w:left w:w="108" w:type="dxa"/>
            <w:bottom w:w="0" w:type="dxa"/>
            <w:right w:w="108" w:type="dxa"/>
          </w:tblCellMar>
        </w:tblPrEx>
        <w:trPr>
          <w:trHeight w:val="907" w:hRule="exact"/>
          <w:jc w:val="center"/>
        </w:trPr>
        <w:tc>
          <w:tcPr>
            <w:tcW w:w="1985" w:type="dxa"/>
            <w:noWrap w:val="0"/>
            <w:vAlign w:val="center"/>
          </w:tcPr>
          <w:p>
            <w:pPr>
              <w:pageBreakBefore w:val="0"/>
              <w:kinsoku/>
              <w:wordWrap/>
              <w:bidi w:val="0"/>
              <w:adjustRightInd w:val="0"/>
              <w:snapToGrid w:val="0"/>
              <w:ind w:left="155" w:leftChars="74" w:right="158" w:rightChars="75"/>
              <w:jc w:val="distribute"/>
              <w:rPr>
                <w:rFonts w:hint="default" w:ascii="Times New Roman" w:hAnsi="Times New Roman" w:eastAsia="黑体" w:cs="Times New Roman"/>
                <w:bCs/>
                <w:sz w:val="28"/>
                <w:szCs w:val="28"/>
                <w:highlight w:val="none"/>
              </w:rPr>
            </w:pPr>
            <w:r>
              <w:rPr>
                <w:rFonts w:hint="default" w:ascii="Times New Roman" w:hAnsi="Times New Roman" w:eastAsia="黑体" w:cs="Times New Roman"/>
                <w:bCs/>
                <w:sz w:val="28"/>
                <w:szCs w:val="28"/>
                <w:highlight w:val="none"/>
              </w:rPr>
              <w:t>审查</w:t>
            </w:r>
          </w:p>
        </w:tc>
        <w:tc>
          <w:tcPr>
            <w:tcW w:w="5528" w:type="dxa"/>
            <w:gridSpan w:val="2"/>
            <w:noWrap w:val="0"/>
            <w:vAlign w:val="center"/>
          </w:tcPr>
          <w:p>
            <w:pPr>
              <w:pageBreakBefore w:val="0"/>
              <w:kinsoku/>
              <w:wordWrap/>
              <w:bidi w:val="0"/>
              <w:adjustRightInd w:val="0"/>
              <w:snapToGrid w:val="0"/>
              <w:jc w:val="distribute"/>
              <w:rPr>
                <w:rFonts w:hint="default" w:ascii="Times New Roman" w:hAnsi="Times New Roman" w:eastAsia="黑体" w:cs="Times New Roman"/>
                <w:b/>
                <w:sz w:val="32"/>
                <w:szCs w:val="32"/>
                <w:highlight w:val="none"/>
              </w:rPr>
            </w:pPr>
          </w:p>
        </w:tc>
      </w:tr>
      <w:tr>
        <w:tblPrEx>
          <w:tblCellMar>
            <w:top w:w="0" w:type="dxa"/>
            <w:left w:w="108" w:type="dxa"/>
            <w:bottom w:w="0" w:type="dxa"/>
            <w:right w:w="108" w:type="dxa"/>
          </w:tblCellMar>
        </w:tblPrEx>
        <w:trPr>
          <w:trHeight w:val="907" w:hRule="exact"/>
          <w:jc w:val="center"/>
        </w:trPr>
        <w:tc>
          <w:tcPr>
            <w:tcW w:w="1985" w:type="dxa"/>
            <w:noWrap w:val="0"/>
            <w:vAlign w:val="center"/>
          </w:tcPr>
          <w:p>
            <w:pPr>
              <w:pageBreakBefore w:val="0"/>
              <w:kinsoku/>
              <w:wordWrap/>
              <w:bidi w:val="0"/>
              <w:adjustRightInd w:val="0"/>
              <w:snapToGrid w:val="0"/>
              <w:ind w:left="155" w:leftChars="74" w:right="158" w:rightChars="75"/>
              <w:jc w:val="distribute"/>
              <w:rPr>
                <w:rFonts w:hint="default" w:ascii="Times New Roman" w:hAnsi="Times New Roman" w:eastAsia="黑体" w:cs="Times New Roman"/>
                <w:bCs/>
                <w:sz w:val="28"/>
                <w:szCs w:val="28"/>
                <w:highlight w:val="none"/>
              </w:rPr>
            </w:pPr>
            <w:r>
              <w:rPr>
                <w:rFonts w:hint="default" w:ascii="Times New Roman" w:hAnsi="Times New Roman" w:eastAsia="黑体" w:cs="Times New Roman"/>
                <w:bCs/>
                <w:sz w:val="28"/>
                <w:szCs w:val="28"/>
                <w:highlight w:val="none"/>
              </w:rPr>
              <w:t>校核</w:t>
            </w:r>
          </w:p>
        </w:tc>
        <w:tc>
          <w:tcPr>
            <w:tcW w:w="5528" w:type="dxa"/>
            <w:gridSpan w:val="2"/>
            <w:noWrap w:val="0"/>
            <w:vAlign w:val="center"/>
          </w:tcPr>
          <w:p>
            <w:pPr>
              <w:pageBreakBefore w:val="0"/>
              <w:kinsoku/>
              <w:wordWrap/>
              <w:bidi w:val="0"/>
              <w:adjustRightInd w:val="0"/>
              <w:snapToGrid w:val="0"/>
              <w:jc w:val="distribute"/>
              <w:rPr>
                <w:rFonts w:hint="default" w:ascii="Times New Roman" w:hAnsi="Times New Roman" w:eastAsia="黑体" w:cs="Times New Roman"/>
                <w:b/>
                <w:sz w:val="32"/>
                <w:szCs w:val="32"/>
                <w:highlight w:val="none"/>
              </w:rPr>
            </w:pPr>
          </w:p>
        </w:tc>
      </w:tr>
      <w:tr>
        <w:tblPrEx>
          <w:tblCellMar>
            <w:top w:w="0" w:type="dxa"/>
            <w:left w:w="108" w:type="dxa"/>
            <w:bottom w:w="0" w:type="dxa"/>
            <w:right w:w="108" w:type="dxa"/>
          </w:tblCellMar>
        </w:tblPrEx>
        <w:trPr>
          <w:trHeight w:val="907" w:hRule="exact"/>
          <w:jc w:val="center"/>
        </w:trPr>
        <w:tc>
          <w:tcPr>
            <w:tcW w:w="1985" w:type="dxa"/>
            <w:noWrap w:val="0"/>
            <w:vAlign w:val="center"/>
          </w:tcPr>
          <w:p>
            <w:pPr>
              <w:pageBreakBefore w:val="0"/>
              <w:kinsoku/>
              <w:wordWrap/>
              <w:bidi w:val="0"/>
              <w:adjustRightInd w:val="0"/>
              <w:snapToGrid w:val="0"/>
              <w:ind w:left="155" w:leftChars="74" w:right="158" w:rightChars="75"/>
              <w:jc w:val="distribute"/>
              <w:rPr>
                <w:rFonts w:hint="default" w:ascii="Times New Roman" w:hAnsi="Times New Roman" w:eastAsia="黑体" w:cs="Times New Roman"/>
                <w:bCs/>
                <w:sz w:val="28"/>
                <w:szCs w:val="28"/>
                <w:highlight w:val="none"/>
              </w:rPr>
            </w:pPr>
            <w:r>
              <w:rPr>
                <w:rFonts w:hint="default" w:ascii="Times New Roman" w:hAnsi="Times New Roman" w:eastAsia="黑体" w:cs="Times New Roman"/>
                <w:bCs/>
                <w:sz w:val="28"/>
                <w:szCs w:val="28"/>
                <w:highlight w:val="none"/>
              </w:rPr>
              <w:t>项目负责人</w:t>
            </w:r>
          </w:p>
        </w:tc>
        <w:tc>
          <w:tcPr>
            <w:tcW w:w="5528" w:type="dxa"/>
            <w:gridSpan w:val="2"/>
            <w:noWrap w:val="0"/>
            <w:vAlign w:val="center"/>
          </w:tcPr>
          <w:p>
            <w:pPr>
              <w:pageBreakBefore w:val="0"/>
              <w:kinsoku/>
              <w:wordWrap/>
              <w:bidi w:val="0"/>
              <w:adjustRightInd w:val="0"/>
              <w:snapToGrid w:val="0"/>
              <w:jc w:val="distribute"/>
              <w:rPr>
                <w:rFonts w:hint="default" w:ascii="Times New Roman" w:hAnsi="Times New Roman" w:eastAsia="黑体" w:cs="Times New Roman"/>
                <w:b/>
                <w:sz w:val="32"/>
                <w:szCs w:val="32"/>
                <w:highlight w:val="none"/>
              </w:rPr>
            </w:pPr>
          </w:p>
        </w:tc>
      </w:tr>
      <w:tr>
        <w:tblPrEx>
          <w:tblCellMar>
            <w:top w:w="0" w:type="dxa"/>
            <w:left w:w="108" w:type="dxa"/>
            <w:bottom w:w="0" w:type="dxa"/>
            <w:right w:w="108" w:type="dxa"/>
          </w:tblCellMar>
        </w:tblPrEx>
        <w:trPr>
          <w:trHeight w:val="1021" w:hRule="exact"/>
          <w:jc w:val="center"/>
        </w:trPr>
        <w:tc>
          <w:tcPr>
            <w:tcW w:w="1985" w:type="dxa"/>
            <w:noWrap w:val="0"/>
            <w:vAlign w:val="center"/>
          </w:tcPr>
          <w:p>
            <w:pPr>
              <w:pageBreakBefore w:val="0"/>
              <w:kinsoku/>
              <w:wordWrap/>
              <w:bidi w:val="0"/>
              <w:adjustRightInd w:val="0"/>
              <w:snapToGrid w:val="0"/>
              <w:ind w:left="155" w:leftChars="74" w:right="158" w:rightChars="75"/>
              <w:jc w:val="distribute"/>
              <w:rPr>
                <w:rFonts w:hint="default" w:ascii="Times New Roman" w:hAnsi="Times New Roman" w:eastAsia="黑体" w:cs="Times New Roman"/>
                <w:bCs/>
                <w:sz w:val="28"/>
                <w:szCs w:val="28"/>
                <w:highlight w:val="none"/>
              </w:rPr>
            </w:pPr>
            <w:r>
              <w:rPr>
                <w:rFonts w:hint="default" w:ascii="Times New Roman" w:hAnsi="Times New Roman" w:eastAsia="黑体" w:cs="Times New Roman"/>
                <w:bCs/>
                <w:sz w:val="28"/>
                <w:szCs w:val="28"/>
                <w:highlight w:val="none"/>
              </w:rPr>
              <w:t>编写</w:t>
            </w:r>
          </w:p>
        </w:tc>
        <w:tc>
          <w:tcPr>
            <w:tcW w:w="2126" w:type="dxa"/>
            <w:noWrap w:val="0"/>
            <w:vAlign w:val="center"/>
          </w:tcPr>
          <w:p>
            <w:pPr>
              <w:pageBreakBefore w:val="0"/>
              <w:kinsoku/>
              <w:wordWrap/>
              <w:bidi w:val="0"/>
              <w:adjustRightInd w:val="0"/>
              <w:snapToGrid w:val="0"/>
              <w:jc w:val="center"/>
              <w:rPr>
                <w:rFonts w:hint="default" w:ascii="Times New Roman" w:hAnsi="Times New Roman" w:eastAsia="黑体" w:cs="Times New Roman"/>
                <w:b/>
                <w:sz w:val="32"/>
                <w:szCs w:val="32"/>
                <w:highlight w:val="none"/>
              </w:rPr>
            </w:pPr>
          </w:p>
        </w:tc>
        <w:tc>
          <w:tcPr>
            <w:tcW w:w="3402" w:type="dxa"/>
            <w:noWrap w:val="0"/>
            <w:vAlign w:val="center"/>
          </w:tcPr>
          <w:p>
            <w:pPr>
              <w:pageBreakBefore w:val="0"/>
              <w:kinsoku/>
              <w:wordWrap/>
              <w:bidi w:val="0"/>
              <w:adjustRightInd w:val="0"/>
              <w:snapToGrid w:val="0"/>
              <w:jc w:val="center"/>
              <w:rPr>
                <w:rFonts w:hint="default" w:ascii="Times New Roman" w:hAnsi="Times New Roman" w:cs="Times New Roman"/>
                <w:smallCaps/>
                <w:highlight w:val="none"/>
              </w:rPr>
            </w:pPr>
            <w:r>
              <w:rPr>
                <w:rFonts w:hint="default" w:ascii="Times New Roman" w:hAnsi="Times New Roman" w:cs="Times New Roman"/>
                <w:sz w:val="28"/>
                <w:highlight w:val="none"/>
              </w:rPr>
              <w:t>（负责2、3、5章编写）</w:t>
            </w:r>
          </w:p>
        </w:tc>
      </w:tr>
      <w:tr>
        <w:tblPrEx>
          <w:tblCellMar>
            <w:top w:w="0" w:type="dxa"/>
            <w:left w:w="108" w:type="dxa"/>
            <w:bottom w:w="0" w:type="dxa"/>
            <w:right w:w="108" w:type="dxa"/>
          </w:tblCellMar>
        </w:tblPrEx>
        <w:trPr>
          <w:trHeight w:val="1021" w:hRule="exact"/>
          <w:jc w:val="center"/>
        </w:trPr>
        <w:tc>
          <w:tcPr>
            <w:tcW w:w="1985" w:type="dxa"/>
            <w:noWrap w:val="0"/>
            <w:vAlign w:val="center"/>
          </w:tcPr>
          <w:p>
            <w:pPr>
              <w:pageBreakBefore w:val="0"/>
              <w:kinsoku/>
              <w:wordWrap/>
              <w:bidi w:val="0"/>
              <w:adjustRightInd w:val="0"/>
              <w:snapToGrid w:val="0"/>
              <w:jc w:val="center"/>
              <w:rPr>
                <w:rFonts w:hint="default" w:ascii="Times New Roman" w:hAnsi="Times New Roman" w:eastAsia="黑体" w:cs="Times New Roman"/>
                <w:bCs/>
                <w:sz w:val="28"/>
                <w:szCs w:val="28"/>
                <w:highlight w:val="none"/>
              </w:rPr>
            </w:pPr>
          </w:p>
        </w:tc>
        <w:tc>
          <w:tcPr>
            <w:tcW w:w="2126" w:type="dxa"/>
            <w:noWrap w:val="0"/>
            <w:vAlign w:val="center"/>
          </w:tcPr>
          <w:p>
            <w:pPr>
              <w:pageBreakBefore w:val="0"/>
              <w:kinsoku/>
              <w:wordWrap/>
              <w:bidi w:val="0"/>
              <w:adjustRightInd w:val="0"/>
              <w:snapToGrid w:val="0"/>
              <w:jc w:val="center"/>
              <w:rPr>
                <w:rFonts w:hint="default" w:ascii="Times New Roman" w:hAnsi="Times New Roman" w:eastAsia="黑体" w:cs="Times New Roman"/>
                <w:b/>
                <w:sz w:val="32"/>
                <w:szCs w:val="32"/>
                <w:highlight w:val="none"/>
              </w:rPr>
            </w:pPr>
          </w:p>
        </w:tc>
        <w:tc>
          <w:tcPr>
            <w:tcW w:w="3402" w:type="dxa"/>
            <w:noWrap w:val="0"/>
            <w:vAlign w:val="center"/>
          </w:tcPr>
          <w:p>
            <w:pPr>
              <w:pageBreakBefore w:val="0"/>
              <w:kinsoku/>
              <w:wordWrap/>
              <w:bidi w:val="0"/>
              <w:adjustRightInd w:val="0"/>
              <w:snapToGrid w:val="0"/>
              <w:jc w:val="center"/>
              <w:rPr>
                <w:rFonts w:hint="default" w:ascii="Times New Roman" w:hAnsi="Times New Roman" w:cs="Times New Roman"/>
                <w:smallCaps/>
                <w:highlight w:val="none"/>
              </w:rPr>
            </w:pPr>
            <w:r>
              <w:rPr>
                <w:rFonts w:hint="default" w:ascii="Times New Roman" w:hAnsi="Times New Roman" w:cs="Times New Roman"/>
                <w:sz w:val="28"/>
                <w:highlight w:val="none"/>
              </w:rPr>
              <w:t>（负责1、4、6章编写）</w:t>
            </w:r>
          </w:p>
        </w:tc>
      </w:tr>
      <w:tr>
        <w:tblPrEx>
          <w:tblCellMar>
            <w:top w:w="0" w:type="dxa"/>
            <w:left w:w="108" w:type="dxa"/>
            <w:bottom w:w="0" w:type="dxa"/>
            <w:right w:w="108" w:type="dxa"/>
          </w:tblCellMar>
        </w:tblPrEx>
        <w:trPr>
          <w:trHeight w:val="1021" w:hRule="exact"/>
          <w:jc w:val="center"/>
        </w:trPr>
        <w:tc>
          <w:tcPr>
            <w:tcW w:w="1985" w:type="dxa"/>
            <w:noWrap w:val="0"/>
            <w:vAlign w:val="center"/>
          </w:tcPr>
          <w:p>
            <w:pPr>
              <w:pageBreakBefore w:val="0"/>
              <w:kinsoku/>
              <w:wordWrap/>
              <w:bidi w:val="0"/>
              <w:adjustRightInd w:val="0"/>
              <w:snapToGrid w:val="0"/>
              <w:jc w:val="center"/>
              <w:rPr>
                <w:rFonts w:hint="default" w:ascii="Times New Roman" w:hAnsi="Times New Roman" w:eastAsia="黑体" w:cs="Times New Roman"/>
                <w:bCs/>
                <w:sz w:val="28"/>
                <w:szCs w:val="28"/>
                <w:highlight w:val="none"/>
              </w:rPr>
            </w:pPr>
          </w:p>
        </w:tc>
        <w:tc>
          <w:tcPr>
            <w:tcW w:w="2126" w:type="dxa"/>
            <w:noWrap w:val="0"/>
            <w:vAlign w:val="center"/>
          </w:tcPr>
          <w:p>
            <w:pPr>
              <w:pageBreakBefore w:val="0"/>
              <w:kinsoku/>
              <w:wordWrap/>
              <w:bidi w:val="0"/>
              <w:adjustRightInd w:val="0"/>
              <w:snapToGrid w:val="0"/>
              <w:jc w:val="center"/>
              <w:rPr>
                <w:rFonts w:hint="default" w:ascii="Times New Roman" w:hAnsi="Times New Roman" w:eastAsia="黑体" w:cs="Times New Roman"/>
                <w:b/>
                <w:sz w:val="32"/>
                <w:szCs w:val="32"/>
                <w:highlight w:val="none"/>
              </w:rPr>
            </w:pPr>
          </w:p>
        </w:tc>
        <w:tc>
          <w:tcPr>
            <w:tcW w:w="3402" w:type="dxa"/>
            <w:noWrap w:val="0"/>
            <w:vAlign w:val="center"/>
          </w:tcPr>
          <w:p>
            <w:pPr>
              <w:pageBreakBefore w:val="0"/>
              <w:kinsoku/>
              <w:wordWrap/>
              <w:bidi w:val="0"/>
              <w:adjustRightInd w:val="0"/>
              <w:snapToGrid w:val="0"/>
              <w:jc w:val="center"/>
              <w:rPr>
                <w:rFonts w:hint="default" w:ascii="Times New Roman" w:hAnsi="Times New Roman" w:cs="Times New Roman"/>
                <w:smallCaps/>
                <w:highlight w:val="none"/>
              </w:rPr>
            </w:pPr>
            <w:r>
              <w:rPr>
                <w:rFonts w:hint="default" w:ascii="Times New Roman" w:hAnsi="Times New Roman" w:cs="Times New Roman"/>
                <w:sz w:val="28"/>
                <w:highlight w:val="none"/>
              </w:rPr>
              <w:t>（负责7、8章编写及附图）</w:t>
            </w:r>
          </w:p>
        </w:tc>
      </w:tr>
    </w:tbl>
    <w:p>
      <w:pPr>
        <w:keepNext w:val="0"/>
        <w:keepLines w:val="0"/>
        <w:pageBreakBefore w:val="0"/>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eastAsia="黑体" w:cs="Times New Roman"/>
          <w:sz w:val="30"/>
          <w:szCs w:val="30"/>
        </w:rPr>
      </w:pPr>
    </w:p>
    <w:p>
      <w:pPr>
        <w:keepNext w:val="0"/>
        <w:keepLines w:val="0"/>
        <w:pageBreakBefore w:val="0"/>
        <w:kinsoku/>
        <w:wordWrap/>
        <w:overflowPunct/>
        <w:topLinePunct w:val="0"/>
        <w:autoSpaceDE/>
        <w:autoSpaceDN/>
        <w:bidi w:val="0"/>
        <w:adjustRightInd/>
        <w:snapToGrid/>
        <w:spacing w:beforeAutospacing="0" w:afterAutospacing="0" w:line="360" w:lineRule="auto"/>
        <w:jc w:val="center"/>
        <w:textAlignment w:val="auto"/>
        <w:rPr>
          <w:rFonts w:hint="default" w:ascii="Times New Roman" w:hAnsi="Times New Roman" w:eastAsia="黑体" w:cs="Times New Roman"/>
          <w:b/>
          <w:sz w:val="32"/>
          <w:szCs w:val="32"/>
          <w:highlight w:val="none"/>
        </w:rPr>
      </w:pPr>
      <w:r>
        <w:rPr>
          <w:rFonts w:hint="default" w:ascii="Times New Roman" w:hAnsi="Times New Roman" w:eastAsia="黑体" w:cs="Times New Roman"/>
          <w:b/>
          <w:sz w:val="30"/>
          <w:szCs w:val="30"/>
          <w:highlight w:val="none"/>
        </w:rPr>
        <w:br w:type="page"/>
      </w:r>
      <w:r>
        <w:rPr>
          <w:rFonts w:hint="default" w:ascii="Times New Roman" w:hAnsi="Times New Roman" w:eastAsia="黑体" w:cs="Times New Roman"/>
          <w:b w:val="0"/>
          <w:bCs/>
          <w:sz w:val="44"/>
          <w:szCs w:val="44"/>
          <w:highlight w:val="none"/>
        </w:rPr>
        <w:t>目</w:t>
      </w:r>
      <w:r>
        <w:rPr>
          <w:rFonts w:hint="default" w:ascii="Times New Roman" w:hAnsi="Times New Roman" w:eastAsia="黑体" w:cs="Times New Roman"/>
          <w:b w:val="0"/>
          <w:bCs/>
          <w:sz w:val="44"/>
          <w:szCs w:val="44"/>
          <w:highlight w:val="none"/>
          <w:lang w:val="en-US" w:eastAsia="zh-CN"/>
        </w:rPr>
        <w:t xml:space="preserve">  </w:t>
      </w:r>
      <w:r>
        <w:rPr>
          <w:rFonts w:hint="default" w:ascii="Times New Roman" w:hAnsi="Times New Roman" w:eastAsia="黑体" w:cs="Times New Roman"/>
          <w:b w:val="0"/>
          <w:bCs/>
          <w:sz w:val="44"/>
          <w:szCs w:val="44"/>
          <w:highlight w:val="none"/>
        </w:rPr>
        <w:t>录</w:t>
      </w:r>
    </w:p>
    <w:p>
      <w:pPr>
        <w:pStyle w:val="61"/>
        <w:keepNext w:val="0"/>
        <w:keepLines w:val="0"/>
        <w:pageBreakBefore w:val="0"/>
        <w:widowControl w:val="0"/>
        <w:tabs>
          <w:tab w:val="right" w:leader="dot" w:pos="8408"/>
          <w:tab w:val="clear" w:pos="8400"/>
        </w:tabs>
        <w:kinsoku/>
        <w:wordWrap/>
        <w:overflowPunct/>
        <w:topLinePunct w:val="0"/>
        <w:autoSpaceDE/>
        <w:autoSpaceDN/>
        <w:bidi w:val="0"/>
        <w:adjustRightInd/>
        <w:snapToGrid/>
        <w:spacing w:before="0" w:beforeLines="0" w:line="480" w:lineRule="exact"/>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color w:val="auto"/>
          <w:sz w:val="24"/>
          <w:szCs w:val="24"/>
          <w:highlight w:val="none"/>
        </w:rPr>
        <w:fldChar w:fldCharType="begin"/>
      </w:r>
      <w:r>
        <w:rPr>
          <w:rFonts w:hint="default" w:ascii="Times New Roman" w:hAnsi="Times New Roman" w:eastAsia="仿宋_GB2312" w:cs="Times New Roman"/>
          <w:color w:val="auto"/>
          <w:sz w:val="24"/>
          <w:szCs w:val="24"/>
          <w:highlight w:val="none"/>
        </w:rPr>
        <w:instrText xml:space="preserve"> TOC \o "1-2" \h \z \u </w:instrText>
      </w:r>
      <w:r>
        <w:rPr>
          <w:rFonts w:hint="default" w:ascii="Times New Roman" w:hAnsi="Times New Roman" w:eastAsia="仿宋_GB2312" w:cs="Times New Roman"/>
          <w:color w:val="auto"/>
          <w:sz w:val="24"/>
          <w:szCs w:val="24"/>
          <w:highlight w:val="none"/>
        </w:rPr>
        <w:fldChar w:fldCharType="separate"/>
      </w:r>
      <w:r>
        <w:rPr>
          <w:rFonts w:hint="default" w:ascii="Times New Roman" w:hAnsi="Times New Roman" w:eastAsia="仿宋_GB2312" w:cs="Times New Roman"/>
          <w:color w:val="auto"/>
          <w:sz w:val="24"/>
          <w:szCs w:val="24"/>
          <w:highlight w:val="none"/>
        </w:rPr>
        <w:fldChar w:fldCharType="begin"/>
      </w:r>
      <w:r>
        <w:rPr>
          <w:rFonts w:hint="default" w:ascii="Times New Roman" w:hAnsi="Times New Roman" w:eastAsia="仿宋_GB2312" w:cs="Times New Roman"/>
          <w:sz w:val="24"/>
          <w:szCs w:val="24"/>
          <w:highlight w:val="none"/>
        </w:rPr>
        <w:instrText xml:space="preserve"> HYPERLINK \l _Toc13134 </w:instrText>
      </w:r>
      <w:r>
        <w:rPr>
          <w:rFonts w:hint="default" w:ascii="Times New Roman" w:hAnsi="Times New Roman" w:eastAsia="仿宋_GB2312" w:cs="Times New Roman"/>
          <w:sz w:val="24"/>
          <w:szCs w:val="24"/>
          <w:highlight w:val="none"/>
        </w:rPr>
        <w:fldChar w:fldCharType="separate"/>
      </w:r>
      <w:r>
        <w:rPr>
          <w:rFonts w:hint="default" w:ascii="Times New Roman" w:hAnsi="Times New Roman" w:eastAsia="仿宋_GB2312" w:cs="Times New Roman"/>
          <w:bCs w:val="0"/>
          <w:sz w:val="24"/>
          <w:szCs w:val="24"/>
        </w:rPr>
        <w:t>1综合说明</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_Toc13134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color w:val="auto"/>
          <w:sz w:val="24"/>
          <w:szCs w:val="24"/>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480" w:lineRule="exact"/>
        <w:ind w:firstLine="240" w:firstLineChars="1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kern w:val="44"/>
          <w:sz w:val="24"/>
          <w:szCs w:val="24"/>
          <w:highlight w:val="none"/>
        </w:rPr>
        <w:fldChar w:fldCharType="begin"/>
      </w:r>
      <w:r>
        <w:rPr>
          <w:rFonts w:hint="default" w:ascii="Times New Roman" w:hAnsi="Times New Roman" w:eastAsia="仿宋_GB2312" w:cs="Times New Roman"/>
          <w:kern w:val="44"/>
          <w:sz w:val="24"/>
          <w:szCs w:val="24"/>
          <w:highlight w:val="none"/>
        </w:rPr>
        <w:instrText xml:space="preserve"> HYPERLINK \l _Toc24397 </w:instrText>
      </w:r>
      <w:r>
        <w:rPr>
          <w:rFonts w:hint="default" w:ascii="Times New Roman" w:hAnsi="Times New Roman" w:eastAsia="仿宋_GB2312" w:cs="Times New Roman"/>
          <w:kern w:val="44"/>
          <w:sz w:val="24"/>
          <w:szCs w:val="24"/>
          <w:highlight w:val="none"/>
        </w:rPr>
        <w:fldChar w:fldCharType="separate"/>
      </w:r>
      <w:r>
        <w:rPr>
          <w:rFonts w:hint="default" w:ascii="Times New Roman" w:hAnsi="Times New Roman" w:eastAsia="仿宋_GB2312" w:cs="Times New Roman"/>
          <w:bCs/>
          <w:sz w:val="24"/>
          <w:szCs w:val="24"/>
        </w:rPr>
        <w:t>1.1项目简况</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_Toc24397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kern w:val="44"/>
          <w:sz w:val="24"/>
          <w:szCs w:val="24"/>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480" w:lineRule="exact"/>
        <w:ind w:firstLine="240" w:firstLineChars="1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kern w:val="44"/>
          <w:sz w:val="24"/>
          <w:szCs w:val="24"/>
          <w:highlight w:val="none"/>
        </w:rPr>
        <w:fldChar w:fldCharType="begin"/>
      </w:r>
      <w:r>
        <w:rPr>
          <w:rFonts w:hint="default" w:ascii="Times New Roman" w:hAnsi="Times New Roman" w:eastAsia="仿宋_GB2312" w:cs="Times New Roman"/>
          <w:kern w:val="44"/>
          <w:sz w:val="24"/>
          <w:szCs w:val="24"/>
          <w:highlight w:val="none"/>
        </w:rPr>
        <w:instrText xml:space="preserve"> HYPERLINK \l _Toc29989 </w:instrText>
      </w:r>
      <w:r>
        <w:rPr>
          <w:rFonts w:hint="default" w:ascii="Times New Roman" w:hAnsi="Times New Roman" w:eastAsia="仿宋_GB2312" w:cs="Times New Roman"/>
          <w:kern w:val="44"/>
          <w:sz w:val="24"/>
          <w:szCs w:val="24"/>
          <w:highlight w:val="none"/>
        </w:rPr>
        <w:fldChar w:fldCharType="separate"/>
      </w:r>
      <w:r>
        <w:rPr>
          <w:rFonts w:hint="default" w:ascii="Times New Roman" w:hAnsi="Times New Roman" w:eastAsia="仿宋_GB2312" w:cs="Times New Roman"/>
          <w:bCs/>
          <w:sz w:val="24"/>
          <w:szCs w:val="24"/>
        </w:rPr>
        <w:t>1.2编制依据</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_Toc29989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kern w:val="44"/>
          <w:sz w:val="24"/>
          <w:szCs w:val="24"/>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480" w:lineRule="exact"/>
        <w:ind w:firstLine="240" w:firstLineChars="1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kern w:val="44"/>
          <w:sz w:val="24"/>
          <w:szCs w:val="24"/>
          <w:highlight w:val="none"/>
        </w:rPr>
        <w:fldChar w:fldCharType="begin"/>
      </w:r>
      <w:r>
        <w:rPr>
          <w:rFonts w:hint="default" w:ascii="Times New Roman" w:hAnsi="Times New Roman" w:eastAsia="仿宋_GB2312" w:cs="Times New Roman"/>
          <w:kern w:val="44"/>
          <w:sz w:val="24"/>
          <w:szCs w:val="24"/>
          <w:highlight w:val="none"/>
        </w:rPr>
        <w:instrText xml:space="preserve"> HYPERLINK \l _Toc4498 </w:instrText>
      </w:r>
      <w:r>
        <w:rPr>
          <w:rFonts w:hint="default" w:ascii="Times New Roman" w:hAnsi="Times New Roman" w:eastAsia="仿宋_GB2312" w:cs="Times New Roman"/>
          <w:kern w:val="44"/>
          <w:sz w:val="24"/>
          <w:szCs w:val="24"/>
          <w:highlight w:val="none"/>
        </w:rPr>
        <w:fldChar w:fldCharType="separate"/>
      </w:r>
      <w:r>
        <w:rPr>
          <w:rFonts w:hint="default" w:ascii="Times New Roman" w:hAnsi="Times New Roman" w:eastAsia="仿宋_GB2312" w:cs="Times New Roman"/>
          <w:bCs/>
          <w:sz w:val="24"/>
          <w:szCs w:val="24"/>
        </w:rPr>
        <w:t>1.3设计水平年</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_Toc4498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kern w:val="44"/>
          <w:sz w:val="24"/>
          <w:szCs w:val="24"/>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480" w:lineRule="exact"/>
        <w:ind w:firstLine="240" w:firstLineChars="1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kern w:val="44"/>
          <w:sz w:val="24"/>
          <w:szCs w:val="24"/>
          <w:highlight w:val="none"/>
        </w:rPr>
        <w:fldChar w:fldCharType="begin"/>
      </w:r>
      <w:r>
        <w:rPr>
          <w:rFonts w:hint="default" w:ascii="Times New Roman" w:hAnsi="Times New Roman" w:eastAsia="仿宋_GB2312" w:cs="Times New Roman"/>
          <w:kern w:val="44"/>
          <w:sz w:val="24"/>
          <w:szCs w:val="24"/>
          <w:highlight w:val="none"/>
        </w:rPr>
        <w:instrText xml:space="preserve"> HYPERLINK \l _Toc24609 </w:instrText>
      </w:r>
      <w:r>
        <w:rPr>
          <w:rFonts w:hint="default" w:ascii="Times New Roman" w:hAnsi="Times New Roman" w:eastAsia="仿宋_GB2312" w:cs="Times New Roman"/>
          <w:kern w:val="44"/>
          <w:sz w:val="24"/>
          <w:szCs w:val="24"/>
          <w:highlight w:val="none"/>
        </w:rPr>
        <w:fldChar w:fldCharType="separate"/>
      </w:r>
      <w:r>
        <w:rPr>
          <w:rFonts w:hint="default" w:ascii="Times New Roman" w:hAnsi="Times New Roman" w:eastAsia="仿宋_GB2312" w:cs="Times New Roman"/>
          <w:bCs/>
          <w:sz w:val="24"/>
          <w:szCs w:val="24"/>
        </w:rPr>
        <w:t>1.4水土流失防治责任范围</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_Toc24609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kern w:val="44"/>
          <w:sz w:val="24"/>
          <w:szCs w:val="24"/>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480" w:lineRule="exact"/>
        <w:ind w:firstLine="240" w:firstLineChars="1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kern w:val="44"/>
          <w:sz w:val="24"/>
          <w:szCs w:val="24"/>
          <w:highlight w:val="none"/>
        </w:rPr>
        <w:fldChar w:fldCharType="begin"/>
      </w:r>
      <w:r>
        <w:rPr>
          <w:rFonts w:hint="default" w:ascii="Times New Roman" w:hAnsi="Times New Roman" w:eastAsia="仿宋_GB2312" w:cs="Times New Roman"/>
          <w:kern w:val="44"/>
          <w:sz w:val="24"/>
          <w:szCs w:val="24"/>
          <w:highlight w:val="none"/>
        </w:rPr>
        <w:instrText xml:space="preserve"> HYPERLINK \l _Toc4068 </w:instrText>
      </w:r>
      <w:r>
        <w:rPr>
          <w:rFonts w:hint="default" w:ascii="Times New Roman" w:hAnsi="Times New Roman" w:eastAsia="仿宋_GB2312" w:cs="Times New Roman"/>
          <w:kern w:val="44"/>
          <w:sz w:val="24"/>
          <w:szCs w:val="24"/>
          <w:highlight w:val="none"/>
        </w:rPr>
        <w:fldChar w:fldCharType="separate"/>
      </w:r>
      <w:r>
        <w:rPr>
          <w:rFonts w:hint="default" w:ascii="Times New Roman" w:hAnsi="Times New Roman" w:eastAsia="仿宋_GB2312" w:cs="Times New Roman"/>
          <w:bCs/>
          <w:sz w:val="24"/>
          <w:szCs w:val="24"/>
        </w:rPr>
        <w:t>1.5水土流失防治目标</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_Toc4068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kern w:val="44"/>
          <w:sz w:val="24"/>
          <w:szCs w:val="24"/>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480" w:lineRule="exact"/>
        <w:ind w:firstLine="240" w:firstLineChars="1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kern w:val="44"/>
          <w:sz w:val="24"/>
          <w:szCs w:val="24"/>
          <w:highlight w:val="none"/>
        </w:rPr>
        <w:fldChar w:fldCharType="begin"/>
      </w:r>
      <w:r>
        <w:rPr>
          <w:rFonts w:hint="default" w:ascii="Times New Roman" w:hAnsi="Times New Roman" w:eastAsia="仿宋_GB2312" w:cs="Times New Roman"/>
          <w:kern w:val="44"/>
          <w:sz w:val="24"/>
          <w:szCs w:val="24"/>
          <w:highlight w:val="none"/>
        </w:rPr>
        <w:instrText xml:space="preserve"> HYPERLINK \l _Toc22903 </w:instrText>
      </w:r>
      <w:r>
        <w:rPr>
          <w:rFonts w:hint="default" w:ascii="Times New Roman" w:hAnsi="Times New Roman" w:eastAsia="仿宋_GB2312" w:cs="Times New Roman"/>
          <w:kern w:val="44"/>
          <w:sz w:val="24"/>
          <w:szCs w:val="24"/>
          <w:highlight w:val="none"/>
        </w:rPr>
        <w:fldChar w:fldCharType="separate"/>
      </w:r>
      <w:r>
        <w:rPr>
          <w:rFonts w:hint="default" w:ascii="Times New Roman" w:hAnsi="Times New Roman" w:eastAsia="仿宋_GB2312" w:cs="Times New Roman"/>
          <w:bCs/>
          <w:sz w:val="24"/>
          <w:szCs w:val="24"/>
        </w:rPr>
        <w:t>1.6项目水土保持评价结论</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_Toc22903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kern w:val="44"/>
          <w:sz w:val="24"/>
          <w:szCs w:val="24"/>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480" w:lineRule="exact"/>
        <w:ind w:firstLine="240" w:firstLineChars="1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kern w:val="44"/>
          <w:sz w:val="24"/>
          <w:szCs w:val="24"/>
          <w:highlight w:val="none"/>
        </w:rPr>
        <w:fldChar w:fldCharType="begin"/>
      </w:r>
      <w:r>
        <w:rPr>
          <w:rFonts w:hint="default" w:ascii="Times New Roman" w:hAnsi="Times New Roman" w:eastAsia="仿宋_GB2312" w:cs="Times New Roman"/>
          <w:kern w:val="44"/>
          <w:sz w:val="24"/>
          <w:szCs w:val="24"/>
          <w:highlight w:val="none"/>
        </w:rPr>
        <w:instrText xml:space="preserve"> HYPERLINK \l _Toc12441 </w:instrText>
      </w:r>
      <w:r>
        <w:rPr>
          <w:rFonts w:hint="default" w:ascii="Times New Roman" w:hAnsi="Times New Roman" w:eastAsia="仿宋_GB2312" w:cs="Times New Roman"/>
          <w:kern w:val="44"/>
          <w:sz w:val="24"/>
          <w:szCs w:val="24"/>
          <w:highlight w:val="none"/>
        </w:rPr>
        <w:fldChar w:fldCharType="separate"/>
      </w:r>
      <w:r>
        <w:rPr>
          <w:rFonts w:hint="default" w:ascii="Times New Roman" w:hAnsi="Times New Roman" w:eastAsia="仿宋_GB2312" w:cs="Times New Roman"/>
          <w:bCs/>
          <w:sz w:val="24"/>
          <w:szCs w:val="24"/>
        </w:rPr>
        <w:t>1.7水土流失预测结果</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_Toc12441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7</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kern w:val="44"/>
          <w:sz w:val="24"/>
          <w:szCs w:val="24"/>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480" w:lineRule="exact"/>
        <w:ind w:firstLine="240" w:firstLineChars="1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kern w:val="44"/>
          <w:sz w:val="24"/>
          <w:szCs w:val="24"/>
          <w:highlight w:val="none"/>
        </w:rPr>
        <w:fldChar w:fldCharType="begin"/>
      </w:r>
      <w:r>
        <w:rPr>
          <w:rFonts w:hint="default" w:ascii="Times New Roman" w:hAnsi="Times New Roman" w:eastAsia="仿宋_GB2312" w:cs="Times New Roman"/>
          <w:kern w:val="44"/>
          <w:sz w:val="24"/>
          <w:szCs w:val="24"/>
          <w:highlight w:val="none"/>
        </w:rPr>
        <w:instrText xml:space="preserve"> HYPERLINK \l _Toc5206 </w:instrText>
      </w:r>
      <w:r>
        <w:rPr>
          <w:rFonts w:hint="default" w:ascii="Times New Roman" w:hAnsi="Times New Roman" w:eastAsia="仿宋_GB2312" w:cs="Times New Roman"/>
          <w:kern w:val="44"/>
          <w:sz w:val="24"/>
          <w:szCs w:val="24"/>
          <w:highlight w:val="none"/>
        </w:rPr>
        <w:fldChar w:fldCharType="separate"/>
      </w:r>
      <w:r>
        <w:rPr>
          <w:rFonts w:hint="default" w:ascii="Times New Roman" w:hAnsi="Times New Roman" w:eastAsia="仿宋_GB2312" w:cs="Times New Roman"/>
          <w:bCs/>
          <w:sz w:val="24"/>
          <w:szCs w:val="24"/>
        </w:rPr>
        <w:t>1.8水土保持措施布设成果</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_Toc5206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7</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kern w:val="44"/>
          <w:sz w:val="24"/>
          <w:szCs w:val="24"/>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480" w:lineRule="exact"/>
        <w:ind w:firstLine="240" w:firstLineChars="1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kern w:val="44"/>
          <w:sz w:val="24"/>
          <w:szCs w:val="24"/>
          <w:highlight w:val="none"/>
        </w:rPr>
        <w:fldChar w:fldCharType="begin"/>
      </w:r>
      <w:r>
        <w:rPr>
          <w:rFonts w:hint="default" w:ascii="Times New Roman" w:hAnsi="Times New Roman" w:eastAsia="仿宋_GB2312" w:cs="Times New Roman"/>
          <w:kern w:val="44"/>
          <w:sz w:val="24"/>
          <w:szCs w:val="24"/>
          <w:highlight w:val="none"/>
        </w:rPr>
        <w:instrText xml:space="preserve"> HYPERLINK \l _Toc24483 </w:instrText>
      </w:r>
      <w:r>
        <w:rPr>
          <w:rFonts w:hint="default" w:ascii="Times New Roman" w:hAnsi="Times New Roman" w:eastAsia="仿宋_GB2312" w:cs="Times New Roman"/>
          <w:kern w:val="44"/>
          <w:sz w:val="24"/>
          <w:szCs w:val="24"/>
          <w:highlight w:val="none"/>
        </w:rPr>
        <w:fldChar w:fldCharType="separate"/>
      </w:r>
      <w:r>
        <w:rPr>
          <w:rFonts w:hint="default" w:ascii="Times New Roman" w:hAnsi="Times New Roman" w:eastAsia="仿宋_GB2312" w:cs="Times New Roman"/>
          <w:bCs/>
          <w:sz w:val="24"/>
          <w:szCs w:val="24"/>
        </w:rPr>
        <w:t>1.9水土保持监测方案</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_Toc24483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8</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kern w:val="44"/>
          <w:sz w:val="24"/>
          <w:szCs w:val="24"/>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480" w:lineRule="exact"/>
        <w:ind w:firstLine="240" w:firstLineChars="1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kern w:val="44"/>
          <w:sz w:val="24"/>
          <w:szCs w:val="24"/>
          <w:highlight w:val="none"/>
        </w:rPr>
        <w:fldChar w:fldCharType="begin"/>
      </w:r>
      <w:r>
        <w:rPr>
          <w:rFonts w:hint="default" w:ascii="Times New Roman" w:hAnsi="Times New Roman" w:eastAsia="仿宋_GB2312" w:cs="Times New Roman"/>
          <w:kern w:val="44"/>
          <w:sz w:val="24"/>
          <w:szCs w:val="24"/>
          <w:highlight w:val="none"/>
        </w:rPr>
        <w:instrText xml:space="preserve"> HYPERLINK \l _Toc17503 </w:instrText>
      </w:r>
      <w:r>
        <w:rPr>
          <w:rFonts w:hint="default" w:ascii="Times New Roman" w:hAnsi="Times New Roman" w:eastAsia="仿宋_GB2312" w:cs="Times New Roman"/>
          <w:kern w:val="44"/>
          <w:sz w:val="24"/>
          <w:szCs w:val="24"/>
          <w:highlight w:val="none"/>
        </w:rPr>
        <w:fldChar w:fldCharType="separate"/>
      </w:r>
      <w:r>
        <w:rPr>
          <w:rFonts w:hint="default" w:ascii="Times New Roman" w:hAnsi="Times New Roman" w:eastAsia="仿宋_GB2312" w:cs="Times New Roman"/>
          <w:bCs/>
          <w:sz w:val="24"/>
          <w:szCs w:val="24"/>
        </w:rPr>
        <w:t>1.10水土保持投资及效益分析成果</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_Toc17503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8</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kern w:val="44"/>
          <w:sz w:val="24"/>
          <w:szCs w:val="24"/>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480" w:lineRule="exact"/>
        <w:ind w:firstLine="240" w:firstLineChars="1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kern w:val="44"/>
          <w:sz w:val="24"/>
          <w:szCs w:val="24"/>
          <w:highlight w:val="none"/>
        </w:rPr>
        <w:fldChar w:fldCharType="begin"/>
      </w:r>
      <w:r>
        <w:rPr>
          <w:rFonts w:hint="default" w:ascii="Times New Roman" w:hAnsi="Times New Roman" w:eastAsia="仿宋_GB2312" w:cs="Times New Roman"/>
          <w:kern w:val="44"/>
          <w:sz w:val="24"/>
          <w:szCs w:val="24"/>
          <w:highlight w:val="none"/>
        </w:rPr>
        <w:instrText xml:space="preserve"> HYPERLINK \l _Toc951 </w:instrText>
      </w:r>
      <w:r>
        <w:rPr>
          <w:rFonts w:hint="default" w:ascii="Times New Roman" w:hAnsi="Times New Roman" w:eastAsia="仿宋_GB2312" w:cs="Times New Roman"/>
          <w:kern w:val="44"/>
          <w:sz w:val="24"/>
          <w:szCs w:val="24"/>
          <w:highlight w:val="none"/>
        </w:rPr>
        <w:fldChar w:fldCharType="separate"/>
      </w:r>
      <w:r>
        <w:rPr>
          <w:rFonts w:hint="default" w:ascii="Times New Roman" w:hAnsi="Times New Roman" w:eastAsia="仿宋_GB2312" w:cs="Times New Roman"/>
          <w:bCs/>
          <w:sz w:val="24"/>
          <w:szCs w:val="24"/>
        </w:rPr>
        <w:t>1.11结论</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_Toc951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8</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kern w:val="44"/>
          <w:sz w:val="24"/>
          <w:szCs w:val="24"/>
          <w:highlight w:val="none"/>
        </w:rPr>
        <w:fldChar w:fldCharType="end"/>
      </w:r>
    </w:p>
    <w:p>
      <w:pPr>
        <w:pStyle w:val="61"/>
        <w:keepNext w:val="0"/>
        <w:keepLines w:val="0"/>
        <w:pageBreakBefore w:val="0"/>
        <w:widowControl w:val="0"/>
        <w:tabs>
          <w:tab w:val="right" w:leader="dot" w:pos="8408"/>
          <w:tab w:val="clear" w:pos="8400"/>
        </w:tabs>
        <w:kinsoku/>
        <w:wordWrap/>
        <w:overflowPunct/>
        <w:topLinePunct w:val="0"/>
        <w:autoSpaceDE/>
        <w:autoSpaceDN/>
        <w:bidi w:val="0"/>
        <w:adjustRightInd/>
        <w:snapToGrid/>
        <w:spacing w:before="0" w:beforeLines="0" w:line="480" w:lineRule="exact"/>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kern w:val="44"/>
          <w:sz w:val="24"/>
          <w:szCs w:val="24"/>
          <w:highlight w:val="none"/>
        </w:rPr>
        <w:fldChar w:fldCharType="begin"/>
      </w:r>
      <w:r>
        <w:rPr>
          <w:rFonts w:hint="default" w:ascii="Times New Roman" w:hAnsi="Times New Roman" w:eastAsia="仿宋_GB2312" w:cs="Times New Roman"/>
          <w:kern w:val="44"/>
          <w:sz w:val="24"/>
          <w:szCs w:val="24"/>
          <w:highlight w:val="none"/>
        </w:rPr>
        <w:instrText xml:space="preserve"> HYPERLINK \l _Toc30909 </w:instrText>
      </w:r>
      <w:r>
        <w:rPr>
          <w:rFonts w:hint="default" w:ascii="Times New Roman" w:hAnsi="Times New Roman" w:eastAsia="仿宋_GB2312" w:cs="Times New Roman"/>
          <w:kern w:val="44"/>
          <w:sz w:val="24"/>
          <w:szCs w:val="24"/>
          <w:highlight w:val="none"/>
        </w:rPr>
        <w:fldChar w:fldCharType="separate"/>
      </w:r>
      <w:r>
        <w:rPr>
          <w:rFonts w:hint="default" w:ascii="Times New Roman" w:hAnsi="Times New Roman" w:eastAsia="仿宋_GB2312" w:cs="Times New Roman"/>
          <w:bCs w:val="0"/>
          <w:sz w:val="24"/>
          <w:szCs w:val="24"/>
        </w:rPr>
        <w:t>2项目概况</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_Toc30909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12</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kern w:val="44"/>
          <w:sz w:val="24"/>
          <w:szCs w:val="24"/>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480" w:lineRule="exact"/>
        <w:ind w:firstLine="240" w:firstLineChars="1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kern w:val="44"/>
          <w:sz w:val="24"/>
          <w:szCs w:val="24"/>
          <w:highlight w:val="none"/>
        </w:rPr>
        <w:fldChar w:fldCharType="begin"/>
      </w:r>
      <w:r>
        <w:rPr>
          <w:rFonts w:hint="default" w:ascii="Times New Roman" w:hAnsi="Times New Roman" w:eastAsia="仿宋_GB2312" w:cs="Times New Roman"/>
          <w:kern w:val="44"/>
          <w:sz w:val="24"/>
          <w:szCs w:val="24"/>
          <w:highlight w:val="none"/>
        </w:rPr>
        <w:instrText xml:space="preserve"> HYPERLINK \l _Toc19823 </w:instrText>
      </w:r>
      <w:r>
        <w:rPr>
          <w:rFonts w:hint="default" w:ascii="Times New Roman" w:hAnsi="Times New Roman" w:eastAsia="仿宋_GB2312" w:cs="Times New Roman"/>
          <w:kern w:val="44"/>
          <w:sz w:val="24"/>
          <w:szCs w:val="24"/>
          <w:highlight w:val="none"/>
        </w:rPr>
        <w:fldChar w:fldCharType="separate"/>
      </w:r>
      <w:r>
        <w:rPr>
          <w:rFonts w:hint="default" w:ascii="Times New Roman" w:hAnsi="Times New Roman" w:eastAsia="仿宋_GB2312" w:cs="Times New Roman"/>
          <w:bCs/>
          <w:sz w:val="24"/>
          <w:szCs w:val="24"/>
        </w:rPr>
        <w:t>2.1项目组成及工程布置</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_Toc19823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12</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kern w:val="44"/>
          <w:sz w:val="24"/>
          <w:szCs w:val="24"/>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480" w:lineRule="exact"/>
        <w:ind w:firstLine="240" w:firstLineChars="1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kern w:val="44"/>
          <w:sz w:val="24"/>
          <w:szCs w:val="24"/>
          <w:highlight w:val="none"/>
        </w:rPr>
        <w:fldChar w:fldCharType="begin"/>
      </w:r>
      <w:r>
        <w:rPr>
          <w:rFonts w:hint="default" w:ascii="Times New Roman" w:hAnsi="Times New Roman" w:eastAsia="仿宋_GB2312" w:cs="Times New Roman"/>
          <w:kern w:val="44"/>
          <w:sz w:val="24"/>
          <w:szCs w:val="24"/>
          <w:highlight w:val="none"/>
        </w:rPr>
        <w:instrText xml:space="preserve"> HYPERLINK \l _Toc3387 </w:instrText>
      </w:r>
      <w:r>
        <w:rPr>
          <w:rFonts w:hint="default" w:ascii="Times New Roman" w:hAnsi="Times New Roman" w:eastAsia="仿宋_GB2312" w:cs="Times New Roman"/>
          <w:kern w:val="44"/>
          <w:sz w:val="24"/>
          <w:szCs w:val="24"/>
          <w:highlight w:val="none"/>
        </w:rPr>
        <w:fldChar w:fldCharType="separate"/>
      </w:r>
      <w:r>
        <w:rPr>
          <w:rFonts w:hint="default" w:ascii="Times New Roman" w:hAnsi="Times New Roman" w:eastAsia="仿宋_GB2312" w:cs="Times New Roman"/>
          <w:bCs/>
          <w:sz w:val="24"/>
          <w:szCs w:val="24"/>
        </w:rPr>
        <w:t>2.2施工组织</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_Toc3387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19</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kern w:val="44"/>
          <w:sz w:val="24"/>
          <w:szCs w:val="24"/>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480" w:lineRule="exact"/>
        <w:ind w:firstLine="240" w:firstLineChars="1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kern w:val="44"/>
          <w:sz w:val="24"/>
          <w:szCs w:val="24"/>
          <w:highlight w:val="none"/>
        </w:rPr>
        <w:fldChar w:fldCharType="begin"/>
      </w:r>
      <w:r>
        <w:rPr>
          <w:rFonts w:hint="default" w:ascii="Times New Roman" w:hAnsi="Times New Roman" w:eastAsia="仿宋_GB2312" w:cs="Times New Roman"/>
          <w:kern w:val="44"/>
          <w:sz w:val="24"/>
          <w:szCs w:val="24"/>
          <w:highlight w:val="none"/>
        </w:rPr>
        <w:instrText xml:space="preserve"> HYPERLINK \l _Toc18591 </w:instrText>
      </w:r>
      <w:r>
        <w:rPr>
          <w:rFonts w:hint="default" w:ascii="Times New Roman" w:hAnsi="Times New Roman" w:eastAsia="仿宋_GB2312" w:cs="Times New Roman"/>
          <w:kern w:val="44"/>
          <w:sz w:val="24"/>
          <w:szCs w:val="24"/>
          <w:highlight w:val="none"/>
        </w:rPr>
        <w:fldChar w:fldCharType="separate"/>
      </w:r>
      <w:r>
        <w:rPr>
          <w:rFonts w:hint="default" w:ascii="Times New Roman" w:hAnsi="Times New Roman" w:eastAsia="仿宋_GB2312" w:cs="Times New Roman"/>
          <w:bCs/>
          <w:sz w:val="24"/>
          <w:szCs w:val="24"/>
        </w:rPr>
        <w:t>2.3工程占地</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_Toc18591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24</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kern w:val="44"/>
          <w:sz w:val="24"/>
          <w:szCs w:val="24"/>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480" w:lineRule="exact"/>
        <w:ind w:firstLine="240" w:firstLineChars="1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kern w:val="44"/>
          <w:sz w:val="24"/>
          <w:szCs w:val="24"/>
          <w:highlight w:val="none"/>
        </w:rPr>
        <w:fldChar w:fldCharType="begin"/>
      </w:r>
      <w:r>
        <w:rPr>
          <w:rFonts w:hint="default" w:ascii="Times New Roman" w:hAnsi="Times New Roman" w:eastAsia="仿宋_GB2312" w:cs="Times New Roman"/>
          <w:kern w:val="44"/>
          <w:sz w:val="24"/>
          <w:szCs w:val="24"/>
          <w:highlight w:val="none"/>
        </w:rPr>
        <w:instrText xml:space="preserve"> HYPERLINK \l _Toc18633 </w:instrText>
      </w:r>
      <w:r>
        <w:rPr>
          <w:rFonts w:hint="default" w:ascii="Times New Roman" w:hAnsi="Times New Roman" w:eastAsia="仿宋_GB2312" w:cs="Times New Roman"/>
          <w:kern w:val="44"/>
          <w:sz w:val="24"/>
          <w:szCs w:val="24"/>
          <w:highlight w:val="none"/>
        </w:rPr>
        <w:fldChar w:fldCharType="separate"/>
      </w:r>
      <w:r>
        <w:rPr>
          <w:rFonts w:hint="default" w:ascii="Times New Roman" w:hAnsi="Times New Roman" w:eastAsia="仿宋_GB2312" w:cs="Times New Roman"/>
          <w:bCs/>
          <w:sz w:val="24"/>
          <w:szCs w:val="24"/>
        </w:rPr>
        <w:t>2.4土石方平衡</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_Toc18633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24</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kern w:val="44"/>
          <w:sz w:val="24"/>
          <w:szCs w:val="24"/>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480" w:lineRule="exact"/>
        <w:ind w:firstLine="240" w:firstLineChars="1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kern w:val="44"/>
          <w:sz w:val="24"/>
          <w:szCs w:val="24"/>
          <w:highlight w:val="none"/>
        </w:rPr>
        <w:fldChar w:fldCharType="begin"/>
      </w:r>
      <w:r>
        <w:rPr>
          <w:rFonts w:hint="default" w:ascii="Times New Roman" w:hAnsi="Times New Roman" w:eastAsia="仿宋_GB2312" w:cs="Times New Roman"/>
          <w:kern w:val="44"/>
          <w:sz w:val="24"/>
          <w:szCs w:val="24"/>
          <w:highlight w:val="none"/>
        </w:rPr>
        <w:instrText xml:space="preserve"> HYPERLINK \l _Toc2363 </w:instrText>
      </w:r>
      <w:r>
        <w:rPr>
          <w:rFonts w:hint="default" w:ascii="Times New Roman" w:hAnsi="Times New Roman" w:eastAsia="仿宋_GB2312" w:cs="Times New Roman"/>
          <w:kern w:val="44"/>
          <w:sz w:val="24"/>
          <w:szCs w:val="24"/>
          <w:highlight w:val="none"/>
        </w:rPr>
        <w:fldChar w:fldCharType="separate"/>
      </w:r>
      <w:r>
        <w:rPr>
          <w:rFonts w:hint="default" w:ascii="Times New Roman" w:hAnsi="Times New Roman" w:eastAsia="仿宋_GB2312" w:cs="Times New Roman"/>
          <w:bCs/>
          <w:sz w:val="24"/>
          <w:szCs w:val="24"/>
        </w:rPr>
        <w:t>2.5拆迁安置与专项设施改（迁）建</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_Toc2363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25</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kern w:val="44"/>
          <w:sz w:val="24"/>
          <w:szCs w:val="24"/>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480" w:lineRule="exact"/>
        <w:ind w:firstLine="240" w:firstLineChars="1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kern w:val="44"/>
          <w:sz w:val="24"/>
          <w:szCs w:val="24"/>
          <w:highlight w:val="none"/>
        </w:rPr>
        <w:fldChar w:fldCharType="begin"/>
      </w:r>
      <w:r>
        <w:rPr>
          <w:rFonts w:hint="default" w:ascii="Times New Roman" w:hAnsi="Times New Roman" w:eastAsia="仿宋_GB2312" w:cs="Times New Roman"/>
          <w:kern w:val="44"/>
          <w:sz w:val="24"/>
          <w:szCs w:val="24"/>
          <w:highlight w:val="none"/>
        </w:rPr>
        <w:instrText xml:space="preserve"> HYPERLINK \l _Toc15684 </w:instrText>
      </w:r>
      <w:r>
        <w:rPr>
          <w:rFonts w:hint="default" w:ascii="Times New Roman" w:hAnsi="Times New Roman" w:eastAsia="仿宋_GB2312" w:cs="Times New Roman"/>
          <w:kern w:val="44"/>
          <w:sz w:val="24"/>
          <w:szCs w:val="24"/>
          <w:highlight w:val="none"/>
        </w:rPr>
        <w:fldChar w:fldCharType="separate"/>
      </w:r>
      <w:r>
        <w:rPr>
          <w:rFonts w:hint="default" w:ascii="Times New Roman" w:hAnsi="Times New Roman" w:eastAsia="仿宋_GB2312" w:cs="Times New Roman"/>
          <w:bCs/>
          <w:sz w:val="24"/>
          <w:szCs w:val="24"/>
        </w:rPr>
        <w:t>2.6施工进度</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_Toc15684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25</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kern w:val="44"/>
          <w:sz w:val="24"/>
          <w:szCs w:val="24"/>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480" w:lineRule="exact"/>
        <w:ind w:firstLine="240" w:firstLineChars="1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kern w:val="44"/>
          <w:sz w:val="24"/>
          <w:szCs w:val="24"/>
          <w:highlight w:val="none"/>
        </w:rPr>
        <w:fldChar w:fldCharType="begin"/>
      </w:r>
      <w:r>
        <w:rPr>
          <w:rFonts w:hint="default" w:ascii="Times New Roman" w:hAnsi="Times New Roman" w:eastAsia="仿宋_GB2312" w:cs="Times New Roman"/>
          <w:kern w:val="44"/>
          <w:sz w:val="24"/>
          <w:szCs w:val="24"/>
          <w:highlight w:val="none"/>
        </w:rPr>
        <w:instrText xml:space="preserve"> HYPERLINK \l _Toc22653 </w:instrText>
      </w:r>
      <w:r>
        <w:rPr>
          <w:rFonts w:hint="default" w:ascii="Times New Roman" w:hAnsi="Times New Roman" w:eastAsia="仿宋_GB2312" w:cs="Times New Roman"/>
          <w:kern w:val="44"/>
          <w:sz w:val="24"/>
          <w:szCs w:val="24"/>
          <w:highlight w:val="none"/>
        </w:rPr>
        <w:fldChar w:fldCharType="separate"/>
      </w:r>
      <w:r>
        <w:rPr>
          <w:rFonts w:hint="default" w:ascii="Times New Roman" w:hAnsi="Times New Roman" w:eastAsia="仿宋_GB2312" w:cs="Times New Roman"/>
          <w:bCs/>
          <w:sz w:val="24"/>
          <w:szCs w:val="24"/>
        </w:rPr>
        <w:t>2.7自然概况</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_Toc22653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27</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kern w:val="44"/>
          <w:sz w:val="24"/>
          <w:szCs w:val="24"/>
          <w:highlight w:val="none"/>
        </w:rPr>
        <w:fldChar w:fldCharType="end"/>
      </w:r>
    </w:p>
    <w:p>
      <w:pPr>
        <w:pStyle w:val="61"/>
        <w:keepNext w:val="0"/>
        <w:keepLines w:val="0"/>
        <w:pageBreakBefore w:val="0"/>
        <w:widowControl w:val="0"/>
        <w:tabs>
          <w:tab w:val="right" w:leader="dot" w:pos="8408"/>
          <w:tab w:val="clear" w:pos="8400"/>
        </w:tabs>
        <w:kinsoku/>
        <w:wordWrap/>
        <w:overflowPunct/>
        <w:topLinePunct w:val="0"/>
        <w:autoSpaceDE/>
        <w:autoSpaceDN/>
        <w:bidi w:val="0"/>
        <w:adjustRightInd/>
        <w:snapToGrid/>
        <w:spacing w:before="0" w:beforeLines="0" w:line="480" w:lineRule="exact"/>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kern w:val="44"/>
          <w:sz w:val="24"/>
          <w:szCs w:val="24"/>
          <w:highlight w:val="none"/>
        </w:rPr>
        <w:fldChar w:fldCharType="begin"/>
      </w:r>
      <w:r>
        <w:rPr>
          <w:rFonts w:hint="default" w:ascii="Times New Roman" w:hAnsi="Times New Roman" w:eastAsia="仿宋_GB2312" w:cs="Times New Roman"/>
          <w:kern w:val="44"/>
          <w:sz w:val="24"/>
          <w:szCs w:val="24"/>
          <w:highlight w:val="none"/>
        </w:rPr>
        <w:instrText xml:space="preserve"> HYPERLINK \l _Toc23177 </w:instrText>
      </w:r>
      <w:r>
        <w:rPr>
          <w:rFonts w:hint="default" w:ascii="Times New Roman" w:hAnsi="Times New Roman" w:eastAsia="仿宋_GB2312" w:cs="Times New Roman"/>
          <w:kern w:val="44"/>
          <w:sz w:val="24"/>
          <w:szCs w:val="24"/>
          <w:highlight w:val="none"/>
        </w:rPr>
        <w:fldChar w:fldCharType="separate"/>
      </w:r>
      <w:r>
        <w:rPr>
          <w:rFonts w:hint="default" w:ascii="Times New Roman" w:hAnsi="Times New Roman" w:eastAsia="仿宋_GB2312" w:cs="Times New Roman"/>
          <w:bCs w:val="0"/>
          <w:sz w:val="24"/>
          <w:szCs w:val="24"/>
        </w:rPr>
        <w:t>3项目水土保持评价</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_Toc23177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30</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kern w:val="44"/>
          <w:sz w:val="24"/>
          <w:szCs w:val="24"/>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480" w:lineRule="exact"/>
        <w:ind w:firstLine="240" w:firstLineChars="1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kern w:val="44"/>
          <w:sz w:val="24"/>
          <w:szCs w:val="24"/>
          <w:highlight w:val="none"/>
        </w:rPr>
        <w:fldChar w:fldCharType="begin"/>
      </w:r>
      <w:r>
        <w:rPr>
          <w:rFonts w:hint="default" w:ascii="Times New Roman" w:hAnsi="Times New Roman" w:eastAsia="仿宋_GB2312" w:cs="Times New Roman"/>
          <w:kern w:val="44"/>
          <w:sz w:val="24"/>
          <w:szCs w:val="24"/>
          <w:highlight w:val="none"/>
        </w:rPr>
        <w:instrText xml:space="preserve"> HYPERLINK \l _Toc11308 </w:instrText>
      </w:r>
      <w:r>
        <w:rPr>
          <w:rFonts w:hint="default" w:ascii="Times New Roman" w:hAnsi="Times New Roman" w:eastAsia="仿宋_GB2312" w:cs="Times New Roman"/>
          <w:kern w:val="44"/>
          <w:sz w:val="24"/>
          <w:szCs w:val="24"/>
          <w:highlight w:val="none"/>
        </w:rPr>
        <w:fldChar w:fldCharType="separate"/>
      </w:r>
      <w:r>
        <w:rPr>
          <w:rFonts w:hint="default" w:ascii="Times New Roman" w:hAnsi="Times New Roman" w:eastAsia="仿宋_GB2312" w:cs="Times New Roman"/>
          <w:bCs/>
          <w:sz w:val="24"/>
          <w:szCs w:val="24"/>
        </w:rPr>
        <w:t>3.1主体工程选址（线）水土保持评价</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_Toc11308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30</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kern w:val="44"/>
          <w:sz w:val="24"/>
          <w:szCs w:val="24"/>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480" w:lineRule="exact"/>
        <w:ind w:firstLine="240" w:firstLineChars="1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kern w:val="44"/>
          <w:sz w:val="24"/>
          <w:szCs w:val="24"/>
          <w:highlight w:val="none"/>
        </w:rPr>
        <w:fldChar w:fldCharType="begin"/>
      </w:r>
      <w:r>
        <w:rPr>
          <w:rFonts w:hint="default" w:ascii="Times New Roman" w:hAnsi="Times New Roman" w:eastAsia="仿宋_GB2312" w:cs="Times New Roman"/>
          <w:kern w:val="44"/>
          <w:sz w:val="24"/>
          <w:szCs w:val="24"/>
          <w:highlight w:val="none"/>
        </w:rPr>
        <w:instrText xml:space="preserve"> HYPERLINK \l _Toc30491 </w:instrText>
      </w:r>
      <w:r>
        <w:rPr>
          <w:rFonts w:hint="default" w:ascii="Times New Roman" w:hAnsi="Times New Roman" w:eastAsia="仿宋_GB2312" w:cs="Times New Roman"/>
          <w:kern w:val="44"/>
          <w:sz w:val="24"/>
          <w:szCs w:val="24"/>
          <w:highlight w:val="none"/>
        </w:rPr>
        <w:fldChar w:fldCharType="separate"/>
      </w:r>
      <w:r>
        <w:rPr>
          <w:rFonts w:hint="default" w:ascii="Times New Roman" w:hAnsi="Times New Roman" w:eastAsia="仿宋_GB2312" w:cs="Times New Roman"/>
          <w:bCs/>
          <w:sz w:val="24"/>
          <w:szCs w:val="24"/>
        </w:rPr>
        <w:t>3.2建设方案与布局水土保持评价</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_Toc30491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31</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kern w:val="44"/>
          <w:sz w:val="24"/>
          <w:szCs w:val="24"/>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480" w:lineRule="exact"/>
        <w:ind w:firstLine="240" w:firstLineChars="1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kern w:val="44"/>
          <w:sz w:val="24"/>
          <w:szCs w:val="24"/>
          <w:highlight w:val="none"/>
        </w:rPr>
        <w:fldChar w:fldCharType="begin"/>
      </w:r>
      <w:r>
        <w:rPr>
          <w:rFonts w:hint="default" w:ascii="Times New Roman" w:hAnsi="Times New Roman" w:eastAsia="仿宋_GB2312" w:cs="Times New Roman"/>
          <w:kern w:val="44"/>
          <w:sz w:val="24"/>
          <w:szCs w:val="24"/>
          <w:highlight w:val="none"/>
        </w:rPr>
        <w:instrText xml:space="preserve"> HYPERLINK \l _Toc16695 </w:instrText>
      </w:r>
      <w:r>
        <w:rPr>
          <w:rFonts w:hint="default" w:ascii="Times New Roman" w:hAnsi="Times New Roman" w:eastAsia="仿宋_GB2312" w:cs="Times New Roman"/>
          <w:kern w:val="44"/>
          <w:sz w:val="24"/>
          <w:szCs w:val="24"/>
          <w:highlight w:val="none"/>
        </w:rPr>
        <w:fldChar w:fldCharType="separate"/>
      </w:r>
      <w:r>
        <w:rPr>
          <w:rFonts w:hint="default" w:ascii="Times New Roman" w:hAnsi="Times New Roman" w:eastAsia="仿宋_GB2312" w:cs="Times New Roman"/>
          <w:bCs/>
          <w:sz w:val="24"/>
          <w:szCs w:val="24"/>
        </w:rPr>
        <w:t>3.3主体工程设计中水土保持措施界定</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_Toc16695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34</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kern w:val="44"/>
          <w:sz w:val="24"/>
          <w:szCs w:val="24"/>
          <w:highlight w:val="none"/>
        </w:rPr>
        <w:fldChar w:fldCharType="end"/>
      </w:r>
    </w:p>
    <w:p>
      <w:pPr>
        <w:pStyle w:val="61"/>
        <w:keepNext w:val="0"/>
        <w:keepLines w:val="0"/>
        <w:pageBreakBefore w:val="0"/>
        <w:widowControl w:val="0"/>
        <w:tabs>
          <w:tab w:val="right" w:leader="dot" w:pos="8408"/>
          <w:tab w:val="clear" w:pos="8400"/>
        </w:tabs>
        <w:kinsoku/>
        <w:wordWrap/>
        <w:overflowPunct/>
        <w:topLinePunct w:val="0"/>
        <w:autoSpaceDE/>
        <w:autoSpaceDN/>
        <w:bidi w:val="0"/>
        <w:adjustRightInd/>
        <w:snapToGrid/>
        <w:spacing w:before="0" w:beforeLines="0" w:line="480" w:lineRule="exact"/>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kern w:val="44"/>
          <w:sz w:val="24"/>
          <w:szCs w:val="24"/>
          <w:highlight w:val="none"/>
        </w:rPr>
        <w:fldChar w:fldCharType="begin"/>
      </w:r>
      <w:r>
        <w:rPr>
          <w:rFonts w:hint="default" w:ascii="Times New Roman" w:hAnsi="Times New Roman" w:eastAsia="仿宋_GB2312" w:cs="Times New Roman"/>
          <w:kern w:val="44"/>
          <w:sz w:val="24"/>
          <w:szCs w:val="24"/>
          <w:highlight w:val="none"/>
        </w:rPr>
        <w:instrText xml:space="preserve"> HYPERLINK \l _Toc25306 </w:instrText>
      </w:r>
      <w:r>
        <w:rPr>
          <w:rFonts w:hint="default" w:ascii="Times New Roman" w:hAnsi="Times New Roman" w:eastAsia="仿宋_GB2312" w:cs="Times New Roman"/>
          <w:kern w:val="44"/>
          <w:sz w:val="24"/>
          <w:szCs w:val="24"/>
          <w:highlight w:val="none"/>
        </w:rPr>
        <w:fldChar w:fldCharType="separate"/>
      </w:r>
      <w:r>
        <w:rPr>
          <w:rFonts w:hint="default" w:ascii="Times New Roman" w:hAnsi="Times New Roman" w:eastAsia="仿宋_GB2312" w:cs="Times New Roman"/>
          <w:bCs w:val="0"/>
          <w:sz w:val="24"/>
          <w:szCs w:val="24"/>
        </w:rPr>
        <w:t>4水土流失分析与预测</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_Toc25306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36</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kern w:val="44"/>
          <w:sz w:val="24"/>
          <w:szCs w:val="24"/>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480" w:lineRule="exact"/>
        <w:ind w:firstLine="240" w:firstLineChars="1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kern w:val="44"/>
          <w:sz w:val="24"/>
          <w:szCs w:val="24"/>
          <w:highlight w:val="none"/>
        </w:rPr>
        <w:fldChar w:fldCharType="begin"/>
      </w:r>
      <w:r>
        <w:rPr>
          <w:rFonts w:hint="default" w:ascii="Times New Roman" w:hAnsi="Times New Roman" w:eastAsia="仿宋_GB2312" w:cs="Times New Roman"/>
          <w:kern w:val="44"/>
          <w:sz w:val="24"/>
          <w:szCs w:val="24"/>
          <w:highlight w:val="none"/>
        </w:rPr>
        <w:instrText xml:space="preserve"> HYPERLINK \l _Toc15355 </w:instrText>
      </w:r>
      <w:r>
        <w:rPr>
          <w:rFonts w:hint="default" w:ascii="Times New Roman" w:hAnsi="Times New Roman" w:eastAsia="仿宋_GB2312" w:cs="Times New Roman"/>
          <w:kern w:val="44"/>
          <w:sz w:val="24"/>
          <w:szCs w:val="24"/>
          <w:highlight w:val="none"/>
        </w:rPr>
        <w:fldChar w:fldCharType="separate"/>
      </w:r>
      <w:r>
        <w:rPr>
          <w:rFonts w:hint="default" w:ascii="Times New Roman" w:hAnsi="Times New Roman" w:eastAsia="仿宋_GB2312" w:cs="Times New Roman"/>
          <w:bCs/>
          <w:sz w:val="24"/>
          <w:szCs w:val="24"/>
        </w:rPr>
        <w:t>4.1水土流失现状</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_Toc15355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36</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kern w:val="44"/>
          <w:sz w:val="24"/>
          <w:szCs w:val="24"/>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480" w:lineRule="exact"/>
        <w:ind w:firstLine="240" w:firstLineChars="1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kern w:val="44"/>
          <w:sz w:val="24"/>
          <w:szCs w:val="24"/>
          <w:highlight w:val="none"/>
        </w:rPr>
        <w:fldChar w:fldCharType="begin"/>
      </w:r>
      <w:r>
        <w:rPr>
          <w:rFonts w:hint="default" w:ascii="Times New Roman" w:hAnsi="Times New Roman" w:eastAsia="仿宋_GB2312" w:cs="Times New Roman"/>
          <w:kern w:val="44"/>
          <w:sz w:val="24"/>
          <w:szCs w:val="24"/>
          <w:highlight w:val="none"/>
        </w:rPr>
        <w:instrText xml:space="preserve"> HYPERLINK \l _Toc31909 </w:instrText>
      </w:r>
      <w:r>
        <w:rPr>
          <w:rFonts w:hint="default" w:ascii="Times New Roman" w:hAnsi="Times New Roman" w:eastAsia="仿宋_GB2312" w:cs="Times New Roman"/>
          <w:kern w:val="44"/>
          <w:sz w:val="24"/>
          <w:szCs w:val="24"/>
          <w:highlight w:val="none"/>
        </w:rPr>
        <w:fldChar w:fldCharType="separate"/>
      </w:r>
      <w:r>
        <w:rPr>
          <w:rFonts w:hint="default" w:ascii="Times New Roman" w:hAnsi="Times New Roman" w:eastAsia="仿宋_GB2312" w:cs="Times New Roman"/>
          <w:bCs/>
          <w:sz w:val="24"/>
          <w:szCs w:val="24"/>
        </w:rPr>
        <w:t>4.2水土流失影响因素分析</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_Toc31909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36</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kern w:val="44"/>
          <w:sz w:val="24"/>
          <w:szCs w:val="24"/>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480" w:lineRule="exact"/>
        <w:ind w:firstLine="240" w:firstLineChars="1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kern w:val="44"/>
          <w:sz w:val="24"/>
          <w:szCs w:val="24"/>
          <w:highlight w:val="none"/>
        </w:rPr>
        <w:fldChar w:fldCharType="begin"/>
      </w:r>
      <w:r>
        <w:rPr>
          <w:rFonts w:hint="default" w:ascii="Times New Roman" w:hAnsi="Times New Roman" w:eastAsia="仿宋_GB2312" w:cs="Times New Roman"/>
          <w:kern w:val="44"/>
          <w:sz w:val="24"/>
          <w:szCs w:val="24"/>
          <w:highlight w:val="none"/>
        </w:rPr>
        <w:instrText xml:space="preserve"> HYPERLINK \l _Toc1010 </w:instrText>
      </w:r>
      <w:r>
        <w:rPr>
          <w:rFonts w:hint="default" w:ascii="Times New Roman" w:hAnsi="Times New Roman" w:eastAsia="仿宋_GB2312" w:cs="Times New Roman"/>
          <w:kern w:val="44"/>
          <w:sz w:val="24"/>
          <w:szCs w:val="24"/>
          <w:highlight w:val="none"/>
        </w:rPr>
        <w:fldChar w:fldCharType="separate"/>
      </w:r>
      <w:r>
        <w:rPr>
          <w:rFonts w:hint="default" w:ascii="Times New Roman" w:hAnsi="Times New Roman" w:eastAsia="仿宋_GB2312" w:cs="Times New Roman"/>
          <w:bCs/>
          <w:sz w:val="24"/>
          <w:szCs w:val="24"/>
        </w:rPr>
        <w:t>4.3土壤流失量预测</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_Toc1010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37</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kern w:val="44"/>
          <w:sz w:val="24"/>
          <w:szCs w:val="24"/>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480" w:lineRule="exact"/>
        <w:ind w:firstLine="240" w:firstLineChars="1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kern w:val="44"/>
          <w:sz w:val="24"/>
          <w:szCs w:val="24"/>
          <w:highlight w:val="none"/>
        </w:rPr>
        <w:fldChar w:fldCharType="begin"/>
      </w:r>
      <w:r>
        <w:rPr>
          <w:rFonts w:hint="default" w:ascii="Times New Roman" w:hAnsi="Times New Roman" w:eastAsia="仿宋_GB2312" w:cs="Times New Roman"/>
          <w:kern w:val="44"/>
          <w:sz w:val="24"/>
          <w:szCs w:val="24"/>
          <w:highlight w:val="none"/>
        </w:rPr>
        <w:instrText xml:space="preserve"> HYPERLINK \l _Toc18908 </w:instrText>
      </w:r>
      <w:r>
        <w:rPr>
          <w:rFonts w:hint="default" w:ascii="Times New Roman" w:hAnsi="Times New Roman" w:eastAsia="仿宋_GB2312" w:cs="Times New Roman"/>
          <w:kern w:val="44"/>
          <w:sz w:val="24"/>
          <w:szCs w:val="24"/>
          <w:highlight w:val="none"/>
        </w:rPr>
        <w:fldChar w:fldCharType="separate"/>
      </w:r>
      <w:r>
        <w:rPr>
          <w:rFonts w:hint="default" w:ascii="Times New Roman" w:hAnsi="Times New Roman" w:eastAsia="仿宋_GB2312" w:cs="Times New Roman"/>
          <w:bCs/>
          <w:sz w:val="24"/>
          <w:szCs w:val="24"/>
        </w:rPr>
        <w:t>4.4水土流失危害分析</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_Toc18908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40</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kern w:val="44"/>
          <w:sz w:val="24"/>
          <w:szCs w:val="24"/>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480" w:lineRule="exact"/>
        <w:ind w:firstLine="240" w:firstLineChars="1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kern w:val="44"/>
          <w:sz w:val="24"/>
          <w:szCs w:val="24"/>
          <w:highlight w:val="none"/>
        </w:rPr>
        <w:fldChar w:fldCharType="begin"/>
      </w:r>
      <w:r>
        <w:rPr>
          <w:rFonts w:hint="default" w:ascii="Times New Roman" w:hAnsi="Times New Roman" w:eastAsia="仿宋_GB2312" w:cs="Times New Roman"/>
          <w:kern w:val="44"/>
          <w:sz w:val="24"/>
          <w:szCs w:val="24"/>
          <w:highlight w:val="none"/>
        </w:rPr>
        <w:instrText xml:space="preserve"> HYPERLINK \l _Toc32156 </w:instrText>
      </w:r>
      <w:r>
        <w:rPr>
          <w:rFonts w:hint="default" w:ascii="Times New Roman" w:hAnsi="Times New Roman" w:eastAsia="仿宋_GB2312" w:cs="Times New Roman"/>
          <w:kern w:val="44"/>
          <w:sz w:val="24"/>
          <w:szCs w:val="24"/>
          <w:highlight w:val="none"/>
        </w:rPr>
        <w:fldChar w:fldCharType="separate"/>
      </w:r>
      <w:r>
        <w:rPr>
          <w:rFonts w:hint="default" w:ascii="Times New Roman" w:hAnsi="Times New Roman" w:eastAsia="仿宋_GB2312" w:cs="Times New Roman"/>
          <w:bCs/>
          <w:sz w:val="24"/>
          <w:szCs w:val="24"/>
        </w:rPr>
        <w:t>4.5指导意见</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_Toc32156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41</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kern w:val="44"/>
          <w:sz w:val="24"/>
          <w:szCs w:val="24"/>
          <w:highlight w:val="none"/>
        </w:rPr>
        <w:fldChar w:fldCharType="end"/>
      </w:r>
    </w:p>
    <w:p>
      <w:pPr>
        <w:pStyle w:val="61"/>
        <w:keepNext w:val="0"/>
        <w:keepLines w:val="0"/>
        <w:pageBreakBefore w:val="0"/>
        <w:widowControl w:val="0"/>
        <w:tabs>
          <w:tab w:val="right" w:leader="dot" w:pos="8408"/>
          <w:tab w:val="clear" w:pos="8400"/>
        </w:tabs>
        <w:kinsoku/>
        <w:wordWrap/>
        <w:overflowPunct/>
        <w:topLinePunct w:val="0"/>
        <w:autoSpaceDE/>
        <w:autoSpaceDN/>
        <w:bidi w:val="0"/>
        <w:adjustRightInd/>
        <w:snapToGrid/>
        <w:spacing w:before="0" w:beforeLines="0" w:line="480" w:lineRule="exact"/>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kern w:val="44"/>
          <w:sz w:val="24"/>
          <w:szCs w:val="24"/>
          <w:highlight w:val="none"/>
        </w:rPr>
        <w:fldChar w:fldCharType="begin"/>
      </w:r>
      <w:r>
        <w:rPr>
          <w:rFonts w:hint="default" w:ascii="Times New Roman" w:hAnsi="Times New Roman" w:eastAsia="仿宋_GB2312" w:cs="Times New Roman"/>
          <w:kern w:val="44"/>
          <w:sz w:val="24"/>
          <w:szCs w:val="24"/>
          <w:highlight w:val="none"/>
        </w:rPr>
        <w:instrText xml:space="preserve"> HYPERLINK \l _Toc18201 </w:instrText>
      </w:r>
      <w:r>
        <w:rPr>
          <w:rFonts w:hint="default" w:ascii="Times New Roman" w:hAnsi="Times New Roman" w:eastAsia="仿宋_GB2312" w:cs="Times New Roman"/>
          <w:kern w:val="44"/>
          <w:sz w:val="24"/>
          <w:szCs w:val="24"/>
          <w:highlight w:val="none"/>
        </w:rPr>
        <w:fldChar w:fldCharType="separate"/>
      </w:r>
      <w:r>
        <w:rPr>
          <w:rFonts w:hint="default" w:ascii="Times New Roman" w:hAnsi="Times New Roman" w:eastAsia="仿宋_GB2312" w:cs="Times New Roman"/>
          <w:bCs w:val="0"/>
          <w:sz w:val="24"/>
          <w:szCs w:val="24"/>
        </w:rPr>
        <w:t>5水土保持措施</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_Toc18201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43</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kern w:val="44"/>
          <w:sz w:val="24"/>
          <w:szCs w:val="24"/>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480" w:lineRule="exact"/>
        <w:ind w:firstLine="240" w:firstLineChars="1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kern w:val="44"/>
          <w:sz w:val="24"/>
          <w:szCs w:val="24"/>
          <w:highlight w:val="none"/>
        </w:rPr>
        <w:fldChar w:fldCharType="begin"/>
      </w:r>
      <w:r>
        <w:rPr>
          <w:rFonts w:hint="default" w:ascii="Times New Roman" w:hAnsi="Times New Roman" w:eastAsia="仿宋_GB2312" w:cs="Times New Roman"/>
          <w:kern w:val="44"/>
          <w:sz w:val="24"/>
          <w:szCs w:val="24"/>
          <w:highlight w:val="none"/>
        </w:rPr>
        <w:instrText xml:space="preserve"> HYPERLINK \l _Toc7385 </w:instrText>
      </w:r>
      <w:r>
        <w:rPr>
          <w:rFonts w:hint="default" w:ascii="Times New Roman" w:hAnsi="Times New Roman" w:eastAsia="仿宋_GB2312" w:cs="Times New Roman"/>
          <w:kern w:val="44"/>
          <w:sz w:val="24"/>
          <w:szCs w:val="24"/>
          <w:highlight w:val="none"/>
        </w:rPr>
        <w:fldChar w:fldCharType="separate"/>
      </w:r>
      <w:r>
        <w:rPr>
          <w:rFonts w:hint="default" w:ascii="Times New Roman" w:hAnsi="Times New Roman" w:eastAsia="仿宋_GB2312" w:cs="Times New Roman"/>
          <w:bCs/>
          <w:sz w:val="24"/>
          <w:szCs w:val="24"/>
        </w:rPr>
        <w:t>5.1防治区划分</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_Toc7385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43</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kern w:val="44"/>
          <w:sz w:val="24"/>
          <w:szCs w:val="24"/>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480" w:lineRule="exact"/>
        <w:ind w:firstLine="240" w:firstLineChars="1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kern w:val="44"/>
          <w:sz w:val="24"/>
          <w:szCs w:val="24"/>
          <w:highlight w:val="none"/>
        </w:rPr>
        <w:fldChar w:fldCharType="begin"/>
      </w:r>
      <w:r>
        <w:rPr>
          <w:rFonts w:hint="default" w:ascii="Times New Roman" w:hAnsi="Times New Roman" w:eastAsia="仿宋_GB2312" w:cs="Times New Roman"/>
          <w:kern w:val="44"/>
          <w:sz w:val="24"/>
          <w:szCs w:val="24"/>
          <w:highlight w:val="none"/>
        </w:rPr>
        <w:instrText xml:space="preserve"> HYPERLINK \l _Toc9122 </w:instrText>
      </w:r>
      <w:r>
        <w:rPr>
          <w:rFonts w:hint="default" w:ascii="Times New Roman" w:hAnsi="Times New Roman" w:eastAsia="仿宋_GB2312" w:cs="Times New Roman"/>
          <w:kern w:val="44"/>
          <w:sz w:val="24"/>
          <w:szCs w:val="24"/>
          <w:highlight w:val="none"/>
        </w:rPr>
        <w:fldChar w:fldCharType="separate"/>
      </w:r>
      <w:r>
        <w:rPr>
          <w:rFonts w:hint="default" w:ascii="Times New Roman" w:hAnsi="Times New Roman" w:eastAsia="仿宋_GB2312" w:cs="Times New Roman"/>
          <w:bCs/>
          <w:sz w:val="24"/>
          <w:szCs w:val="24"/>
        </w:rPr>
        <w:t>5.2措施总体布局</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_Toc9122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43</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kern w:val="44"/>
          <w:sz w:val="24"/>
          <w:szCs w:val="24"/>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480" w:lineRule="exact"/>
        <w:ind w:firstLine="240" w:firstLineChars="1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kern w:val="44"/>
          <w:sz w:val="24"/>
          <w:szCs w:val="24"/>
          <w:highlight w:val="none"/>
        </w:rPr>
        <w:fldChar w:fldCharType="begin"/>
      </w:r>
      <w:r>
        <w:rPr>
          <w:rFonts w:hint="default" w:ascii="Times New Roman" w:hAnsi="Times New Roman" w:eastAsia="仿宋_GB2312" w:cs="Times New Roman"/>
          <w:kern w:val="44"/>
          <w:sz w:val="24"/>
          <w:szCs w:val="24"/>
          <w:highlight w:val="none"/>
        </w:rPr>
        <w:instrText xml:space="preserve"> HYPERLINK \l _Toc23325 </w:instrText>
      </w:r>
      <w:r>
        <w:rPr>
          <w:rFonts w:hint="default" w:ascii="Times New Roman" w:hAnsi="Times New Roman" w:eastAsia="仿宋_GB2312" w:cs="Times New Roman"/>
          <w:kern w:val="44"/>
          <w:sz w:val="24"/>
          <w:szCs w:val="24"/>
          <w:highlight w:val="none"/>
        </w:rPr>
        <w:fldChar w:fldCharType="separate"/>
      </w:r>
      <w:r>
        <w:rPr>
          <w:rFonts w:hint="default" w:ascii="Times New Roman" w:hAnsi="Times New Roman" w:eastAsia="仿宋_GB2312" w:cs="Times New Roman"/>
          <w:bCs/>
          <w:sz w:val="24"/>
          <w:szCs w:val="24"/>
        </w:rPr>
        <w:t>5.3分区措施布设</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_Toc23325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44</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kern w:val="44"/>
          <w:sz w:val="24"/>
          <w:szCs w:val="24"/>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480" w:lineRule="exact"/>
        <w:ind w:firstLine="240" w:firstLineChars="1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kern w:val="44"/>
          <w:sz w:val="24"/>
          <w:szCs w:val="24"/>
          <w:highlight w:val="none"/>
        </w:rPr>
        <w:fldChar w:fldCharType="begin"/>
      </w:r>
      <w:r>
        <w:rPr>
          <w:rFonts w:hint="default" w:ascii="Times New Roman" w:hAnsi="Times New Roman" w:eastAsia="仿宋_GB2312" w:cs="Times New Roman"/>
          <w:kern w:val="44"/>
          <w:sz w:val="24"/>
          <w:szCs w:val="24"/>
          <w:highlight w:val="none"/>
        </w:rPr>
        <w:instrText xml:space="preserve"> HYPERLINK \l _Toc25943 </w:instrText>
      </w:r>
      <w:r>
        <w:rPr>
          <w:rFonts w:hint="default" w:ascii="Times New Roman" w:hAnsi="Times New Roman" w:eastAsia="仿宋_GB2312" w:cs="Times New Roman"/>
          <w:kern w:val="44"/>
          <w:sz w:val="24"/>
          <w:szCs w:val="24"/>
          <w:highlight w:val="none"/>
        </w:rPr>
        <w:fldChar w:fldCharType="separate"/>
      </w:r>
      <w:r>
        <w:rPr>
          <w:rFonts w:hint="default" w:ascii="Times New Roman" w:hAnsi="Times New Roman" w:eastAsia="仿宋_GB2312" w:cs="Times New Roman"/>
          <w:bCs/>
          <w:sz w:val="24"/>
          <w:szCs w:val="24"/>
        </w:rPr>
        <w:t>5.</w:t>
      </w:r>
      <w:r>
        <w:rPr>
          <w:rFonts w:hint="default" w:ascii="Times New Roman" w:hAnsi="Times New Roman" w:eastAsia="仿宋_GB2312" w:cs="Times New Roman"/>
          <w:bCs/>
          <w:sz w:val="24"/>
          <w:szCs w:val="24"/>
          <w:lang w:val="en-US" w:eastAsia="zh-CN"/>
        </w:rPr>
        <w:t>4</w:t>
      </w:r>
      <w:r>
        <w:rPr>
          <w:rFonts w:hint="default" w:ascii="Times New Roman" w:hAnsi="Times New Roman" w:eastAsia="仿宋_GB2312" w:cs="Times New Roman"/>
          <w:bCs/>
          <w:sz w:val="24"/>
          <w:szCs w:val="24"/>
        </w:rPr>
        <w:t>施工要求</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_Toc25943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45</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kern w:val="44"/>
          <w:sz w:val="24"/>
          <w:szCs w:val="24"/>
          <w:highlight w:val="none"/>
        </w:rPr>
        <w:fldChar w:fldCharType="end"/>
      </w:r>
    </w:p>
    <w:p>
      <w:pPr>
        <w:pStyle w:val="61"/>
        <w:keepNext w:val="0"/>
        <w:keepLines w:val="0"/>
        <w:pageBreakBefore w:val="0"/>
        <w:widowControl w:val="0"/>
        <w:tabs>
          <w:tab w:val="right" w:leader="dot" w:pos="8408"/>
          <w:tab w:val="clear" w:pos="8400"/>
        </w:tabs>
        <w:kinsoku/>
        <w:wordWrap/>
        <w:overflowPunct/>
        <w:topLinePunct w:val="0"/>
        <w:autoSpaceDE/>
        <w:autoSpaceDN/>
        <w:bidi w:val="0"/>
        <w:adjustRightInd/>
        <w:snapToGrid/>
        <w:spacing w:before="0" w:beforeLines="0" w:line="480" w:lineRule="exact"/>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kern w:val="44"/>
          <w:sz w:val="24"/>
          <w:szCs w:val="24"/>
          <w:highlight w:val="none"/>
        </w:rPr>
        <w:fldChar w:fldCharType="begin"/>
      </w:r>
      <w:r>
        <w:rPr>
          <w:rFonts w:hint="default" w:ascii="Times New Roman" w:hAnsi="Times New Roman" w:eastAsia="仿宋_GB2312" w:cs="Times New Roman"/>
          <w:kern w:val="44"/>
          <w:sz w:val="24"/>
          <w:szCs w:val="24"/>
          <w:highlight w:val="none"/>
        </w:rPr>
        <w:instrText xml:space="preserve"> HYPERLINK \l _Toc14361 </w:instrText>
      </w:r>
      <w:r>
        <w:rPr>
          <w:rFonts w:hint="default" w:ascii="Times New Roman" w:hAnsi="Times New Roman" w:eastAsia="仿宋_GB2312" w:cs="Times New Roman"/>
          <w:kern w:val="44"/>
          <w:sz w:val="24"/>
          <w:szCs w:val="24"/>
          <w:highlight w:val="none"/>
        </w:rPr>
        <w:fldChar w:fldCharType="separate"/>
      </w:r>
      <w:r>
        <w:rPr>
          <w:rFonts w:hint="default" w:ascii="Times New Roman" w:hAnsi="Times New Roman" w:eastAsia="仿宋_GB2312" w:cs="Times New Roman"/>
          <w:bCs w:val="0"/>
          <w:sz w:val="24"/>
          <w:szCs w:val="24"/>
        </w:rPr>
        <w:t>6水土保持监测</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_Toc14361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49</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kern w:val="44"/>
          <w:sz w:val="24"/>
          <w:szCs w:val="24"/>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480" w:lineRule="exact"/>
        <w:ind w:firstLine="240" w:firstLineChars="1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kern w:val="44"/>
          <w:sz w:val="24"/>
          <w:szCs w:val="24"/>
          <w:highlight w:val="none"/>
        </w:rPr>
        <w:fldChar w:fldCharType="begin"/>
      </w:r>
      <w:r>
        <w:rPr>
          <w:rFonts w:hint="default" w:ascii="Times New Roman" w:hAnsi="Times New Roman" w:eastAsia="仿宋_GB2312" w:cs="Times New Roman"/>
          <w:kern w:val="44"/>
          <w:sz w:val="24"/>
          <w:szCs w:val="24"/>
          <w:highlight w:val="none"/>
        </w:rPr>
        <w:instrText xml:space="preserve"> HYPERLINK \l _Toc8494 </w:instrText>
      </w:r>
      <w:r>
        <w:rPr>
          <w:rFonts w:hint="default" w:ascii="Times New Roman" w:hAnsi="Times New Roman" w:eastAsia="仿宋_GB2312" w:cs="Times New Roman"/>
          <w:kern w:val="44"/>
          <w:sz w:val="24"/>
          <w:szCs w:val="24"/>
          <w:highlight w:val="none"/>
        </w:rPr>
        <w:fldChar w:fldCharType="separate"/>
      </w:r>
      <w:r>
        <w:rPr>
          <w:rFonts w:hint="default" w:ascii="Times New Roman" w:hAnsi="Times New Roman" w:eastAsia="仿宋_GB2312" w:cs="Times New Roman"/>
          <w:bCs/>
          <w:sz w:val="24"/>
          <w:szCs w:val="24"/>
        </w:rPr>
        <w:t>6.1范围和时段</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_Toc8494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49</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kern w:val="44"/>
          <w:sz w:val="24"/>
          <w:szCs w:val="24"/>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480" w:lineRule="exact"/>
        <w:ind w:firstLine="240" w:firstLineChars="1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kern w:val="44"/>
          <w:sz w:val="24"/>
          <w:szCs w:val="24"/>
          <w:highlight w:val="none"/>
        </w:rPr>
        <w:fldChar w:fldCharType="begin"/>
      </w:r>
      <w:r>
        <w:rPr>
          <w:rFonts w:hint="default" w:ascii="Times New Roman" w:hAnsi="Times New Roman" w:eastAsia="仿宋_GB2312" w:cs="Times New Roman"/>
          <w:kern w:val="44"/>
          <w:sz w:val="24"/>
          <w:szCs w:val="24"/>
          <w:highlight w:val="none"/>
        </w:rPr>
        <w:instrText xml:space="preserve"> HYPERLINK \l _Toc24784 </w:instrText>
      </w:r>
      <w:r>
        <w:rPr>
          <w:rFonts w:hint="default" w:ascii="Times New Roman" w:hAnsi="Times New Roman" w:eastAsia="仿宋_GB2312" w:cs="Times New Roman"/>
          <w:kern w:val="44"/>
          <w:sz w:val="24"/>
          <w:szCs w:val="24"/>
          <w:highlight w:val="none"/>
        </w:rPr>
        <w:fldChar w:fldCharType="separate"/>
      </w:r>
      <w:r>
        <w:rPr>
          <w:rFonts w:hint="default" w:ascii="Times New Roman" w:hAnsi="Times New Roman" w:eastAsia="仿宋_GB2312" w:cs="Times New Roman"/>
          <w:bCs/>
          <w:sz w:val="24"/>
          <w:szCs w:val="24"/>
        </w:rPr>
        <w:t>6.2内容和方法</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_Toc24784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49</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kern w:val="44"/>
          <w:sz w:val="24"/>
          <w:szCs w:val="24"/>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480" w:lineRule="exact"/>
        <w:ind w:firstLine="240" w:firstLineChars="1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kern w:val="44"/>
          <w:sz w:val="24"/>
          <w:szCs w:val="24"/>
          <w:highlight w:val="none"/>
        </w:rPr>
        <w:fldChar w:fldCharType="begin"/>
      </w:r>
      <w:r>
        <w:rPr>
          <w:rFonts w:hint="default" w:ascii="Times New Roman" w:hAnsi="Times New Roman" w:eastAsia="仿宋_GB2312" w:cs="Times New Roman"/>
          <w:kern w:val="44"/>
          <w:sz w:val="24"/>
          <w:szCs w:val="24"/>
          <w:highlight w:val="none"/>
        </w:rPr>
        <w:instrText xml:space="preserve"> HYPERLINK \l _Toc5244 </w:instrText>
      </w:r>
      <w:r>
        <w:rPr>
          <w:rFonts w:hint="default" w:ascii="Times New Roman" w:hAnsi="Times New Roman" w:eastAsia="仿宋_GB2312" w:cs="Times New Roman"/>
          <w:kern w:val="44"/>
          <w:sz w:val="24"/>
          <w:szCs w:val="24"/>
          <w:highlight w:val="none"/>
        </w:rPr>
        <w:fldChar w:fldCharType="separate"/>
      </w:r>
      <w:r>
        <w:rPr>
          <w:rFonts w:hint="default" w:ascii="Times New Roman" w:hAnsi="Times New Roman" w:eastAsia="仿宋_GB2312" w:cs="Times New Roman"/>
          <w:bCs/>
          <w:sz w:val="24"/>
          <w:szCs w:val="24"/>
        </w:rPr>
        <w:t>6.3点位布设</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_Toc5244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52</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kern w:val="44"/>
          <w:sz w:val="24"/>
          <w:szCs w:val="24"/>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480" w:lineRule="exact"/>
        <w:ind w:firstLine="240" w:firstLineChars="1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kern w:val="44"/>
          <w:sz w:val="24"/>
          <w:szCs w:val="24"/>
          <w:highlight w:val="none"/>
        </w:rPr>
        <w:fldChar w:fldCharType="begin"/>
      </w:r>
      <w:r>
        <w:rPr>
          <w:rFonts w:hint="default" w:ascii="Times New Roman" w:hAnsi="Times New Roman" w:eastAsia="仿宋_GB2312" w:cs="Times New Roman"/>
          <w:kern w:val="44"/>
          <w:sz w:val="24"/>
          <w:szCs w:val="24"/>
          <w:highlight w:val="none"/>
        </w:rPr>
        <w:instrText xml:space="preserve"> HYPERLINK \l _Toc14384 </w:instrText>
      </w:r>
      <w:r>
        <w:rPr>
          <w:rFonts w:hint="default" w:ascii="Times New Roman" w:hAnsi="Times New Roman" w:eastAsia="仿宋_GB2312" w:cs="Times New Roman"/>
          <w:kern w:val="44"/>
          <w:sz w:val="24"/>
          <w:szCs w:val="24"/>
          <w:highlight w:val="none"/>
        </w:rPr>
        <w:fldChar w:fldCharType="separate"/>
      </w:r>
      <w:r>
        <w:rPr>
          <w:rFonts w:hint="default" w:ascii="Times New Roman" w:hAnsi="Times New Roman" w:eastAsia="仿宋_GB2312" w:cs="Times New Roman"/>
          <w:bCs/>
          <w:sz w:val="24"/>
          <w:szCs w:val="24"/>
        </w:rPr>
        <w:t>6.4实施条件和成果</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_Toc14384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52</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kern w:val="44"/>
          <w:sz w:val="24"/>
          <w:szCs w:val="24"/>
          <w:highlight w:val="none"/>
        </w:rPr>
        <w:fldChar w:fldCharType="end"/>
      </w:r>
    </w:p>
    <w:p>
      <w:pPr>
        <w:pStyle w:val="61"/>
        <w:keepNext w:val="0"/>
        <w:keepLines w:val="0"/>
        <w:pageBreakBefore w:val="0"/>
        <w:widowControl w:val="0"/>
        <w:tabs>
          <w:tab w:val="right" w:leader="dot" w:pos="8408"/>
          <w:tab w:val="clear" w:pos="8400"/>
        </w:tabs>
        <w:kinsoku/>
        <w:wordWrap/>
        <w:overflowPunct/>
        <w:topLinePunct w:val="0"/>
        <w:autoSpaceDE/>
        <w:autoSpaceDN/>
        <w:bidi w:val="0"/>
        <w:adjustRightInd/>
        <w:snapToGrid/>
        <w:spacing w:before="0" w:beforeLines="0" w:line="480" w:lineRule="exact"/>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kern w:val="44"/>
          <w:sz w:val="24"/>
          <w:szCs w:val="24"/>
          <w:highlight w:val="none"/>
        </w:rPr>
        <w:fldChar w:fldCharType="begin"/>
      </w:r>
      <w:r>
        <w:rPr>
          <w:rFonts w:hint="default" w:ascii="Times New Roman" w:hAnsi="Times New Roman" w:eastAsia="仿宋_GB2312" w:cs="Times New Roman"/>
          <w:kern w:val="44"/>
          <w:sz w:val="24"/>
          <w:szCs w:val="24"/>
          <w:highlight w:val="none"/>
        </w:rPr>
        <w:instrText xml:space="preserve"> HYPERLINK \l _Toc3484 </w:instrText>
      </w:r>
      <w:r>
        <w:rPr>
          <w:rFonts w:hint="default" w:ascii="Times New Roman" w:hAnsi="Times New Roman" w:eastAsia="仿宋_GB2312" w:cs="Times New Roman"/>
          <w:kern w:val="44"/>
          <w:sz w:val="24"/>
          <w:szCs w:val="24"/>
          <w:highlight w:val="none"/>
        </w:rPr>
        <w:fldChar w:fldCharType="separate"/>
      </w:r>
      <w:r>
        <w:rPr>
          <w:rFonts w:hint="default" w:ascii="Times New Roman" w:hAnsi="Times New Roman" w:eastAsia="仿宋_GB2312" w:cs="Times New Roman"/>
          <w:bCs w:val="0"/>
          <w:sz w:val="24"/>
          <w:szCs w:val="24"/>
        </w:rPr>
        <w:t>7水土保持投资估算及效益分析</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_Toc3484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57</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kern w:val="44"/>
          <w:sz w:val="24"/>
          <w:szCs w:val="24"/>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480" w:lineRule="exact"/>
        <w:ind w:firstLine="240" w:firstLineChars="1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kern w:val="44"/>
          <w:sz w:val="24"/>
          <w:szCs w:val="24"/>
          <w:highlight w:val="none"/>
        </w:rPr>
        <w:fldChar w:fldCharType="begin"/>
      </w:r>
      <w:r>
        <w:rPr>
          <w:rFonts w:hint="default" w:ascii="Times New Roman" w:hAnsi="Times New Roman" w:eastAsia="仿宋_GB2312" w:cs="Times New Roman"/>
          <w:kern w:val="44"/>
          <w:sz w:val="24"/>
          <w:szCs w:val="24"/>
          <w:highlight w:val="none"/>
        </w:rPr>
        <w:instrText xml:space="preserve"> HYPERLINK \l _Toc5548 </w:instrText>
      </w:r>
      <w:r>
        <w:rPr>
          <w:rFonts w:hint="default" w:ascii="Times New Roman" w:hAnsi="Times New Roman" w:eastAsia="仿宋_GB2312" w:cs="Times New Roman"/>
          <w:kern w:val="44"/>
          <w:sz w:val="24"/>
          <w:szCs w:val="24"/>
          <w:highlight w:val="none"/>
        </w:rPr>
        <w:fldChar w:fldCharType="separate"/>
      </w:r>
      <w:r>
        <w:rPr>
          <w:rFonts w:hint="default" w:ascii="Times New Roman" w:hAnsi="Times New Roman" w:eastAsia="仿宋_GB2312" w:cs="Times New Roman"/>
          <w:bCs/>
          <w:sz w:val="24"/>
          <w:szCs w:val="24"/>
        </w:rPr>
        <w:t>7.1投资估算</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_Toc5548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57</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kern w:val="44"/>
          <w:sz w:val="24"/>
          <w:szCs w:val="24"/>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480" w:lineRule="exact"/>
        <w:ind w:firstLine="240" w:firstLineChars="1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kern w:val="44"/>
          <w:sz w:val="24"/>
          <w:szCs w:val="24"/>
          <w:highlight w:val="none"/>
        </w:rPr>
        <w:fldChar w:fldCharType="begin"/>
      </w:r>
      <w:r>
        <w:rPr>
          <w:rFonts w:hint="default" w:ascii="Times New Roman" w:hAnsi="Times New Roman" w:eastAsia="仿宋_GB2312" w:cs="Times New Roman"/>
          <w:kern w:val="44"/>
          <w:sz w:val="24"/>
          <w:szCs w:val="24"/>
          <w:highlight w:val="none"/>
        </w:rPr>
        <w:instrText xml:space="preserve"> HYPERLINK \l _Toc18099 </w:instrText>
      </w:r>
      <w:r>
        <w:rPr>
          <w:rFonts w:hint="default" w:ascii="Times New Roman" w:hAnsi="Times New Roman" w:eastAsia="仿宋_GB2312" w:cs="Times New Roman"/>
          <w:kern w:val="44"/>
          <w:sz w:val="24"/>
          <w:szCs w:val="24"/>
          <w:highlight w:val="none"/>
        </w:rPr>
        <w:fldChar w:fldCharType="separate"/>
      </w:r>
      <w:r>
        <w:rPr>
          <w:rFonts w:hint="default" w:ascii="Times New Roman" w:hAnsi="Times New Roman" w:eastAsia="仿宋_GB2312" w:cs="Times New Roman"/>
          <w:bCs/>
          <w:sz w:val="24"/>
          <w:szCs w:val="24"/>
        </w:rPr>
        <w:t>7.2效益分析</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_Toc18099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65</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kern w:val="44"/>
          <w:sz w:val="24"/>
          <w:szCs w:val="24"/>
          <w:highlight w:val="none"/>
        </w:rPr>
        <w:fldChar w:fldCharType="end"/>
      </w:r>
    </w:p>
    <w:p>
      <w:pPr>
        <w:pStyle w:val="61"/>
        <w:keepNext w:val="0"/>
        <w:keepLines w:val="0"/>
        <w:pageBreakBefore w:val="0"/>
        <w:widowControl w:val="0"/>
        <w:tabs>
          <w:tab w:val="right" w:leader="dot" w:pos="8408"/>
          <w:tab w:val="clear" w:pos="8400"/>
        </w:tabs>
        <w:kinsoku/>
        <w:wordWrap/>
        <w:overflowPunct/>
        <w:topLinePunct w:val="0"/>
        <w:autoSpaceDE/>
        <w:autoSpaceDN/>
        <w:bidi w:val="0"/>
        <w:adjustRightInd/>
        <w:snapToGrid/>
        <w:spacing w:before="0" w:beforeLines="0" w:line="480" w:lineRule="exact"/>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kern w:val="44"/>
          <w:sz w:val="24"/>
          <w:szCs w:val="24"/>
          <w:highlight w:val="none"/>
        </w:rPr>
        <w:fldChar w:fldCharType="begin"/>
      </w:r>
      <w:r>
        <w:rPr>
          <w:rFonts w:hint="default" w:ascii="Times New Roman" w:hAnsi="Times New Roman" w:eastAsia="仿宋_GB2312" w:cs="Times New Roman"/>
          <w:kern w:val="44"/>
          <w:sz w:val="24"/>
          <w:szCs w:val="24"/>
          <w:highlight w:val="none"/>
        </w:rPr>
        <w:instrText xml:space="preserve"> HYPERLINK \l _Toc29032 </w:instrText>
      </w:r>
      <w:r>
        <w:rPr>
          <w:rFonts w:hint="default" w:ascii="Times New Roman" w:hAnsi="Times New Roman" w:eastAsia="仿宋_GB2312" w:cs="Times New Roman"/>
          <w:kern w:val="44"/>
          <w:sz w:val="24"/>
          <w:szCs w:val="24"/>
          <w:highlight w:val="none"/>
        </w:rPr>
        <w:fldChar w:fldCharType="separate"/>
      </w:r>
      <w:r>
        <w:rPr>
          <w:rFonts w:hint="default" w:ascii="Times New Roman" w:hAnsi="Times New Roman" w:eastAsia="仿宋_GB2312" w:cs="Times New Roman"/>
          <w:bCs w:val="0"/>
          <w:sz w:val="24"/>
          <w:szCs w:val="24"/>
        </w:rPr>
        <w:t>8.水土保持管理</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_Toc29032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67</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kern w:val="44"/>
          <w:sz w:val="24"/>
          <w:szCs w:val="24"/>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480" w:lineRule="exact"/>
        <w:ind w:firstLine="240" w:firstLineChars="1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kern w:val="44"/>
          <w:sz w:val="24"/>
          <w:szCs w:val="24"/>
          <w:highlight w:val="none"/>
        </w:rPr>
        <w:fldChar w:fldCharType="begin"/>
      </w:r>
      <w:r>
        <w:rPr>
          <w:rFonts w:hint="default" w:ascii="Times New Roman" w:hAnsi="Times New Roman" w:eastAsia="仿宋_GB2312" w:cs="Times New Roman"/>
          <w:kern w:val="44"/>
          <w:sz w:val="24"/>
          <w:szCs w:val="24"/>
          <w:highlight w:val="none"/>
        </w:rPr>
        <w:instrText xml:space="preserve"> HYPERLINK \l _Toc11165 </w:instrText>
      </w:r>
      <w:r>
        <w:rPr>
          <w:rFonts w:hint="default" w:ascii="Times New Roman" w:hAnsi="Times New Roman" w:eastAsia="仿宋_GB2312" w:cs="Times New Roman"/>
          <w:kern w:val="44"/>
          <w:sz w:val="24"/>
          <w:szCs w:val="24"/>
          <w:highlight w:val="none"/>
        </w:rPr>
        <w:fldChar w:fldCharType="separate"/>
      </w:r>
      <w:r>
        <w:rPr>
          <w:rFonts w:hint="default" w:ascii="Times New Roman" w:hAnsi="Times New Roman" w:eastAsia="仿宋_GB2312" w:cs="Times New Roman"/>
          <w:bCs/>
          <w:sz w:val="24"/>
          <w:szCs w:val="24"/>
        </w:rPr>
        <w:t>8.1组织管理</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_Toc11165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67</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kern w:val="44"/>
          <w:sz w:val="24"/>
          <w:szCs w:val="24"/>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480" w:lineRule="exact"/>
        <w:ind w:firstLine="240" w:firstLineChars="1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kern w:val="44"/>
          <w:sz w:val="24"/>
          <w:szCs w:val="24"/>
          <w:highlight w:val="none"/>
        </w:rPr>
        <w:fldChar w:fldCharType="begin"/>
      </w:r>
      <w:r>
        <w:rPr>
          <w:rFonts w:hint="default" w:ascii="Times New Roman" w:hAnsi="Times New Roman" w:eastAsia="仿宋_GB2312" w:cs="Times New Roman"/>
          <w:kern w:val="44"/>
          <w:sz w:val="24"/>
          <w:szCs w:val="24"/>
          <w:highlight w:val="none"/>
        </w:rPr>
        <w:instrText xml:space="preserve"> HYPERLINK \l _Toc13041 </w:instrText>
      </w:r>
      <w:r>
        <w:rPr>
          <w:rFonts w:hint="default" w:ascii="Times New Roman" w:hAnsi="Times New Roman" w:eastAsia="仿宋_GB2312" w:cs="Times New Roman"/>
          <w:kern w:val="44"/>
          <w:sz w:val="24"/>
          <w:szCs w:val="24"/>
          <w:highlight w:val="none"/>
        </w:rPr>
        <w:fldChar w:fldCharType="separate"/>
      </w:r>
      <w:r>
        <w:rPr>
          <w:rFonts w:hint="default" w:ascii="Times New Roman" w:hAnsi="Times New Roman" w:eastAsia="仿宋_GB2312" w:cs="Times New Roman"/>
          <w:bCs/>
          <w:sz w:val="24"/>
          <w:szCs w:val="24"/>
        </w:rPr>
        <w:t>8.2后续设计</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_Toc13041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68</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kern w:val="44"/>
          <w:sz w:val="24"/>
          <w:szCs w:val="24"/>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480" w:lineRule="exact"/>
        <w:ind w:firstLine="240" w:firstLineChars="1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kern w:val="44"/>
          <w:sz w:val="24"/>
          <w:szCs w:val="24"/>
          <w:highlight w:val="none"/>
        </w:rPr>
        <w:fldChar w:fldCharType="begin"/>
      </w:r>
      <w:r>
        <w:rPr>
          <w:rFonts w:hint="default" w:ascii="Times New Roman" w:hAnsi="Times New Roman" w:eastAsia="仿宋_GB2312" w:cs="Times New Roman"/>
          <w:kern w:val="44"/>
          <w:sz w:val="24"/>
          <w:szCs w:val="24"/>
          <w:highlight w:val="none"/>
        </w:rPr>
        <w:instrText xml:space="preserve"> HYPERLINK \l _Toc3150 </w:instrText>
      </w:r>
      <w:r>
        <w:rPr>
          <w:rFonts w:hint="default" w:ascii="Times New Roman" w:hAnsi="Times New Roman" w:eastAsia="仿宋_GB2312" w:cs="Times New Roman"/>
          <w:kern w:val="44"/>
          <w:sz w:val="24"/>
          <w:szCs w:val="24"/>
          <w:highlight w:val="none"/>
        </w:rPr>
        <w:fldChar w:fldCharType="separate"/>
      </w:r>
      <w:r>
        <w:rPr>
          <w:rFonts w:hint="default" w:ascii="Times New Roman" w:hAnsi="Times New Roman" w:eastAsia="仿宋_GB2312" w:cs="Times New Roman"/>
          <w:bCs/>
          <w:sz w:val="24"/>
          <w:szCs w:val="24"/>
        </w:rPr>
        <w:t>8.3水土保持监测</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_Toc3150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69</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kern w:val="44"/>
          <w:sz w:val="24"/>
          <w:szCs w:val="24"/>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480" w:lineRule="exact"/>
        <w:ind w:firstLine="240" w:firstLineChars="1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kern w:val="44"/>
          <w:sz w:val="24"/>
          <w:szCs w:val="24"/>
          <w:highlight w:val="none"/>
        </w:rPr>
        <w:fldChar w:fldCharType="begin"/>
      </w:r>
      <w:r>
        <w:rPr>
          <w:rFonts w:hint="default" w:ascii="Times New Roman" w:hAnsi="Times New Roman" w:eastAsia="仿宋_GB2312" w:cs="Times New Roman"/>
          <w:kern w:val="44"/>
          <w:sz w:val="24"/>
          <w:szCs w:val="24"/>
          <w:highlight w:val="none"/>
        </w:rPr>
        <w:instrText xml:space="preserve"> HYPERLINK \l _Toc16030 </w:instrText>
      </w:r>
      <w:r>
        <w:rPr>
          <w:rFonts w:hint="default" w:ascii="Times New Roman" w:hAnsi="Times New Roman" w:eastAsia="仿宋_GB2312" w:cs="Times New Roman"/>
          <w:kern w:val="44"/>
          <w:sz w:val="24"/>
          <w:szCs w:val="24"/>
          <w:highlight w:val="none"/>
        </w:rPr>
        <w:fldChar w:fldCharType="separate"/>
      </w:r>
      <w:r>
        <w:rPr>
          <w:rFonts w:hint="default" w:ascii="Times New Roman" w:hAnsi="Times New Roman" w:eastAsia="仿宋_GB2312" w:cs="Times New Roman"/>
          <w:bCs/>
          <w:sz w:val="24"/>
          <w:szCs w:val="24"/>
        </w:rPr>
        <w:t>8.4水土保持监理</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_Toc16030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70</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kern w:val="44"/>
          <w:sz w:val="24"/>
          <w:szCs w:val="24"/>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480" w:lineRule="exact"/>
        <w:ind w:firstLine="240" w:firstLineChars="1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kern w:val="44"/>
          <w:sz w:val="24"/>
          <w:szCs w:val="24"/>
          <w:highlight w:val="none"/>
        </w:rPr>
        <w:fldChar w:fldCharType="begin"/>
      </w:r>
      <w:r>
        <w:rPr>
          <w:rFonts w:hint="default" w:ascii="Times New Roman" w:hAnsi="Times New Roman" w:eastAsia="仿宋_GB2312" w:cs="Times New Roman"/>
          <w:kern w:val="44"/>
          <w:sz w:val="24"/>
          <w:szCs w:val="24"/>
          <w:highlight w:val="none"/>
        </w:rPr>
        <w:instrText xml:space="preserve"> HYPERLINK \l _Toc1831 </w:instrText>
      </w:r>
      <w:r>
        <w:rPr>
          <w:rFonts w:hint="default" w:ascii="Times New Roman" w:hAnsi="Times New Roman" w:eastAsia="仿宋_GB2312" w:cs="Times New Roman"/>
          <w:kern w:val="44"/>
          <w:sz w:val="24"/>
          <w:szCs w:val="24"/>
          <w:highlight w:val="none"/>
        </w:rPr>
        <w:fldChar w:fldCharType="separate"/>
      </w:r>
      <w:r>
        <w:rPr>
          <w:rFonts w:hint="default" w:ascii="Times New Roman" w:hAnsi="Times New Roman" w:eastAsia="仿宋_GB2312" w:cs="Times New Roman"/>
          <w:bCs/>
          <w:sz w:val="24"/>
          <w:szCs w:val="24"/>
        </w:rPr>
        <w:t>8.5水土保持施工</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_Toc1831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70</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kern w:val="44"/>
          <w:sz w:val="24"/>
          <w:szCs w:val="24"/>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480" w:lineRule="exact"/>
        <w:ind w:firstLine="240" w:firstLineChars="1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kern w:val="44"/>
          <w:sz w:val="24"/>
          <w:szCs w:val="24"/>
          <w:highlight w:val="none"/>
        </w:rPr>
        <w:fldChar w:fldCharType="begin"/>
      </w:r>
      <w:r>
        <w:rPr>
          <w:rFonts w:hint="default" w:ascii="Times New Roman" w:hAnsi="Times New Roman" w:eastAsia="仿宋_GB2312" w:cs="Times New Roman"/>
          <w:kern w:val="44"/>
          <w:sz w:val="24"/>
          <w:szCs w:val="24"/>
          <w:highlight w:val="none"/>
        </w:rPr>
        <w:instrText xml:space="preserve"> HYPERLINK \l _Toc32523 </w:instrText>
      </w:r>
      <w:r>
        <w:rPr>
          <w:rFonts w:hint="default" w:ascii="Times New Roman" w:hAnsi="Times New Roman" w:eastAsia="仿宋_GB2312" w:cs="Times New Roman"/>
          <w:kern w:val="44"/>
          <w:sz w:val="24"/>
          <w:szCs w:val="24"/>
          <w:highlight w:val="none"/>
        </w:rPr>
        <w:fldChar w:fldCharType="separate"/>
      </w:r>
      <w:r>
        <w:rPr>
          <w:rFonts w:hint="default" w:ascii="Times New Roman" w:hAnsi="Times New Roman" w:eastAsia="仿宋_GB2312" w:cs="Times New Roman"/>
          <w:bCs/>
          <w:sz w:val="24"/>
          <w:szCs w:val="24"/>
        </w:rPr>
        <w:t>8.6水土保持设施验收</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_Toc32523 \h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71</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kern w:val="44"/>
          <w:sz w:val="24"/>
          <w:szCs w:val="24"/>
          <w:highlight w:val="none"/>
        </w:rPr>
        <w:fldChar w:fldCharType="end"/>
      </w:r>
    </w:p>
    <w:p>
      <w:pPr>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rPr>
          <w:rFonts w:hint="default" w:ascii="Times New Roman" w:hAnsi="Times New Roman" w:eastAsia="仿宋_GB2312" w:cs="Times New Roman"/>
          <w:b/>
          <w:sz w:val="24"/>
          <w:szCs w:val="24"/>
          <w:highlight w:val="none"/>
        </w:rPr>
      </w:pPr>
      <w:r>
        <w:rPr>
          <w:rFonts w:hint="default" w:ascii="Times New Roman" w:hAnsi="Times New Roman" w:eastAsia="仿宋_GB2312" w:cs="Times New Roman"/>
          <w:kern w:val="44"/>
          <w:sz w:val="24"/>
          <w:szCs w:val="24"/>
          <w:highlight w:val="none"/>
        </w:rPr>
        <w:fldChar w:fldCharType="end"/>
      </w:r>
      <w:r>
        <w:rPr>
          <w:rFonts w:hint="default" w:ascii="Times New Roman" w:hAnsi="Times New Roman" w:eastAsia="仿宋_GB2312" w:cs="Times New Roman"/>
          <w:kern w:val="44"/>
          <w:szCs w:val="32"/>
          <w:highlight w:val="none"/>
        </w:rPr>
        <w:br w:type="page"/>
      </w:r>
      <w:r>
        <w:rPr>
          <w:rFonts w:hint="default" w:ascii="Times New Roman" w:hAnsi="Times New Roman" w:eastAsia="仿宋_GB2312" w:cs="Times New Roman"/>
          <w:b/>
          <w:sz w:val="24"/>
          <w:szCs w:val="24"/>
          <w:highlight w:val="none"/>
        </w:rPr>
        <w:t>附表：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附表1：防治责任范围表；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附表2：防治标准指标计算表；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附表3：单价分析表。</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仿宋_GB2312" w:cs="Times New Roman"/>
          <w:b/>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仿宋_GB2312" w:cs="Times New Roman"/>
          <w:b/>
          <w:sz w:val="24"/>
          <w:szCs w:val="24"/>
          <w:highlight w:val="none"/>
        </w:rPr>
      </w:pPr>
      <w:r>
        <w:rPr>
          <w:rFonts w:hint="default" w:ascii="Times New Roman" w:hAnsi="Times New Roman" w:eastAsia="仿宋_GB2312" w:cs="Times New Roman"/>
          <w:b/>
          <w:sz w:val="24"/>
          <w:szCs w:val="24"/>
          <w:highlight w:val="none"/>
        </w:rPr>
        <w:t>附件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sz w:val="24"/>
          <w:szCs w:val="24"/>
          <w:highlight w:val="none"/>
          <w:lang w:val="en-US" w:eastAsia="zh-CN"/>
        </w:rPr>
      </w:pPr>
      <w:r>
        <w:rPr>
          <w:rFonts w:hint="default" w:ascii="Times New Roman" w:hAnsi="Times New Roman" w:eastAsia="仿宋_GB2312" w:cs="Times New Roman"/>
          <w:sz w:val="24"/>
          <w:szCs w:val="24"/>
          <w:highlight w:val="none"/>
        </w:rPr>
        <w:t>附件1：水土保持方案编制任务委托书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highlight w:val="none"/>
        </w:rPr>
        <w:t>附件2：</w:t>
      </w:r>
      <w:r>
        <w:rPr>
          <w:rFonts w:hint="default" w:ascii="Times New Roman" w:hAnsi="Times New Roman" w:eastAsia="仿宋_GB2312" w:cs="Times New Roman"/>
          <w:sz w:val="24"/>
          <w:szCs w:val="24"/>
        </w:rPr>
        <w:t>《</w:t>
      </w:r>
      <w:r>
        <w:rPr>
          <w:rFonts w:hint="default" w:ascii="Times New Roman" w:hAnsi="Times New Roman" w:eastAsia="仿宋_GB2312" w:cs="Times New Roman"/>
          <w:sz w:val="24"/>
          <w:szCs w:val="24"/>
          <w:lang w:eastAsia="zh-CN"/>
        </w:rPr>
        <w:t>关于长春</w:t>
      </w:r>
      <w:r>
        <w:rPr>
          <w:rFonts w:hint="default" w:ascii="Times New Roman" w:hAnsi="Times New Roman" w:eastAsia="仿宋_GB2312" w:cs="Times New Roman"/>
          <w:sz w:val="24"/>
          <w:szCs w:val="24"/>
          <w:lang w:val="en-US" w:eastAsia="zh-CN"/>
        </w:rPr>
        <w:t>国家物流</w:t>
      </w:r>
      <w:r>
        <w:rPr>
          <w:rFonts w:hint="default" w:ascii="Times New Roman" w:hAnsi="Times New Roman" w:eastAsia="仿宋_GB2312" w:cs="Times New Roman"/>
          <w:sz w:val="24"/>
          <w:szCs w:val="24"/>
          <w:lang w:eastAsia="zh-CN"/>
        </w:rPr>
        <w:t>经济开发区新兴建材产业园区建设项目可行性研究报告的批复</w:t>
      </w:r>
      <w:r>
        <w:rPr>
          <w:rFonts w:hint="default" w:ascii="Times New Roman" w:hAnsi="Times New Roman" w:eastAsia="仿宋_GB2312" w:cs="Times New Roman"/>
          <w:sz w:val="24"/>
          <w:szCs w:val="24"/>
        </w:rPr>
        <w:t>》</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长二发改</w:t>
      </w:r>
      <w:r>
        <w:rPr>
          <w:rFonts w:hint="default" w:ascii="Times New Roman" w:hAnsi="Times New Roman" w:eastAsia="仿宋_GB2312" w:cs="Times New Roman"/>
          <w:sz w:val="24"/>
          <w:szCs w:val="24"/>
          <w:lang w:eastAsia="zh-CN"/>
        </w:rPr>
        <w:t>〔2021〕93</w:t>
      </w:r>
      <w:r>
        <w:rPr>
          <w:rFonts w:hint="default" w:ascii="Times New Roman" w:hAnsi="Times New Roman" w:eastAsia="仿宋_GB2312" w:cs="Times New Roman"/>
          <w:sz w:val="24"/>
          <w:szCs w:val="24"/>
        </w:rPr>
        <w:t>号</w:t>
      </w:r>
      <w:r>
        <w:rPr>
          <w:rFonts w:hint="default" w:ascii="Times New Roman" w:hAnsi="Times New Roman" w:eastAsia="仿宋_GB2312" w:cs="Times New Roman"/>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sz w:val="24"/>
          <w:szCs w:val="24"/>
          <w:highlight w:val="none"/>
          <w:lang w:val="en-US" w:eastAsia="zh-CN"/>
        </w:rPr>
      </w:pPr>
      <w:r>
        <w:rPr>
          <w:rFonts w:hint="eastAsia" w:ascii="Times New Roman" w:hAnsi="Times New Roman" w:eastAsia="仿宋_GB2312" w:cs="Times New Roman"/>
          <w:sz w:val="24"/>
          <w:szCs w:val="24"/>
          <w:highlight w:val="none"/>
          <w:lang w:val="en-US" w:eastAsia="zh-CN"/>
        </w:rPr>
        <w:t>附件3：《</w:t>
      </w:r>
      <w:r>
        <w:rPr>
          <w:rFonts w:hint="default" w:ascii="Times New Roman" w:hAnsi="Times New Roman" w:eastAsia="仿宋_GB2312" w:cs="Times New Roman"/>
          <w:sz w:val="24"/>
          <w:szCs w:val="24"/>
          <w:highlight w:val="none"/>
          <w:lang w:val="en-US" w:eastAsia="zh-CN"/>
        </w:rPr>
        <w:t>吉林省水利厅关于对长春国际物流经济开发区新兴建材产业园区建设项目水土保持方案编制报批有关情况的意见</w:t>
      </w:r>
      <w:r>
        <w:rPr>
          <w:rFonts w:hint="eastAsia" w:ascii="Times New Roman" w:hAnsi="Times New Roman" w:eastAsia="仿宋_GB2312" w:cs="Times New Roman"/>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highlight w:val="none"/>
          <w:lang w:val="en-US" w:eastAsia="zh-CN"/>
        </w:rPr>
      </w:pPr>
      <w:r>
        <w:rPr>
          <w:rFonts w:hint="eastAsia" w:ascii="Times New Roman" w:hAnsi="Times New Roman" w:eastAsia="仿宋_GB2312" w:cs="Times New Roman"/>
          <w:sz w:val="24"/>
          <w:szCs w:val="24"/>
          <w:highlight w:val="none"/>
          <w:lang w:val="en-US" w:eastAsia="zh-CN"/>
        </w:rPr>
        <w:t>附件4：《长春国际物流经济开发区新兴建材产业园区建设项目水士保持行政许可承诺书》（长水许可</w:t>
      </w:r>
      <w:r>
        <w:rPr>
          <w:rFonts w:hint="default" w:ascii="Times New Roman" w:hAnsi="Times New Roman" w:eastAsia="仿宋_GB2312" w:cs="Times New Roman"/>
          <w:sz w:val="24"/>
          <w:szCs w:val="24"/>
          <w:highlight w:val="none"/>
          <w:lang w:val="en-US" w:eastAsia="zh-CN"/>
        </w:rPr>
        <w:t>〔202</w:t>
      </w:r>
      <w:r>
        <w:rPr>
          <w:rFonts w:hint="eastAsia" w:ascii="Times New Roman" w:hAnsi="Times New Roman" w:eastAsia="仿宋_GB2312" w:cs="Times New Roman"/>
          <w:sz w:val="24"/>
          <w:szCs w:val="24"/>
          <w:highlight w:val="none"/>
          <w:lang w:val="en-US" w:eastAsia="zh-CN"/>
        </w:rPr>
        <w:t>3</w:t>
      </w:r>
      <w:r>
        <w:rPr>
          <w:rFonts w:hint="default" w:ascii="Times New Roman" w:hAnsi="Times New Roman" w:eastAsia="仿宋_GB2312" w:cs="Times New Roman"/>
          <w:sz w:val="24"/>
          <w:szCs w:val="24"/>
          <w:highlight w:val="none"/>
          <w:lang w:val="en-US" w:eastAsia="zh-CN"/>
        </w:rPr>
        <w:t>〕</w:t>
      </w:r>
      <w:r>
        <w:rPr>
          <w:rFonts w:hint="eastAsia" w:ascii="Times New Roman" w:hAnsi="Times New Roman" w:eastAsia="仿宋_GB2312" w:cs="Times New Roman"/>
          <w:sz w:val="24"/>
          <w:szCs w:val="24"/>
          <w:highlight w:val="none"/>
          <w:lang w:val="en-US" w:eastAsia="zh-CN"/>
        </w:rPr>
        <w:t>18号）</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仿宋_GB2312" w:cs="Times New Roman"/>
          <w:b/>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仿宋_GB2312" w:cs="Times New Roman"/>
          <w:b/>
          <w:sz w:val="24"/>
          <w:szCs w:val="24"/>
          <w:highlight w:val="none"/>
        </w:rPr>
      </w:pPr>
      <w:r>
        <w:rPr>
          <w:rFonts w:hint="default" w:ascii="Times New Roman" w:hAnsi="Times New Roman" w:eastAsia="仿宋_GB2312" w:cs="Times New Roman"/>
          <w:b/>
          <w:sz w:val="24"/>
          <w:szCs w:val="24"/>
          <w:highlight w:val="none"/>
        </w:rPr>
        <w:t>附图：</w:t>
      </w:r>
    </w:p>
    <w:tbl>
      <w:tblPr>
        <w:tblStyle w:val="8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47"/>
        <w:gridCol w:w="1356"/>
        <w:gridCol w:w="5039"/>
        <w:gridCol w:w="148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pct"/>
            <w:noWrap w:val="0"/>
            <w:vAlign w:val="center"/>
          </w:tcPr>
          <w:p>
            <w:pPr>
              <w:pageBreakBefore w:val="0"/>
              <w:kinsoku/>
              <w:wordWrap/>
              <w:bidi w:val="0"/>
              <w:jc w:val="center"/>
              <w:rPr>
                <w:rFonts w:hint="default" w:ascii="Times New Roman" w:hAnsi="Times New Roman" w:eastAsia="仿宋_GB2312" w:cs="Times New Roman"/>
                <w:b/>
                <w:sz w:val="24"/>
                <w:szCs w:val="24"/>
                <w:highlight w:val="none"/>
              </w:rPr>
            </w:pPr>
            <w:r>
              <w:rPr>
                <w:rFonts w:hint="default" w:ascii="Times New Roman" w:hAnsi="Times New Roman" w:eastAsia="仿宋_GB2312" w:cs="Times New Roman"/>
                <w:b/>
                <w:sz w:val="24"/>
                <w:szCs w:val="24"/>
                <w:highlight w:val="none"/>
              </w:rPr>
              <w:t>序号</w:t>
            </w:r>
          </w:p>
        </w:tc>
        <w:tc>
          <w:tcPr>
            <w:tcW w:w="786" w:type="pct"/>
            <w:noWrap w:val="0"/>
            <w:vAlign w:val="center"/>
          </w:tcPr>
          <w:p>
            <w:pPr>
              <w:pageBreakBefore w:val="0"/>
              <w:kinsoku/>
              <w:wordWrap/>
              <w:bidi w:val="0"/>
              <w:jc w:val="center"/>
              <w:rPr>
                <w:rFonts w:hint="default" w:ascii="Times New Roman" w:hAnsi="Times New Roman" w:eastAsia="仿宋_GB2312" w:cs="Times New Roman"/>
                <w:b/>
                <w:sz w:val="24"/>
                <w:szCs w:val="24"/>
                <w:highlight w:val="none"/>
              </w:rPr>
            </w:pPr>
            <w:r>
              <w:rPr>
                <w:rFonts w:hint="default" w:ascii="Times New Roman" w:hAnsi="Times New Roman" w:eastAsia="仿宋_GB2312" w:cs="Times New Roman"/>
                <w:b/>
                <w:sz w:val="24"/>
                <w:szCs w:val="24"/>
                <w:highlight w:val="none"/>
              </w:rPr>
              <w:t>图号</w:t>
            </w:r>
          </w:p>
        </w:tc>
        <w:tc>
          <w:tcPr>
            <w:tcW w:w="2921" w:type="pct"/>
            <w:noWrap w:val="0"/>
            <w:vAlign w:val="center"/>
          </w:tcPr>
          <w:p>
            <w:pPr>
              <w:pageBreakBefore w:val="0"/>
              <w:kinsoku/>
              <w:wordWrap/>
              <w:bidi w:val="0"/>
              <w:jc w:val="center"/>
              <w:rPr>
                <w:rFonts w:hint="default" w:ascii="Times New Roman" w:hAnsi="Times New Roman" w:eastAsia="仿宋_GB2312" w:cs="Times New Roman"/>
                <w:b/>
                <w:sz w:val="24"/>
                <w:szCs w:val="24"/>
                <w:highlight w:val="none"/>
              </w:rPr>
            </w:pPr>
            <w:r>
              <w:rPr>
                <w:rFonts w:hint="default" w:ascii="Times New Roman" w:hAnsi="Times New Roman" w:eastAsia="仿宋_GB2312" w:cs="Times New Roman"/>
                <w:b/>
                <w:sz w:val="24"/>
                <w:szCs w:val="24"/>
                <w:highlight w:val="none"/>
              </w:rPr>
              <w:t>图名</w:t>
            </w:r>
          </w:p>
        </w:tc>
        <w:tc>
          <w:tcPr>
            <w:tcW w:w="859" w:type="pct"/>
            <w:noWrap w:val="0"/>
            <w:vAlign w:val="center"/>
          </w:tcPr>
          <w:p>
            <w:pPr>
              <w:pageBreakBefore w:val="0"/>
              <w:kinsoku/>
              <w:wordWrap/>
              <w:bidi w:val="0"/>
              <w:jc w:val="center"/>
              <w:rPr>
                <w:rFonts w:hint="default" w:ascii="Times New Roman" w:hAnsi="Times New Roman" w:eastAsia="仿宋_GB2312" w:cs="Times New Roman"/>
                <w:b/>
                <w:sz w:val="24"/>
                <w:szCs w:val="24"/>
                <w:highlight w:val="none"/>
              </w:rPr>
            </w:pPr>
            <w:r>
              <w:rPr>
                <w:rFonts w:hint="default" w:ascii="Times New Roman" w:hAnsi="Times New Roman" w:eastAsia="仿宋_GB2312" w:cs="Times New Roman"/>
                <w:b/>
                <w:sz w:val="24"/>
                <w:szCs w:val="24"/>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pct"/>
            <w:noWrap w:val="0"/>
            <w:vAlign w:val="center"/>
          </w:tcPr>
          <w:p>
            <w:pPr>
              <w:pageBreakBefore w:val="0"/>
              <w:kinsoku/>
              <w:wordWrap/>
              <w:bidi w:val="0"/>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w:t>
            </w:r>
          </w:p>
        </w:tc>
        <w:tc>
          <w:tcPr>
            <w:tcW w:w="786" w:type="pct"/>
            <w:noWrap w:val="0"/>
            <w:vAlign w:val="center"/>
          </w:tcPr>
          <w:p>
            <w:pPr>
              <w:pageBreakBefore w:val="0"/>
              <w:kinsoku/>
              <w:wordWrap/>
              <w:bidi w:val="0"/>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附图1</w:t>
            </w:r>
          </w:p>
        </w:tc>
        <w:tc>
          <w:tcPr>
            <w:tcW w:w="2921" w:type="pct"/>
            <w:noWrap w:val="0"/>
            <w:vAlign w:val="center"/>
          </w:tcPr>
          <w:p>
            <w:pPr>
              <w:pageBreakBefore w:val="0"/>
              <w:kinsoku/>
              <w:wordWrap/>
              <w:bidi w:val="0"/>
              <w:jc w:val="center"/>
              <w:rPr>
                <w:rFonts w:hint="default" w:ascii="Times New Roman" w:hAnsi="Times New Roman" w:eastAsia="仿宋_GB2312" w:cs="Times New Roman"/>
                <w:kern w:val="2"/>
                <w:sz w:val="24"/>
                <w:szCs w:val="24"/>
                <w:highlight w:val="none"/>
                <w:lang w:val="en-US" w:eastAsia="zh-CN" w:bidi="ar-SA"/>
              </w:rPr>
            </w:pPr>
            <w:r>
              <w:rPr>
                <w:rFonts w:hint="default" w:ascii="Times New Roman" w:hAnsi="Times New Roman" w:eastAsia="仿宋_GB2312" w:cs="Times New Roman"/>
                <w:sz w:val="24"/>
                <w:szCs w:val="24"/>
                <w:highlight w:val="none"/>
                <w:lang w:val="en-US" w:eastAsia="zh-CN"/>
              </w:rPr>
              <w:t>项目区</w:t>
            </w:r>
            <w:r>
              <w:rPr>
                <w:rFonts w:hint="default" w:ascii="Times New Roman" w:hAnsi="Times New Roman" w:eastAsia="仿宋_GB2312" w:cs="Times New Roman"/>
                <w:sz w:val="24"/>
                <w:szCs w:val="24"/>
                <w:highlight w:val="none"/>
              </w:rPr>
              <w:t>地理</w:t>
            </w:r>
            <w:r>
              <w:rPr>
                <w:rFonts w:hint="default" w:ascii="Times New Roman" w:hAnsi="Times New Roman" w:eastAsia="仿宋_GB2312" w:cs="Times New Roman"/>
                <w:sz w:val="24"/>
                <w:szCs w:val="24"/>
                <w:highlight w:val="none"/>
                <w:lang w:val="en-US" w:eastAsia="zh-CN"/>
              </w:rPr>
              <w:t>及行政位置关系图</w:t>
            </w:r>
          </w:p>
        </w:tc>
        <w:tc>
          <w:tcPr>
            <w:tcW w:w="859" w:type="pct"/>
            <w:noWrap w:val="0"/>
            <w:vAlign w:val="center"/>
          </w:tcPr>
          <w:p>
            <w:pPr>
              <w:pageBreakBefore w:val="0"/>
              <w:kinsoku/>
              <w:wordWrap/>
              <w:bidi w:val="0"/>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A4彩色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pct"/>
            <w:noWrap w:val="0"/>
            <w:vAlign w:val="center"/>
          </w:tcPr>
          <w:p>
            <w:pPr>
              <w:pageBreakBefore w:val="0"/>
              <w:kinsoku/>
              <w:wordWrap/>
              <w:bidi w:val="0"/>
              <w:jc w:val="center"/>
              <w:rPr>
                <w:rFonts w:hint="default" w:ascii="Times New Roman" w:hAnsi="Times New Roman" w:eastAsia="仿宋_GB2312" w:cs="Times New Roman"/>
                <w:kern w:val="2"/>
                <w:sz w:val="24"/>
                <w:szCs w:val="24"/>
                <w:highlight w:val="none"/>
                <w:lang w:val="en-US" w:eastAsia="zh-CN" w:bidi="ar-SA"/>
              </w:rPr>
            </w:pPr>
            <w:r>
              <w:rPr>
                <w:rFonts w:hint="default" w:ascii="Times New Roman" w:hAnsi="Times New Roman" w:eastAsia="仿宋_GB2312" w:cs="Times New Roman"/>
                <w:sz w:val="24"/>
                <w:szCs w:val="24"/>
                <w:highlight w:val="none"/>
              </w:rPr>
              <w:t>2</w:t>
            </w:r>
          </w:p>
        </w:tc>
        <w:tc>
          <w:tcPr>
            <w:tcW w:w="786" w:type="pct"/>
            <w:noWrap w:val="0"/>
            <w:vAlign w:val="center"/>
          </w:tcPr>
          <w:p>
            <w:pPr>
              <w:pageBreakBefore w:val="0"/>
              <w:kinsoku/>
              <w:wordWrap/>
              <w:bidi w:val="0"/>
              <w:jc w:val="center"/>
              <w:rPr>
                <w:rFonts w:hint="default" w:ascii="Times New Roman" w:hAnsi="Times New Roman" w:eastAsia="仿宋_GB2312" w:cs="Times New Roman"/>
                <w:kern w:val="2"/>
                <w:sz w:val="24"/>
                <w:szCs w:val="24"/>
                <w:highlight w:val="none"/>
                <w:lang w:val="en-US" w:eastAsia="zh-CN" w:bidi="ar-SA"/>
              </w:rPr>
            </w:pPr>
            <w:r>
              <w:rPr>
                <w:rFonts w:hint="default" w:ascii="Times New Roman" w:hAnsi="Times New Roman" w:eastAsia="仿宋_GB2312" w:cs="Times New Roman"/>
                <w:sz w:val="24"/>
                <w:szCs w:val="24"/>
                <w:highlight w:val="none"/>
              </w:rPr>
              <w:t>附图2</w:t>
            </w:r>
          </w:p>
        </w:tc>
        <w:tc>
          <w:tcPr>
            <w:tcW w:w="2921" w:type="pct"/>
            <w:noWrap w:val="0"/>
            <w:vAlign w:val="center"/>
          </w:tcPr>
          <w:p>
            <w:pPr>
              <w:pageBreakBefore w:val="0"/>
              <w:kinsoku/>
              <w:wordWrap/>
              <w:bidi w:val="0"/>
              <w:jc w:val="center"/>
              <w:rPr>
                <w:rFonts w:hint="default" w:ascii="Times New Roman" w:hAnsi="Times New Roman" w:eastAsia="仿宋_GB2312" w:cs="Times New Roman"/>
                <w:kern w:val="2"/>
                <w:sz w:val="24"/>
                <w:szCs w:val="24"/>
                <w:highlight w:val="none"/>
                <w:lang w:val="en-US" w:eastAsia="zh-CN" w:bidi="ar-SA"/>
              </w:rPr>
            </w:pPr>
            <w:r>
              <w:rPr>
                <w:rFonts w:hint="default" w:ascii="Times New Roman" w:hAnsi="Times New Roman" w:eastAsia="仿宋_GB2312" w:cs="Times New Roman"/>
                <w:sz w:val="24"/>
                <w:szCs w:val="24"/>
                <w:highlight w:val="none"/>
              </w:rPr>
              <w:t>项目区水系图</w:t>
            </w:r>
          </w:p>
        </w:tc>
        <w:tc>
          <w:tcPr>
            <w:tcW w:w="859" w:type="pct"/>
            <w:noWrap w:val="0"/>
            <w:vAlign w:val="center"/>
          </w:tcPr>
          <w:p>
            <w:pPr>
              <w:pageBreakBefore w:val="0"/>
              <w:kinsoku/>
              <w:wordWrap/>
              <w:bidi w:val="0"/>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A4彩色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pct"/>
            <w:noWrap w:val="0"/>
            <w:vAlign w:val="center"/>
          </w:tcPr>
          <w:p>
            <w:pPr>
              <w:pageBreakBefore w:val="0"/>
              <w:kinsoku/>
              <w:wordWrap/>
              <w:bidi w:val="0"/>
              <w:jc w:val="center"/>
              <w:rPr>
                <w:rFonts w:hint="default" w:ascii="Times New Roman" w:hAnsi="Times New Roman" w:eastAsia="仿宋_GB2312" w:cs="Times New Roman"/>
                <w:kern w:val="2"/>
                <w:sz w:val="24"/>
                <w:szCs w:val="24"/>
                <w:highlight w:val="none"/>
                <w:lang w:val="en-US" w:eastAsia="zh-CN" w:bidi="ar-SA"/>
              </w:rPr>
            </w:pPr>
            <w:r>
              <w:rPr>
                <w:rFonts w:hint="default" w:ascii="Times New Roman" w:hAnsi="Times New Roman" w:eastAsia="仿宋_GB2312" w:cs="Times New Roman"/>
                <w:sz w:val="24"/>
                <w:szCs w:val="24"/>
                <w:highlight w:val="none"/>
              </w:rPr>
              <w:t>3</w:t>
            </w:r>
          </w:p>
        </w:tc>
        <w:tc>
          <w:tcPr>
            <w:tcW w:w="786" w:type="pct"/>
            <w:noWrap w:val="0"/>
            <w:vAlign w:val="center"/>
          </w:tcPr>
          <w:p>
            <w:pPr>
              <w:pageBreakBefore w:val="0"/>
              <w:kinsoku/>
              <w:wordWrap/>
              <w:bidi w:val="0"/>
              <w:jc w:val="center"/>
              <w:rPr>
                <w:rFonts w:hint="default" w:ascii="Times New Roman" w:hAnsi="Times New Roman" w:eastAsia="仿宋_GB2312" w:cs="Times New Roman"/>
                <w:kern w:val="2"/>
                <w:sz w:val="24"/>
                <w:szCs w:val="24"/>
                <w:highlight w:val="none"/>
                <w:lang w:val="en-US" w:eastAsia="zh-CN" w:bidi="ar-SA"/>
              </w:rPr>
            </w:pPr>
            <w:r>
              <w:rPr>
                <w:rFonts w:hint="default" w:ascii="Times New Roman" w:hAnsi="Times New Roman" w:eastAsia="仿宋_GB2312" w:cs="Times New Roman"/>
                <w:sz w:val="24"/>
                <w:szCs w:val="24"/>
                <w:highlight w:val="none"/>
              </w:rPr>
              <w:t>附图3</w:t>
            </w:r>
          </w:p>
        </w:tc>
        <w:tc>
          <w:tcPr>
            <w:tcW w:w="2921" w:type="pct"/>
            <w:noWrap w:val="0"/>
            <w:vAlign w:val="center"/>
          </w:tcPr>
          <w:p>
            <w:pPr>
              <w:pageBreakBefore w:val="0"/>
              <w:kinsoku/>
              <w:wordWrap/>
              <w:bidi w:val="0"/>
              <w:jc w:val="center"/>
              <w:rPr>
                <w:rFonts w:hint="default" w:ascii="Times New Roman" w:hAnsi="Times New Roman" w:eastAsia="仿宋_GB2312" w:cs="Times New Roman"/>
                <w:kern w:val="2"/>
                <w:sz w:val="24"/>
                <w:szCs w:val="24"/>
                <w:highlight w:val="none"/>
                <w:lang w:val="en-US" w:eastAsia="zh-CN" w:bidi="ar-SA"/>
              </w:rPr>
            </w:pPr>
            <w:r>
              <w:rPr>
                <w:rFonts w:hint="default" w:ascii="Times New Roman" w:hAnsi="Times New Roman" w:eastAsia="仿宋_GB2312" w:cs="Times New Roman"/>
                <w:sz w:val="24"/>
                <w:szCs w:val="24"/>
                <w:highlight w:val="none"/>
              </w:rPr>
              <w:t>项目总体布置图（主体提供）</w:t>
            </w:r>
            <w:commentRangeStart w:id="0"/>
            <w:commentRangeStart w:id="1"/>
            <w:r>
              <w:commentReference w:id="0"/>
            </w:r>
            <w:commentRangeEnd w:id="0"/>
            <w:commentRangeEnd w:id="1"/>
            <w:r>
              <w:commentReference w:id="1"/>
            </w:r>
          </w:p>
        </w:tc>
        <w:tc>
          <w:tcPr>
            <w:tcW w:w="859" w:type="pct"/>
            <w:noWrap w:val="0"/>
            <w:vAlign w:val="center"/>
          </w:tcPr>
          <w:p>
            <w:pPr>
              <w:pageBreakBefore w:val="0"/>
              <w:kinsoku/>
              <w:wordWrap/>
              <w:bidi w:val="0"/>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A3彩色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pct"/>
            <w:noWrap w:val="0"/>
            <w:vAlign w:val="center"/>
          </w:tcPr>
          <w:p>
            <w:pPr>
              <w:pageBreakBefore w:val="0"/>
              <w:kinsoku/>
              <w:wordWrap/>
              <w:bidi w:val="0"/>
              <w:jc w:val="center"/>
              <w:rPr>
                <w:rFonts w:hint="default" w:ascii="Times New Roman" w:hAnsi="Times New Roman" w:eastAsia="仿宋_GB2312" w:cs="Times New Roman"/>
                <w:kern w:val="2"/>
                <w:sz w:val="24"/>
                <w:szCs w:val="24"/>
                <w:highlight w:val="none"/>
                <w:lang w:val="en-US" w:eastAsia="zh-CN" w:bidi="ar-SA"/>
              </w:rPr>
            </w:pPr>
            <w:r>
              <w:rPr>
                <w:rFonts w:hint="default" w:ascii="Times New Roman" w:hAnsi="Times New Roman" w:eastAsia="仿宋_GB2312" w:cs="Times New Roman"/>
                <w:sz w:val="24"/>
                <w:szCs w:val="24"/>
                <w:highlight w:val="none"/>
              </w:rPr>
              <w:t>4</w:t>
            </w:r>
          </w:p>
        </w:tc>
        <w:tc>
          <w:tcPr>
            <w:tcW w:w="786" w:type="pct"/>
            <w:noWrap w:val="0"/>
            <w:vAlign w:val="center"/>
          </w:tcPr>
          <w:p>
            <w:pPr>
              <w:pageBreakBefore w:val="0"/>
              <w:kinsoku/>
              <w:wordWrap/>
              <w:bidi w:val="0"/>
              <w:jc w:val="center"/>
              <w:rPr>
                <w:rFonts w:hint="default" w:ascii="Times New Roman" w:hAnsi="Times New Roman" w:eastAsia="仿宋_GB2312" w:cs="Times New Roman"/>
                <w:kern w:val="2"/>
                <w:sz w:val="24"/>
                <w:szCs w:val="24"/>
                <w:highlight w:val="none"/>
                <w:lang w:val="en-US" w:eastAsia="zh-CN" w:bidi="ar-SA"/>
              </w:rPr>
            </w:pPr>
            <w:r>
              <w:rPr>
                <w:rFonts w:hint="default" w:ascii="Times New Roman" w:hAnsi="Times New Roman" w:eastAsia="仿宋_GB2312" w:cs="Times New Roman"/>
                <w:sz w:val="24"/>
                <w:szCs w:val="24"/>
                <w:highlight w:val="none"/>
              </w:rPr>
              <w:t>附图</w:t>
            </w:r>
            <w:r>
              <w:rPr>
                <w:rFonts w:hint="default" w:ascii="Times New Roman" w:hAnsi="Times New Roman" w:eastAsia="仿宋_GB2312" w:cs="Times New Roman"/>
                <w:sz w:val="24"/>
                <w:szCs w:val="24"/>
                <w:highlight w:val="none"/>
                <w:lang w:val="en-US" w:eastAsia="zh-CN"/>
              </w:rPr>
              <w:t>4</w:t>
            </w:r>
          </w:p>
        </w:tc>
        <w:tc>
          <w:tcPr>
            <w:tcW w:w="2921" w:type="pct"/>
            <w:noWrap w:val="0"/>
            <w:vAlign w:val="center"/>
          </w:tcPr>
          <w:p>
            <w:pPr>
              <w:pageBreakBefore w:val="0"/>
              <w:kinsoku/>
              <w:wordWrap/>
              <w:bidi w:val="0"/>
              <w:jc w:val="center"/>
              <w:rPr>
                <w:rFonts w:hint="default" w:ascii="Times New Roman" w:hAnsi="Times New Roman" w:eastAsia="仿宋_GB2312" w:cs="Times New Roman"/>
                <w:kern w:val="2"/>
                <w:sz w:val="24"/>
                <w:szCs w:val="24"/>
                <w:highlight w:val="none"/>
                <w:lang w:val="en-US" w:eastAsia="zh-CN" w:bidi="ar-SA"/>
              </w:rPr>
            </w:pPr>
            <w:r>
              <w:rPr>
                <w:rFonts w:hint="default" w:ascii="Times New Roman" w:hAnsi="Times New Roman" w:eastAsia="仿宋_GB2312" w:cs="Times New Roman"/>
                <w:sz w:val="24"/>
                <w:szCs w:val="24"/>
                <w:highlight w:val="none"/>
              </w:rPr>
              <w:t>分区防治措施总体布局图</w:t>
            </w:r>
          </w:p>
        </w:tc>
        <w:tc>
          <w:tcPr>
            <w:tcW w:w="859" w:type="pct"/>
            <w:noWrap w:val="0"/>
            <w:vAlign w:val="center"/>
          </w:tcPr>
          <w:p>
            <w:pPr>
              <w:pageBreakBefore w:val="0"/>
              <w:kinsoku/>
              <w:wordWrap/>
              <w:bidi w:val="0"/>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A3彩色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pct"/>
            <w:noWrap w:val="0"/>
            <w:vAlign w:val="center"/>
          </w:tcPr>
          <w:p>
            <w:pPr>
              <w:pageBreakBefore w:val="0"/>
              <w:kinsoku/>
              <w:wordWrap/>
              <w:bidi w:val="0"/>
              <w:jc w:val="center"/>
              <w:rPr>
                <w:rFonts w:hint="default" w:ascii="Times New Roman" w:hAnsi="Times New Roman" w:eastAsia="仿宋_GB2312" w:cs="Times New Roman"/>
                <w:kern w:val="2"/>
                <w:sz w:val="24"/>
                <w:szCs w:val="24"/>
                <w:highlight w:val="none"/>
                <w:lang w:val="en-US" w:eastAsia="zh-CN" w:bidi="ar-SA"/>
              </w:rPr>
            </w:pPr>
            <w:r>
              <w:rPr>
                <w:rFonts w:hint="default" w:ascii="Times New Roman" w:hAnsi="Times New Roman" w:eastAsia="仿宋_GB2312" w:cs="Times New Roman"/>
                <w:sz w:val="24"/>
                <w:szCs w:val="24"/>
                <w:highlight w:val="none"/>
              </w:rPr>
              <w:t>5</w:t>
            </w:r>
          </w:p>
        </w:tc>
        <w:tc>
          <w:tcPr>
            <w:tcW w:w="786" w:type="pct"/>
            <w:noWrap w:val="0"/>
            <w:vAlign w:val="center"/>
          </w:tcPr>
          <w:p>
            <w:pPr>
              <w:pageBreakBefore w:val="0"/>
              <w:kinsoku/>
              <w:wordWrap/>
              <w:bidi w:val="0"/>
              <w:jc w:val="center"/>
              <w:rPr>
                <w:rFonts w:hint="default" w:ascii="Times New Roman" w:hAnsi="Times New Roman" w:eastAsia="仿宋_GB2312" w:cs="Times New Roman"/>
                <w:kern w:val="2"/>
                <w:sz w:val="24"/>
                <w:szCs w:val="24"/>
                <w:highlight w:val="none"/>
                <w:lang w:val="en-US" w:eastAsia="zh-CN" w:bidi="ar-SA"/>
              </w:rPr>
            </w:pPr>
            <w:r>
              <w:rPr>
                <w:rFonts w:hint="default" w:ascii="Times New Roman" w:hAnsi="Times New Roman" w:eastAsia="仿宋_GB2312" w:cs="Times New Roman"/>
                <w:sz w:val="24"/>
                <w:szCs w:val="24"/>
                <w:highlight w:val="none"/>
              </w:rPr>
              <w:t>附图</w:t>
            </w:r>
            <w:r>
              <w:rPr>
                <w:rFonts w:hint="default" w:ascii="Times New Roman" w:hAnsi="Times New Roman" w:eastAsia="仿宋_GB2312" w:cs="Times New Roman"/>
                <w:sz w:val="24"/>
                <w:szCs w:val="24"/>
                <w:highlight w:val="none"/>
                <w:lang w:val="en-US" w:eastAsia="zh-CN"/>
              </w:rPr>
              <w:t>5</w:t>
            </w:r>
          </w:p>
        </w:tc>
        <w:tc>
          <w:tcPr>
            <w:tcW w:w="2921" w:type="pct"/>
            <w:noWrap w:val="0"/>
            <w:vAlign w:val="center"/>
          </w:tcPr>
          <w:p>
            <w:pPr>
              <w:pageBreakBefore w:val="0"/>
              <w:kinsoku/>
              <w:wordWrap/>
              <w:bidi w:val="0"/>
              <w:jc w:val="center"/>
              <w:rPr>
                <w:rFonts w:hint="default" w:ascii="Times New Roman" w:hAnsi="Times New Roman" w:eastAsia="仿宋_GB2312" w:cs="Times New Roman"/>
                <w:kern w:val="2"/>
                <w:sz w:val="24"/>
                <w:szCs w:val="24"/>
                <w:highlight w:val="none"/>
                <w:lang w:val="en-US" w:eastAsia="zh-CN" w:bidi="ar-SA"/>
              </w:rPr>
            </w:pPr>
            <w:r>
              <w:rPr>
                <w:rFonts w:hint="default" w:ascii="Times New Roman" w:hAnsi="Times New Roman" w:eastAsia="仿宋_GB2312" w:cs="Times New Roman"/>
                <w:sz w:val="24"/>
                <w:szCs w:val="24"/>
                <w:highlight w:val="none"/>
                <w:lang w:val="en-US" w:eastAsia="zh-CN"/>
              </w:rPr>
              <w:t>项目管网综合图</w:t>
            </w:r>
            <w:r>
              <w:rPr>
                <w:rFonts w:hint="default" w:ascii="Times New Roman" w:hAnsi="Times New Roman" w:eastAsia="仿宋_GB2312" w:cs="Times New Roman"/>
                <w:sz w:val="24"/>
                <w:szCs w:val="24"/>
                <w:highlight w:val="none"/>
              </w:rPr>
              <w:t>（主体提供）</w:t>
            </w:r>
          </w:p>
        </w:tc>
        <w:tc>
          <w:tcPr>
            <w:tcW w:w="859" w:type="pct"/>
            <w:noWrap w:val="0"/>
            <w:vAlign w:val="center"/>
          </w:tcPr>
          <w:p>
            <w:pPr>
              <w:pageBreakBefore w:val="0"/>
              <w:kinsoku/>
              <w:wordWrap/>
              <w:bidi w:val="0"/>
              <w:jc w:val="center"/>
              <w:rPr>
                <w:rFonts w:hint="default" w:ascii="Times New Roman" w:hAnsi="Times New Roman" w:eastAsia="仿宋_GB2312" w:cs="Times New Roman"/>
                <w:kern w:val="2"/>
                <w:sz w:val="24"/>
                <w:szCs w:val="24"/>
                <w:highlight w:val="none"/>
                <w:lang w:val="en-US" w:eastAsia="zh-CN" w:bidi="ar-SA"/>
              </w:rPr>
            </w:pPr>
            <w:r>
              <w:rPr>
                <w:rFonts w:hint="default" w:ascii="Times New Roman" w:hAnsi="Times New Roman" w:eastAsia="仿宋_GB2312" w:cs="Times New Roman"/>
                <w:sz w:val="24"/>
                <w:szCs w:val="24"/>
                <w:highlight w:val="none"/>
              </w:rPr>
              <w:t>A3彩色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pct"/>
            <w:noWrap w:val="0"/>
            <w:vAlign w:val="center"/>
          </w:tcPr>
          <w:p>
            <w:pPr>
              <w:pageBreakBefore w:val="0"/>
              <w:kinsoku/>
              <w:wordWrap/>
              <w:bidi w:val="0"/>
              <w:jc w:val="center"/>
              <w:rPr>
                <w:rFonts w:hint="default" w:ascii="Times New Roman" w:hAnsi="Times New Roman" w:eastAsia="仿宋_GB2312" w:cs="Times New Roman"/>
                <w:kern w:val="2"/>
                <w:sz w:val="24"/>
                <w:szCs w:val="24"/>
                <w:highlight w:val="none"/>
                <w:lang w:val="en-US" w:eastAsia="zh-CN" w:bidi="ar-SA"/>
              </w:rPr>
            </w:pPr>
            <w:r>
              <w:rPr>
                <w:rFonts w:hint="default" w:ascii="Times New Roman" w:hAnsi="Times New Roman" w:eastAsia="仿宋_GB2312" w:cs="Times New Roman"/>
                <w:sz w:val="24"/>
                <w:szCs w:val="24"/>
                <w:highlight w:val="none"/>
              </w:rPr>
              <w:t>6</w:t>
            </w:r>
          </w:p>
        </w:tc>
        <w:tc>
          <w:tcPr>
            <w:tcW w:w="786" w:type="pct"/>
            <w:noWrap w:val="0"/>
            <w:vAlign w:val="center"/>
          </w:tcPr>
          <w:p>
            <w:pPr>
              <w:pageBreakBefore w:val="0"/>
              <w:kinsoku/>
              <w:wordWrap/>
              <w:bidi w:val="0"/>
              <w:jc w:val="center"/>
              <w:rPr>
                <w:rFonts w:hint="default" w:ascii="Times New Roman" w:hAnsi="Times New Roman" w:eastAsia="仿宋_GB2312" w:cs="Times New Roman"/>
                <w:kern w:val="2"/>
                <w:sz w:val="24"/>
                <w:szCs w:val="24"/>
                <w:highlight w:val="none"/>
                <w:lang w:val="en-US" w:eastAsia="zh-CN" w:bidi="ar-SA"/>
              </w:rPr>
            </w:pPr>
            <w:r>
              <w:rPr>
                <w:rFonts w:hint="default" w:ascii="Times New Roman" w:hAnsi="Times New Roman" w:eastAsia="仿宋_GB2312" w:cs="Times New Roman"/>
                <w:sz w:val="24"/>
                <w:szCs w:val="24"/>
                <w:highlight w:val="none"/>
              </w:rPr>
              <w:t>附图</w:t>
            </w:r>
            <w:r>
              <w:rPr>
                <w:rFonts w:hint="default" w:ascii="Times New Roman" w:hAnsi="Times New Roman" w:eastAsia="仿宋_GB2312" w:cs="Times New Roman"/>
                <w:sz w:val="24"/>
                <w:szCs w:val="24"/>
                <w:highlight w:val="none"/>
                <w:lang w:val="en-US" w:eastAsia="zh-CN"/>
              </w:rPr>
              <w:t>6</w:t>
            </w:r>
          </w:p>
        </w:tc>
        <w:tc>
          <w:tcPr>
            <w:tcW w:w="2921" w:type="pct"/>
            <w:noWrap w:val="0"/>
            <w:vAlign w:val="center"/>
          </w:tcPr>
          <w:p>
            <w:pPr>
              <w:pageBreakBefore w:val="0"/>
              <w:kinsoku/>
              <w:wordWrap/>
              <w:bidi w:val="0"/>
              <w:jc w:val="center"/>
              <w:rPr>
                <w:rFonts w:hint="default" w:ascii="Times New Roman" w:hAnsi="Times New Roman" w:eastAsia="仿宋_GB2312" w:cs="Times New Roman"/>
                <w:sz w:val="24"/>
                <w:szCs w:val="24"/>
                <w:highlight w:val="none"/>
                <w:lang w:val="en-US" w:eastAsia="zh-CN"/>
              </w:rPr>
            </w:pPr>
            <w:r>
              <w:rPr>
                <w:rFonts w:hint="default" w:ascii="Times New Roman" w:hAnsi="Times New Roman" w:eastAsia="仿宋_GB2312" w:cs="Times New Roman"/>
                <w:sz w:val="24"/>
                <w:szCs w:val="24"/>
                <w:highlight w:val="none"/>
                <w:lang w:val="en-US" w:eastAsia="zh-CN"/>
              </w:rPr>
              <w:t>密目网苫盖措施</w:t>
            </w:r>
            <w:r>
              <w:rPr>
                <w:rFonts w:hint="eastAsia" w:eastAsia="仿宋_GB2312" w:cs="Times New Roman"/>
                <w:sz w:val="24"/>
                <w:szCs w:val="24"/>
                <w:highlight w:val="none"/>
                <w:lang w:val="en-US" w:eastAsia="zh-CN"/>
              </w:rPr>
              <w:t>设计</w:t>
            </w:r>
            <w:r>
              <w:rPr>
                <w:rFonts w:hint="default" w:ascii="Times New Roman" w:hAnsi="Times New Roman" w:eastAsia="仿宋_GB2312" w:cs="Times New Roman"/>
                <w:sz w:val="24"/>
                <w:szCs w:val="24"/>
                <w:highlight w:val="none"/>
                <w:lang w:val="en-US" w:eastAsia="zh-CN"/>
              </w:rPr>
              <w:t>图</w:t>
            </w:r>
          </w:p>
        </w:tc>
        <w:tc>
          <w:tcPr>
            <w:tcW w:w="859" w:type="pct"/>
            <w:noWrap w:val="0"/>
            <w:vAlign w:val="center"/>
          </w:tcPr>
          <w:p>
            <w:pPr>
              <w:pageBreakBefore w:val="0"/>
              <w:kinsoku/>
              <w:wordWrap/>
              <w:bidi w:val="0"/>
              <w:jc w:val="center"/>
              <w:rPr>
                <w:rFonts w:hint="default" w:ascii="Times New Roman" w:hAnsi="Times New Roman" w:eastAsia="仿宋_GB2312" w:cs="Times New Roman"/>
                <w:kern w:val="2"/>
                <w:sz w:val="24"/>
                <w:szCs w:val="24"/>
                <w:highlight w:val="none"/>
                <w:lang w:val="en-US" w:eastAsia="zh-CN" w:bidi="ar-SA"/>
              </w:rPr>
            </w:pPr>
            <w:r>
              <w:rPr>
                <w:rFonts w:hint="default" w:ascii="Times New Roman" w:hAnsi="Times New Roman" w:eastAsia="仿宋_GB2312" w:cs="Times New Roman"/>
                <w:sz w:val="24"/>
                <w:szCs w:val="24"/>
                <w:highlight w:val="none"/>
              </w:rPr>
              <w:t>A4黑白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pct"/>
            <w:noWrap w:val="0"/>
            <w:vAlign w:val="center"/>
          </w:tcPr>
          <w:p>
            <w:pPr>
              <w:pageBreakBefore w:val="0"/>
              <w:kinsoku/>
              <w:wordWrap/>
              <w:bidi w:val="0"/>
              <w:jc w:val="center"/>
              <w:rPr>
                <w:rFonts w:hint="eastAsia" w:ascii="Times New Roman" w:hAnsi="Times New Roman" w:eastAsia="仿宋_GB2312" w:cs="Times New Roman"/>
                <w:sz w:val="24"/>
                <w:szCs w:val="24"/>
                <w:highlight w:val="none"/>
                <w:lang w:val="en-US" w:eastAsia="zh-CN"/>
              </w:rPr>
            </w:pPr>
            <w:r>
              <w:rPr>
                <w:rFonts w:hint="eastAsia" w:eastAsia="仿宋_GB2312" w:cs="Times New Roman"/>
                <w:sz w:val="24"/>
                <w:szCs w:val="24"/>
                <w:highlight w:val="none"/>
                <w:lang w:val="en-US" w:eastAsia="zh-CN"/>
              </w:rPr>
              <w:t>7</w:t>
            </w:r>
          </w:p>
        </w:tc>
        <w:tc>
          <w:tcPr>
            <w:tcW w:w="786" w:type="pct"/>
            <w:noWrap w:val="0"/>
            <w:vAlign w:val="center"/>
          </w:tcPr>
          <w:p>
            <w:pPr>
              <w:pageBreakBefore w:val="0"/>
              <w:kinsoku/>
              <w:wordWrap/>
              <w:bidi w:val="0"/>
              <w:jc w:val="center"/>
              <w:rPr>
                <w:rFonts w:hint="default" w:ascii="Times New Roman" w:hAnsi="Times New Roman" w:eastAsia="仿宋_GB2312" w:cs="Times New Roman"/>
                <w:sz w:val="24"/>
                <w:szCs w:val="24"/>
                <w:highlight w:val="none"/>
                <w:lang w:val="en-US" w:eastAsia="zh-CN"/>
              </w:rPr>
            </w:pPr>
            <w:r>
              <w:rPr>
                <w:rFonts w:hint="eastAsia" w:eastAsia="仿宋_GB2312" w:cs="Times New Roman"/>
                <w:sz w:val="24"/>
                <w:szCs w:val="24"/>
                <w:highlight w:val="none"/>
                <w:lang w:val="en-US" w:eastAsia="zh-CN"/>
              </w:rPr>
              <w:t>附图7</w:t>
            </w:r>
          </w:p>
        </w:tc>
        <w:tc>
          <w:tcPr>
            <w:tcW w:w="2921" w:type="pct"/>
            <w:noWrap w:val="0"/>
            <w:vAlign w:val="center"/>
          </w:tcPr>
          <w:p>
            <w:pPr>
              <w:pageBreakBefore w:val="0"/>
              <w:kinsoku/>
              <w:wordWrap/>
              <w:bidi w:val="0"/>
              <w:jc w:val="center"/>
              <w:rPr>
                <w:rFonts w:hint="default" w:ascii="Times New Roman" w:hAnsi="Times New Roman" w:eastAsia="仿宋_GB2312" w:cs="Times New Roman"/>
                <w:sz w:val="24"/>
                <w:szCs w:val="24"/>
                <w:highlight w:val="none"/>
                <w:lang w:val="en-US" w:eastAsia="zh-CN"/>
              </w:rPr>
            </w:pPr>
            <w:r>
              <w:rPr>
                <w:rFonts w:hint="eastAsia" w:eastAsia="仿宋_GB2312" w:cs="Times New Roman"/>
                <w:sz w:val="24"/>
                <w:szCs w:val="24"/>
                <w:highlight w:val="none"/>
                <w:lang w:val="en-US" w:eastAsia="zh-CN"/>
              </w:rPr>
              <w:t>编织袋土拦挡设计图</w:t>
            </w:r>
          </w:p>
        </w:tc>
        <w:tc>
          <w:tcPr>
            <w:tcW w:w="859" w:type="pct"/>
            <w:noWrap w:val="0"/>
            <w:vAlign w:val="center"/>
          </w:tcPr>
          <w:p>
            <w:pPr>
              <w:pageBreakBefore w:val="0"/>
              <w:kinsoku/>
              <w:wordWrap/>
              <w:bidi w:val="0"/>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A4黑白</w:t>
            </w:r>
          </w:p>
        </w:tc>
      </w:tr>
    </w:tbl>
    <w:p>
      <w:pPr>
        <w:pStyle w:val="37"/>
        <w:pageBreakBefore w:val="0"/>
        <w:kinsoku/>
        <w:wordWrap/>
        <w:bidi w:val="0"/>
        <w:ind w:left="0" w:leftChars="0" w:firstLine="0" w:firstLineChars="0"/>
        <w:rPr>
          <w:rFonts w:hint="default" w:ascii="Times New Roman" w:hAnsi="Times New Roman" w:cs="Times New Roman"/>
        </w:rPr>
      </w:pPr>
    </w:p>
    <w:p>
      <w:pPr>
        <w:pStyle w:val="4"/>
        <w:pageBreakBefore w:val="0"/>
        <w:kinsoku/>
        <w:wordWrap/>
        <w:bidi w:val="0"/>
        <w:rPr>
          <w:rFonts w:hint="default" w:ascii="Times New Roman" w:hAnsi="Times New Roman" w:eastAsia="黑体" w:cs="Times New Roman"/>
          <w:highlight w:val="none"/>
        </w:rPr>
        <w:sectPr>
          <w:footerReference r:id="rId5" w:type="default"/>
          <w:footerReference r:id="rId6" w:type="even"/>
          <w:pgSz w:w="11906" w:h="16838"/>
          <w:pgMar w:top="1440" w:right="1701" w:bottom="1440" w:left="1797" w:header="851" w:footer="992" w:gutter="0"/>
          <w:pgBorders>
            <w:top w:val="none" w:sz="0" w:space="0"/>
            <w:left w:val="none" w:sz="0" w:space="0"/>
            <w:bottom w:val="none" w:sz="0" w:space="0"/>
            <w:right w:val="none" w:sz="0" w:space="0"/>
          </w:pgBorders>
          <w:pgNumType w:fmt="upperRoman" w:start="1"/>
          <w:cols w:space="720" w:num="1"/>
          <w:docGrid w:type="lines" w:linePitch="312" w:charSpace="0"/>
        </w:sectPr>
      </w:pPr>
    </w:p>
    <w:p>
      <w:pPr>
        <w:pStyle w:val="4"/>
        <w:bidi w:val="0"/>
        <w:rPr>
          <w:rFonts w:hint="default" w:ascii="Times New Roman" w:hAnsi="Times New Roman" w:cs="Times New Roman"/>
        </w:rPr>
      </w:pPr>
      <w:bookmarkStart w:id="0" w:name="_Toc13513"/>
      <w:bookmarkStart w:id="1" w:name="_Toc13134"/>
      <w:bookmarkStart w:id="2" w:name="_Toc12387"/>
      <w:r>
        <w:rPr>
          <w:rFonts w:hint="default" w:ascii="Times New Roman" w:hAnsi="Times New Roman" w:cs="Times New Roman"/>
        </w:rPr>
        <w:t>1综合说明</w:t>
      </w:r>
      <w:bookmarkEnd w:id="0"/>
      <w:bookmarkEnd w:id="1"/>
      <w:bookmarkEnd w:id="2"/>
    </w:p>
    <w:p>
      <w:pPr>
        <w:pStyle w:val="5"/>
        <w:bidi w:val="0"/>
        <w:rPr>
          <w:rFonts w:hint="default" w:ascii="Times New Roman" w:hAnsi="Times New Roman" w:cs="Times New Roman"/>
        </w:rPr>
      </w:pPr>
      <w:bookmarkStart w:id="3" w:name="_Toc387325502"/>
      <w:bookmarkStart w:id="4" w:name="_Toc24397"/>
      <w:bookmarkStart w:id="5" w:name="_Toc2540"/>
      <w:bookmarkStart w:id="6" w:name="_Toc21717"/>
      <w:r>
        <w:rPr>
          <w:rFonts w:hint="default" w:ascii="Times New Roman" w:hAnsi="Times New Roman" w:cs="Times New Roman"/>
        </w:rPr>
        <w:t>1.1项目简况</w:t>
      </w:r>
      <w:bookmarkEnd w:id="3"/>
      <w:bookmarkEnd w:id="4"/>
      <w:bookmarkEnd w:id="5"/>
      <w:bookmarkEnd w:id="6"/>
    </w:p>
    <w:p>
      <w:pPr>
        <w:pStyle w:val="6"/>
        <w:bidi w:val="0"/>
        <w:rPr>
          <w:rFonts w:hint="default" w:ascii="Times New Roman" w:hAnsi="Times New Roman" w:cs="Times New Roman"/>
        </w:rPr>
      </w:pPr>
      <w:r>
        <w:rPr>
          <w:rFonts w:hint="default" w:ascii="Times New Roman" w:hAnsi="Times New Roman" w:cs="Times New Roman"/>
        </w:rPr>
        <w:t>1.1.1项目基本情况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eastAsia" w:eastAsia="仿宋_GB2312" w:cs="Times New Roman"/>
          <w:sz w:val="24"/>
          <w:szCs w:val="24"/>
          <w:lang w:val="zh-CN"/>
        </w:rPr>
        <w:t>长春市</w:t>
      </w:r>
      <w:r>
        <w:rPr>
          <w:rFonts w:hint="default" w:ascii="Times New Roman" w:hAnsi="Times New Roman" w:eastAsia="仿宋_GB2312" w:cs="Times New Roman"/>
          <w:sz w:val="24"/>
          <w:szCs w:val="24"/>
          <w:lang w:val="zh-CN"/>
        </w:rPr>
        <w:t>作为仍处于快速增长的中心城市，长春的城市空间仍将进一步扩展，《长春市城市总体规划》（2017-2035）规划确定了“一城、一区、十一组团、八城镇”四个层次的城镇发展空间，其中组团建设方面，</w:t>
      </w:r>
      <w:r>
        <w:rPr>
          <w:rFonts w:hint="default" w:ascii="Times New Roman" w:hAnsi="Times New Roman" w:eastAsia="仿宋_GB2312" w:cs="Times New Roman"/>
          <w:sz w:val="24"/>
          <w:szCs w:val="24"/>
        </w:rPr>
        <w:t>按照统筹规划、分类指导、突出重点、示范带动的原则，依托公路和重大基础设施，加快组团建设，提高聚集效益和区域竞争优势，通过合理确定和强化各组团的产业，与国家级、省级开发区共同形成分工合理的产业梯次结构。</w:t>
      </w:r>
      <w:r>
        <w:rPr>
          <w:rFonts w:hint="default" w:ascii="Times New Roman" w:hAnsi="Times New Roman" w:eastAsia="仿宋_GB2312" w:cs="Times New Roman"/>
          <w:sz w:val="24"/>
          <w:szCs w:val="24"/>
          <w:lang w:val="en-US" w:eastAsia="zh-CN"/>
        </w:rPr>
        <w:t>本期项目</w:t>
      </w:r>
      <w:r>
        <w:rPr>
          <w:rFonts w:hint="default" w:ascii="Times New Roman" w:hAnsi="Times New Roman" w:eastAsia="仿宋_GB2312" w:cs="Times New Roman"/>
          <w:sz w:val="24"/>
          <w:szCs w:val="24"/>
        </w:rPr>
        <w:t>的建设，符合国家和吉林省有关土地管理的政策，符合长春市城市总体规划，对发挥区域优势，发展特色经济，培育支柱产业，促进长春市经济发展具有十分重要意义，项目建设是必要的。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sz w:val="24"/>
          <w:szCs w:val="24"/>
          <w:highlight w:val="yellow"/>
          <w:lang w:val="en-US" w:eastAsia="zh-CN"/>
        </w:rPr>
      </w:pPr>
      <w:r>
        <w:rPr>
          <w:rFonts w:hint="eastAsia" w:eastAsia="仿宋_GB2312" w:cs="Times New Roman"/>
          <w:color w:val="auto"/>
          <w:sz w:val="24"/>
          <w:szCs w:val="24"/>
          <w:lang w:val="en-US" w:eastAsia="zh-CN"/>
        </w:rPr>
        <w:t>长春国际物流经济开发区新兴建材产业园区建设</w:t>
      </w:r>
      <w:r>
        <w:rPr>
          <w:rFonts w:hint="eastAsia" w:eastAsia="仿宋_GB2312" w:cs="Times New Roman"/>
          <w:color w:val="auto"/>
          <w:sz w:val="24"/>
          <w:szCs w:val="24"/>
          <w:lang w:eastAsia="zh-CN"/>
        </w:rPr>
        <w:t>项目</w:t>
      </w:r>
      <w:r>
        <w:rPr>
          <w:rFonts w:hint="eastAsia" w:eastAsia="仿宋_GB2312" w:cs="Times New Roman"/>
          <w:color w:val="auto"/>
          <w:sz w:val="24"/>
          <w:szCs w:val="24"/>
          <w:highlight w:val="none"/>
          <w:lang w:val="en-US" w:eastAsia="zh-CN"/>
        </w:rPr>
        <w:t>B地块</w:t>
      </w:r>
      <w:r>
        <w:rPr>
          <w:rFonts w:hint="default" w:ascii="Times New Roman" w:hAnsi="Times New Roman" w:eastAsia="仿宋_GB2312" w:cs="Times New Roman"/>
          <w:color w:val="auto"/>
          <w:sz w:val="24"/>
          <w:szCs w:val="24"/>
          <w:lang w:eastAsia="zh-CN"/>
        </w:rPr>
        <w:t>位于二道物流园区</w:t>
      </w:r>
      <w:r>
        <w:rPr>
          <w:rFonts w:hint="default" w:ascii="Times New Roman" w:hAnsi="Times New Roman" w:eastAsia="仿宋_GB2312" w:cs="Times New Roman"/>
          <w:color w:val="auto"/>
          <w:sz w:val="24"/>
          <w:szCs w:val="24"/>
          <w:highlight w:val="none"/>
          <w:lang w:eastAsia="zh-CN"/>
        </w:rPr>
        <w:t>，</w:t>
      </w:r>
      <w:r>
        <w:rPr>
          <w:rFonts w:hint="default" w:ascii="Times New Roman" w:hAnsi="Times New Roman" w:eastAsia="仿宋_GB2312" w:cs="Times New Roman"/>
          <w:color w:val="auto"/>
          <w:sz w:val="24"/>
          <w:szCs w:val="24"/>
          <w:highlight w:val="none"/>
          <w:lang w:val="en-US" w:eastAsia="zh-CN"/>
        </w:rPr>
        <w:t>坐落于</w:t>
      </w:r>
      <w:r>
        <w:rPr>
          <w:rFonts w:hint="eastAsia" w:eastAsia="仿宋_GB2312" w:cs="Times New Roman"/>
          <w:color w:val="auto"/>
          <w:sz w:val="24"/>
          <w:szCs w:val="24"/>
          <w:highlight w:val="none"/>
          <w:lang w:val="en-US" w:eastAsia="zh-CN"/>
        </w:rPr>
        <w:t>常德路以北、英俊东街以东、英凯大街以西</w:t>
      </w:r>
      <w:r>
        <w:rPr>
          <w:rFonts w:hint="default" w:ascii="Times New Roman" w:hAnsi="Times New Roman" w:eastAsia="仿宋_GB2312" w:cs="Times New Roman"/>
          <w:color w:val="auto"/>
          <w:sz w:val="24"/>
          <w:szCs w:val="24"/>
          <w:highlight w:val="none"/>
          <w:lang w:val="en-US" w:eastAsia="zh-CN"/>
        </w:rPr>
        <w:t>。</w:t>
      </w:r>
      <w:r>
        <w:rPr>
          <w:rFonts w:hint="default" w:ascii="Times New Roman" w:hAnsi="Times New Roman" w:eastAsia="仿宋_GB2312" w:cs="Times New Roman"/>
          <w:color w:val="auto"/>
          <w:sz w:val="24"/>
          <w:szCs w:val="24"/>
          <w:highlight w:val="none"/>
        </w:rPr>
        <w:t>中心点坐标为东经125°30'7.426"，北纬43°54'44.914"。</w:t>
      </w:r>
      <w:r>
        <w:rPr>
          <w:rFonts w:hint="default" w:ascii="Times New Roman" w:hAnsi="Times New Roman" w:eastAsia="仿宋_GB2312" w:cs="Times New Roman"/>
          <w:color w:val="auto"/>
          <w:sz w:val="24"/>
          <w:szCs w:val="24"/>
          <w:highlight w:val="none"/>
          <w:lang w:eastAsia="zh-CN"/>
        </w:rPr>
        <w:t>项目为新建建设类项目。</w:t>
      </w:r>
      <w:r>
        <w:rPr>
          <w:rFonts w:hint="eastAsia" w:eastAsia="仿宋_GB2312" w:cs="Times New Roman"/>
          <w:color w:val="auto"/>
          <w:sz w:val="24"/>
          <w:szCs w:val="24"/>
          <w:lang w:val="en-US" w:eastAsia="zh-CN"/>
        </w:rPr>
        <w:t>B地块</w:t>
      </w:r>
      <w:r>
        <w:rPr>
          <w:rFonts w:hint="default" w:ascii="Times New Roman" w:hAnsi="Times New Roman" w:eastAsia="仿宋_GB2312" w:cs="Times New Roman"/>
          <w:color w:val="auto"/>
          <w:sz w:val="24"/>
          <w:szCs w:val="24"/>
        </w:rPr>
        <w:t>项目</w:t>
      </w:r>
      <w:r>
        <w:rPr>
          <w:rFonts w:hint="eastAsia" w:eastAsia="仿宋_GB2312" w:cs="Times New Roman"/>
          <w:color w:val="auto"/>
          <w:sz w:val="24"/>
          <w:szCs w:val="24"/>
          <w:lang w:val="en-US" w:eastAsia="zh-CN"/>
        </w:rPr>
        <w:t>总占地面积199833</w:t>
      </w:r>
      <w:r>
        <w:rPr>
          <w:rFonts w:hint="default" w:ascii="Times New Roman" w:hAnsi="Times New Roman" w:eastAsia="仿宋_GB2312" w:cs="Times New Roman"/>
          <w:sz w:val="24"/>
          <w:szCs w:val="24"/>
          <w:highlight w:val="none"/>
        </w:rPr>
        <w:t>hm²</w:t>
      </w:r>
      <w:r>
        <w:rPr>
          <w:rFonts w:hint="eastAsia" w:eastAsia="仿宋_GB2312" w:cs="Times New Roman"/>
          <w:color w:val="auto"/>
          <w:sz w:val="24"/>
          <w:szCs w:val="24"/>
          <w:lang w:val="en-US" w:eastAsia="zh-CN"/>
        </w:rPr>
        <w:t>，</w:t>
      </w:r>
      <w:r>
        <w:rPr>
          <w:rFonts w:hint="default" w:ascii="Times New Roman" w:hAnsi="Times New Roman" w:eastAsia="仿宋_GB2312" w:cs="Times New Roman"/>
          <w:color w:val="auto"/>
          <w:sz w:val="24"/>
          <w:szCs w:val="24"/>
        </w:rPr>
        <w:t>规划总建筑面积</w:t>
      </w:r>
      <w:r>
        <w:rPr>
          <w:rFonts w:hint="eastAsia" w:eastAsia="仿宋_GB2312" w:cs="Times New Roman"/>
          <w:color w:val="auto"/>
          <w:sz w:val="24"/>
          <w:szCs w:val="24"/>
          <w:lang w:eastAsia="zh-CN"/>
        </w:rPr>
        <w:t>133523.92</w:t>
      </w:r>
      <w:r>
        <w:rPr>
          <w:rFonts w:hint="default" w:ascii="Times New Roman" w:hAnsi="Times New Roman" w:eastAsia="仿宋_GB2312" w:cs="Times New Roman"/>
          <w:color w:val="auto"/>
          <w:sz w:val="24"/>
          <w:szCs w:val="24"/>
          <w:lang w:eastAsia="zh-CN"/>
        </w:rPr>
        <w:t>m²</w:t>
      </w:r>
      <w:r>
        <w:rPr>
          <w:rFonts w:hint="default" w:ascii="Times New Roman" w:hAnsi="Times New Roman" w:eastAsia="仿宋_GB2312" w:cs="Times New Roman"/>
          <w:color w:val="auto"/>
          <w:sz w:val="24"/>
          <w:szCs w:val="24"/>
        </w:rPr>
        <w:t>。其中地上建筑面积</w:t>
      </w:r>
      <w:r>
        <w:rPr>
          <w:rFonts w:hint="eastAsia" w:eastAsia="仿宋_GB2312" w:cs="Times New Roman"/>
          <w:color w:val="auto"/>
          <w:sz w:val="24"/>
          <w:szCs w:val="24"/>
          <w:lang w:eastAsia="zh-CN"/>
        </w:rPr>
        <w:t>132784.35</w:t>
      </w:r>
      <w:r>
        <w:rPr>
          <w:rFonts w:hint="default" w:ascii="Times New Roman" w:hAnsi="Times New Roman" w:eastAsia="仿宋_GB2312" w:cs="Times New Roman"/>
          <w:color w:val="auto"/>
          <w:sz w:val="24"/>
          <w:szCs w:val="24"/>
          <w:lang w:eastAsia="zh-CN"/>
        </w:rPr>
        <w:t>m²</w:t>
      </w:r>
      <w:r>
        <w:rPr>
          <w:rFonts w:hint="default" w:ascii="Times New Roman" w:hAnsi="Times New Roman" w:eastAsia="仿宋_GB2312" w:cs="Times New Roman"/>
          <w:color w:val="auto"/>
          <w:sz w:val="24"/>
          <w:szCs w:val="24"/>
        </w:rPr>
        <w:t>，地下建筑面积</w:t>
      </w:r>
      <w:r>
        <w:rPr>
          <w:rFonts w:hint="eastAsia" w:eastAsia="仿宋_GB2312" w:cs="Times New Roman"/>
          <w:color w:val="auto"/>
          <w:sz w:val="24"/>
          <w:szCs w:val="24"/>
          <w:lang w:eastAsia="zh-CN"/>
        </w:rPr>
        <w:t>739.57</w:t>
      </w:r>
      <w:r>
        <w:rPr>
          <w:rFonts w:hint="default" w:ascii="Times New Roman" w:hAnsi="Times New Roman" w:eastAsia="仿宋_GB2312" w:cs="Times New Roman"/>
          <w:color w:val="auto"/>
          <w:sz w:val="24"/>
          <w:szCs w:val="24"/>
          <w:lang w:eastAsia="zh-CN"/>
        </w:rPr>
        <w:t>m²。</w:t>
      </w:r>
      <w:r>
        <w:rPr>
          <w:rFonts w:hint="default" w:ascii="Times New Roman" w:hAnsi="Times New Roman" w:eastAsia="仿宋_GB2312" w:cs="Times New Roman"/>
          <w:color w:val="auto"/>
          <w:sz w:val="24"/>
          <w:szCs w:val="24"/>
        </w:rPr>
        <w:t>厂房</w:t>
      </w:r>
      <w:r>
        <w:rPr>
          <w:rFonts w:hint="eastAsia" w:eastAsia="仿宋_GB2312" w:cs="Times New Roman"/>
          <w:color w:val="auto"/>
          <w:sz w:val="24"/>
          <w:szCs w:val="24"/>
          <w:lang w:val="en-US" w:eastAsia="zh-CN"/>
        </w:rPr>
        <w:t>6栋</w:t>
      </w:r>
      <w:r>
        <w:rPr>
          <w:rFonts w:hint="default" w:ascii="Times New Roman" w:hAnsi="Times New Roman" w:eastAsia="仿宋_GB2312" w:cs="Times New Roman"/>
          <w:color w:val="auto"/>
          <w:sz w:val="24"/>
          <w:szCs w:val="24"/>
          <w:lang w:val="en-US" w:eastAsia="zh-CN"/>
        </w:rPr>
        <w:t>面积</w:t>
      </w:r>
      <w:r>
        <w:rPr>
          <w:rFonts w:hint="eastAsia" w:eastAsia="仿宋_GB2312" w:cs="Times New Roman"/>
          <w:color w:val="auto"/>
          <w:sz w:val="24"/>
          <w:szCs w:val="24"/>
          <w:lang w:eastAsia="zh-CN"/>
        </w:rPr>
        <w:t>106815.86</w:t>
      </w:r>
      <w:r>
        <w:rPr>
          <w:rFonts w:hint="default" w:ascii="Times New Roman" w:hAnsi="Times New Roman" w:eastAsia="仿宋_GB2312" w:cs="Times New Roman"/>
          <w:color w:val="auto"/>
          <w:sz w:val="24"/>
          <w:szCs w:val="24"/>
          <w:lang w:eastAsia="zh-CN"/>
        </w:rPr>
        <w:t>m²</w:t>
      </w:r>
      <w:r>
        <w:rPr>
          <w:rFonts w:hint="default" w:ascii="Times New Roman" w:hAnsi="Times New Roman" w:eastAsia="仿宋_GB2312" w:cs="Times New Roman"/>
          <w:color w:val="auto"/>
          <w:sz w:val="24"/>
          <w:szCs w:val="24"/>
        </w:rPr>
        <w:t>、</w:t>
      </w:r>
      <w:r>
        <w:rPr>
          <w:rFonts w:hint="eastAsia" w:eastAsia="仿宋_GB2312" w:cs="Times New Roman"/>
          <w:color w:val="auto"/>
          <w:sz w:val="24"/>
          <w:szCs w:val="24"/>
          <w:lang w:val="en-US" w:eastAsia="zh-CN"/>
        </w:rPr>
        <w:t>办公楼及食堂11063.98</w:t>
      </w:r>
      <w:r>
        <w:rPr>
          <w:rFonts w:hint="default" w:ascii="Times New Roman" w:hAnsi="Times New Roman" w:eastAsia="仿宋_GB2312" w:cs="Times New Roman"/>
          <w:color w:val="auto"/>
          <w:sz w:val="24"/>
          <w:szCs w:val="24"/>
          <w:lang w:eastAsia="zh-CN"/>
        </w:rPr>
        <w:t>m²</w:t>
      </w:r>
      <w:r>
        <w:rPr>
          <w:rFonts w:hint="default" w:ascii="Times New Roman" w:hAnsi="Times New Roman" w:eastAsia="仿宋_GB2312" w:cs="Times New Roman"/>
          <w:color w:val="auto"/>
          <w:sz w:val="24"/>
          <w:szCs w:val="24"/>
        </w:rPr>
        <w:t>、</w:t>
      </w:r>
      <w:r>
        <w:rPr>
          <w:rFonts w:hint="eastAsia" w:eastAsia="仿宋_GB2312" w:cs="Times New Roman"/>
          <w:color w:val="auto"/>
          <w:sz w:val="24"/>
          <w:szCs w:val="24"/>
          <w:lang w:val="en-US" w:eastAsia="zh-CN"/>
        </w:rPr>
        <w:t>宿舍楼1栋面积7716.97</w:t>
      </w:r>
      <w:r>
        <w:rPr>
          <w:rFonts w:hint="default" w:ascii="Times New Roman" w:hAnsi="Times New Roman" w:eastAsia="仿宋_GB2312" w:cs="Times New Roman"/>
          <w:color w:val="auto"/>
          <w:sz w:val="24"/>
          <w:szCs w:val="24"/>
          <w:lang w:eastAsia="zh-CN"/>
        </w:rPr>
        <w:t>m²</w:t>
      </w:r>
      <w:r>
        <w:rPr>
          <w:rFonts w:hint="default" w:ascii="Times New Roman" w:hAnsi="Times New Roman" w:eastAsia="仿宋_GB2312" w:cs="Times New Roman"/>
          <w:color w:val="auto"/>
          <w:sz w:val="24"/>
          <w:szCs w:val="24"/>
        </w:rPr>
        <w:t>、</w:t>
      </w:r>
      <w:r>
        <w:rPr>
          <w:rFonts w:hint="eastAsia" w:eastAsia="仿宋_GB2312" w:cs="Times New Roman"/>
          <w:color w:val="auto"/>
          <w:sz w:val="24"/>
          <w:szCs w:val="24"/>
          <w:lang w:val="en-US" w:eastAsia="zh-CN"/>
        </w:rPr>
        <w:t>实验中心1栋面积3955.97</w:t>
      </w:r>
      <w:r>
        <w:rPr>
          <w:rFonts w:hint="default" w:ascii="Times New Roman" w:hAnsi="Times New Roman" w:eastAsia="仿宋_GB2312" w:cs="Times New Roman"/>
          <w:color w:val="auto"/>
          <w:sz w:val="24"/>
          <w:szCs w:val="24"/>
          <w:lang w:eastAsia="zh-CN"/>
        </w:rPr>
        <w:t>m²</w:t>
      </w:r>
      <w:r>
        <w:rPr>
          <w:rFonts w:hint="default" w:ascii="Times New Roman" w:hAnsi="Times New Roman" w:eastAsia="仿宋_GB2312" w:cs="Times New Roman"/>
          <w:color w:val="auto"/>
          <w:sz w:val="24"/>
          <w:szCs w:val="24"/>
        </w:rPr>
        <w:t>、</w:t>
      </w:r>
      <w:r>
        <w:rPr>
          <w:rFonts w:hint="eastAsia" w:eastAsia="仿宋_GB2312" w:cs="Times New Roman"/>
          <w:color w:val="auto"/>
          <w:sz w:val="24"/>
          <w:szCs w:val="24"/>
          <w:lang w:val="en-US" w:eastAsia="zh-CN"/>
        </w:rPr>
        <w:t>食堂1栋面积2425.71</w:t>
      </w:r>
      <w:r>
        <w:rPr>
          <w:rFonts w:hint="default" w:ascii="Times New Roman" w:hAnsi="Times New Roman" w:eastAsia="仿宋_GB2312" w:cs="Times New Roman"/>
          <w:color w:val="auto"/>
          <w:sz w:val="24"/>
          <w:szCs w:val="24"/>
          <w:lang w:eastAsia="zh-CN"/>
        </w:rPr>
        <w:t>m²</w:t>
      </w:r>
      <w:r>
        <w:rPr>
          <w:rFonts w:hint="default" w:ascii="Times New Roman" w:hAnsi="Times New Roman" w:eastAsia="仿宋_GB2312" w:cs="Times New Roman"/>
          <w:color w:val="auto"/>
          <w:sz w:val="24"/>
          <w:szCs w:val="24"/>
        </w:rPr>
        <w:t>、开闭站、变电所、柴发、锅炉房</w:t>
      </w:r>
      <w:r>
        <w:rPr>
          <w:rFonts w:hint="eastAsia" w:eastAsia="仿宋_GB2312" w:cs="Times New Roman"/>
          <w:color w:val="auto"/>
          <w:sz w:val="24"/>
          <w:szCs w:val="24"/>
          <w:lang w:val="en-US" w:eastAsia="zh-CN"/>
        </w:rPr>
        <w:t>面积722.86</w:t>
      </w:r>
      <w:r>
        <w:rPr>
          <w:rFonts w:hint="default" w:ascii="Times New Roman" w:hAnsi="Times New Roman" w:eastAsia="仿宋_GB2312" w:cs="Times New Roman"/>
          <w:color w:val="auto"/>
          <w:sz w:val="24"/>
          <w:szCs w:val="24"/>
          <w:lang w:eastAsia="zh-CN"/>
        </w:rPr>
        <w:t>m²</w:t>
      </w:r>
      <w:r>
        <w:rPr>
          <w:rFonts w:hint="default" w:ascii="Times New Roman" w:hAnsi="Times New Roman" w:eastAsia="仿宋_GB2312" w:cs="Times New Roman"/>
          <w:color w:val="auto"/>
          <w:sz w:val="24"/>
          <w:szCs w:val="24"/>
        </w:rPr>
        <w:t>、</w:t>
      </w:r>
      <w:r>
        <w:rPr>
          <w:rFonts w:hint="eastAsia" w:eastAsia="仿宋_GB2312" w:cs="Times New Roman"/>
          <w:color w:val="auto"/>
          <w:sz w:val="24"/>
          <w:szCs w:val="24"/>
          <w:lang w:eastAsia="zh-CN"/>
        </w:rPr>
        <w:t>水泵房及水池</w:t>
      </w:r>
      <w:r>
        <w:rPr>
          <w:rFonts w:hint="default" w:ascii="Times New Roman" w:hAnsi="Times New Roman" w:eastAsia="仿宋_GB2312" w:cs="Times New Roman"/>
          <w:color w:val="auto"/>
          <w:sz w:val="24"/>
          <w:szCs w:val="24"/>
          <w:lang w:val="en-US" w:eastAsia="zh-CN"/>
        </w:rPr>
        <w:t>1栋面积</w:t>
      </w:r>
      <w:r>
        <w:rPr>
          <w:rFonts w:hint="eastAsia" w:eastAsia="仿宋_GB2312" w:cs="Times New Roman"/>
          <w:color w:val="auto"/>
          <w:sz w:val="24"/>
          <w:szCs w:val="24"/>
          <w:lang w:eastAsia="zh-CN"/>
        </w:rPr>
        <w:t>729.57</w:t>
      </w:r>
      <w:r>
        <w:rPr>
          <w:rFonts w:hint="default" w:ascii="Times New Roman" w:hAnsi="Times New Roman" w:eastAsia="仿宋_GB2312" w:cs="Times New Roman"/>
          <w:color w:val="auto"/>
          <w:sz w:val="24"/>
          <w:szCs w:val="24"/>
          <w:lang w:eastAsia="zh-CN"/>
        </w:rPr>
        <w:t>m²（</w:t>
      </w:r>
      <w:r>
        <w:rPr>
          <w:rFonts w:hint="default" w:ascii="Times New Roman" w:hAnsi="Times New Roman" w:eastAsia="仿宋_GB2312" w:cs="Times New Roman"/>
          <w:color w:val="auto"/>
          <w:sz w:val="24"/>
          <w:szCs w:val="24"/>
          <w:lang w:val="en-US" w:eastAsia="zh-CN"/>
        </w:rPr>
        <w:t>地上建筑面积</w:t>
      </w:r>
      <w:r>
        <w:rPr>
          <w:rFonts w:hint="eastAsia" w:eastAsia="仿宋_GB2312" w:cs="Times New Roman"/>
          <w:color w:val="auto"/>
          <w:sz w:val="24"/>
          <w:szCs w:val="24"/>
          <w:lang w:val="en-US" w:eastAsia="zh-CN"/>
        </w:rPr>
        <w:t>53</w:t>
      </w:r>
      <w:r>
        <w:rPr>
          <w:rFonts w:hint="default" w:ascii="Times New Roman" w:hAnsi="Times New Roman" w:eastAsia="仿宋_GB2312" w:cs="Times New Roman"/>
          <w:color w:val="auto"/>
          <w:sz w:val="24"/>
          <w:szCs w:val="24"/>
          <w:lang w:eastAsia="zh-CN"/>
        </w:rPr>
        <w:t>m²，</w:t>
      </w:r>
      <w:r>
        <w:rPr>
          <w:rFonts w:hint="default" w:ascii="Times New Roman" w:hAnsi="Times New Roman" w:eastAsia="仿宋_GB2312" w:cs="Times New Roman"/>
          <w:color w:val="auto"/>
          <w:sz w:val="24"/>
          <w:szCs w:val="24"/>
          <w:lang w:val="en-US" w:eastAsia="zh-CN"/>
        </w:rPr>
        <w:t>地下建筑面积</w:t>
      </w:r>
      <w:r>
        <w:rPr>
          <w:rFonts w:hint="eastAsia" w:eastAsia="仿宋_GB2312" w:cs="Times New Roman"/>
          <w:color w:val="auto"/>
          <w:sz w:val="24"/>
          <w:szCs w:val="24"/>
          <w:lang w:val="en-US" w:eastAsia="zh-CN"/>
        </w:rPr>
        <w:t>739.57</w:t>
      </w:r>
      <w:r>
        <w:rPr>
          <w:rFonts w:hint="default" w:ascii="Times New Roman" w:hAnsi="Times New Roman" w:eastAsia="仿宋_GB2312" w:cs="Times New Roman"/>
          <w:color w:val="auto"/>
          <w:sz w:val="24"/>
          <w:szCs w:val="24"/>
          <w:lang w:eastAsia="zh-CN"/>
        </w:rPr>
        <w:t>m²）</w:t>
      </w:r>
      <w:r>
        <w:rPr>
          <w:rFonts w:hint="default" w:ascii="Times New Roman" w:hAnsi="Times New Roman" w:eastAsia="仿宋_GB2312" w:cs="Times New Roman"/>
          <w:color w:val="auto"/>
          <w:sz w:val="24"/>
          <w:szCs w:val="24"/>
        </w:rPr>
        <w:t>、</w:t>
      </w:r>
      <w:r>
        <w:rPr>
          <w:rFonts w:hint="eastAsia" w:eastAsia="仿宋_GB2312" w:cs="Times New Roman"/>
          <w:color w:val="auto"/>
          <w:sz w:val="24"/>
          <w:szCs w:val="24"/>
          <w:lang w:eastAsia="zh-CN"/>
        </w:rPr>
        <w:t>成品岗亭</w:t>
      </w:r>
      <w:r>
        <w:rPr>
          <w:rFonts w:hint="eastAsia" w:eastAsia="仿宋_GB2312" w:cs="Times New Roman"/>
          <w:color w:val="auto"/>
          <w:sz w:val="24"/>
          <w:szCs w:val="24"/>
          <w:lang w:val="en-US" w:eastAsia="zh-CN"/>
        </w:rPr>
        <w:t>5栋</w:t>
      </w:r>
      <w:r>
        <w:rPr>
          <w:rFonts w:hint="default" w:ascii="Times New Roman" w:hAnsi="Times New Roman" w:eastAsia="仿宋_GB2312" w:cs="Times New Roman"/>
          <w:color w:val="auto"/>
          <w:sz w:val="24"/>
          <w:szCs w:val="24"/>
          <w:lang w:val="en-US" w:eastAsia="zh-CN"/>
        </w:rPr>
        <w:t>面积</w:t>
      </w:r>
      <w:r>
        <w:rPr>
          <w:rFonts w:hint="eastAsia" w:eastAsia="仿宋_GB2312" w:cs="Times New Roman"/>
          <w:color w:val="auto"/>
          <w:sz w:val="24"/>
          <w:szCs w:val="24"/>
          <w:lang w:val="en-US" w:eastAsia="zh-CN"/>
        </w:rPr>
        <w:t>30</w:t>
      </w:r>
      <w:r>
        <w:rPr>
          <w:rFonts w:hint="default" w:ascii="Times New Roman" w:hAnsi="Times New Roman" w:eastAsia="仿宋_GB2312" w:cs="Times New Roman"/>
          <w:color w:val="auto"/>
          <w:sz w:val="24"/>
          <w:szCs w:val="24"/>
          <w:lang w:eastAsia="zh-CN"/>
        </w:rPr>
        <w:t>m²</w:t>
      </w:r>
      <w:r>
        <w:rPr>
          <w:rFonts w:hint="default" w:ascii="Times New Roman" w:hAnsi="Times New Roman" w:eastAsia="仿宋_GB2312" w:cs="Times New Roman"/>
          <w:color w:val="auto"/>
          <w:sz w:val="24"/>
          <w:szCs w:val="24"/>
        </w:rPr>
        <w:t>。</w:t>
      </w:r>
      <w:r>
        <w:rPr>
          <w:rFonts w:hint="default" w:ascii="Times New Roman" w:hAnsi="Times New Roman" w:eastAsia="仿宋_GB2312" w:cs="Times New Roman"/>
          <w:color w:val="auto"/>
          <w:sz w:val="24"/>
          <w:szCs w:val="24"/>
          <w:lang w:eastAsia="zh-CN"/>
        </w:rPr>
        <w:t>道路及硬化</w:t>
      </w:r>
      <w:r>
        <w:rPr>
          <w:rFonts w:hint="default" w:ascii="Times New Roman" w:hAnsi="Times New Roman" w:eastAsia="仿宋_GB2312" w:cs="Times New Roman"/>
          <w:color w:val="auto"/>
          <w:sz w:val="24"/>
          <w:szCs w:val="24"/>
        </w:rPr>
        <w:t>面积</w:t>
      </w:r>
      <w:r>
        <w:rPr>
          <w:rFonts w:hint="eastAsia" w:eastAsia="仿宋_GB2312" w:cs="Times New Roman"/>
          <w:color w:val="auto"/>
          <w:sz w:val="24"/>
          <w:szCs w:val="24"/>
          <w:lang w:eastAsia="zh-CN"/>
        </w:rPr>
        <w:t>79857.96</w:t>
      </w:r>
      <w:r>
        <w:rPr>
          <w:rFonts w:hint="default" w:ascii="Times New Roman" w:hAnsi="Times New Roman" w:eastAsia="仿宋_GB2312" w:cs="Times New Roman"/>
          <w:color w:val="auto"/>
          <w:sz w:val="24"/>
          <w:szCs w:val="24"/>
          <w:lang w:eastAsia="zh-CN"/>
        </w:rPr>
        <w:t>m²</w:t>
      </w:r>
      <w:r>
        <w:rPr>
          <w:rFonts w:hint="default" w:ascii="Times New Roman" w:hAnsi="Times New Roman" w:eastAsia="仿宋_GB2312" w:cs="Times New Roman"/>
          <w:color w:val="auto"/>
          <w:sz w:val="24"/>
          <w:szCs w:val="24"/>
        </w:rPr>
        <w:t>；</w:t>
      </w:r>
      <w:r>
        <w:rPr>
          <w:rFonts w:hint="default" w:ascii="Times New Roman" w:hAnsi="Times New Roman" w:eastAsia="仿宋_GB2312" w:cs="Times New Roman"/>
          <w:color w:val="auto"/>
          <w:sz w:val="24"/>
          <w:szCs w:val="24"/>
          <w:lang w:eastAsia="zh-CN"/>
        </w:rPr>
        <w:t>绿化面积</w:t>
      </w:r>
      <w:r>
        <w:rPr>
          <w:rFonts w:hint="eastAsia" w:eastAsia="仿宋_GB2312" w:cs="Times New Roman"/>
          <w:color w:val="auto"/>
          <w:sz w:val="24"/>
          <w:szCs w:val="24"/>
          <w:lang w:val="en-US" w:eastAsia="zh-CN"/>
        </w:rPr>
        <w:t>39933.28</w:t>
      </w:r>
      <w:r>
        <w:rPr>
          <w:rFonts w:hint="default" w:ascii="Times New Roman" w:hAnsi="Times New Roman" w:eastAsia="仿宋_GB2312" w:cs="Times New Roman"/>
          <w:color w:val="auto"/>
          <w:sz w:val="24"/>
          <w:szCs w:val="24"/>
          <w:lang w:val="en-US" w:eastAsia="zh-CN"/>
        </w:rPr>
        <w:t>m²</w:t>
      </w:r>
      <w:r>
        <w:rPr>
          <w:rFonts w:hint="default"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rPr>
        <w:t>配套</w:t>
      </w:r>
      <w:r>
        <w:rPr>
          <w:rFonts w:hint="default" w:ascii="Times New Roman" w:hAnsi="Times New Roman" w:eastAsia="仿宋_GB2312" w:cs="Times New Roman"/>
          <w:color w:val="auto"/>
          <w:sz w:val="24"/>
          <w:lang w:eastAsia="zh-CN"/>
        </w:rPr>
        <w:t>供水管线和供电工程等基础设施工程</w:t>
      </w:r>
      <w:r>
        <w:rPr>
          <w:rFonts w:hint="default" w:ascii="Times New Roman" w:hAnsi="Times New Roman" w:eastAsia="仿宋_GB2312" w:cs="Times New Roman"/>
          <w:color w:val="auto"/>
          <w:sz w:val="24"/>
        </w:rPr>
        <w:t>。</w:t>
      </w:r>
      <w:r>
        <w:rPr>
          <w:rFonts w:hint="default" w:ascii="Times New Roman" w:hAnsi="Times New Roman" w:eastAsia="仿宋_GB2312" w:cs="Times New Roman"/>
          <w:color w:val="auto"/>
          <w:sz w:val="24"/>
          <w:szCs w:val="24"/>
        </w:rPr>
        <w:t>项目建成后容积率为</w:t>
      </w:r>
      <w:r>
        <w:rPr>
          <w:rFonts w:hint="eastAsia" w:eastAsia="仿宋_GB2312" w:cs="Times New Roman"/>
          <w:color w:val="auto"/>
          <w:sz w:val="24"/>
          <w:szCs w:val="24"/>
          <w:lang w:eastAsia="zh-CN"/>
        </w:rPr>
        <w:t>0.94</w:t>
      </w:r>
      <w:r>
        <w:rPr>
          <w:rFonts w:hint="default" w:ascii="Times New Roman" w:hAnsi="Times New Roman" w:eastAsia="仿宋_GB2312" w:cs="Times New Roman"/>
          <w:color w:val="auto"/>
          <w:sz w:val="24"/>
          <w:szCs w:val="24"/>
        </w:rPr>
        <w:t>，绿化率为</w:t>
      </w:r>
      <w:r>
        <w:rPr>
          <w:rFonts w:hint="eastAsia" w:eastAsia="仿宋_GB2312" w:cs="Times New Roman"/>
          <w:color w:val="auto"/>
          <w:sz w:val="24"/>
          <w:szCs w:val="24"/>
          <w:lang w:val="en-US" w:eastAsia="zh-CN"/>
        </w:rPr>
        <w:t>19.98</w:t>
      </w:r>
      <w:r>
        <w:rPr>
          <w:rFonts w:hint="default" w:ascii="Times New Roman" w:hAnsi="Times New Roman" w:eastAsia="仿宋_GB2312" w:cs="Times New Roman"/>
          <w:color w:val="auto"/>
          <w:sz w:val="24"/>
          <w:szCs w:val="24"/>
        </w:rPr>
        <w:t>%，建筑密度为</w:t>
      </w:r>
      <w:r>
        <w:rPr>
          <w:rFonts w:hint="eastAsia" w:eastAsia="仿宋_GB2312" w:cs="Times New Roman"/>
          <w:color w:val="auto"/>
          <w:sz w:val="24"/>
          <w:szCs w:val="24"/>
          <w:lang w:eastAsia="zh-CN"/>
        </w:rPr>
        <w:t>40.05</w:t>
      </w:r>
      <w:r>
        <w:rPr>
          <w:rFonts w:hint="default" w:ascii="Times New Roman" w:hAnsi="Times New Roman" w:eastAsia="仿宋_GB2312" w:cs="Times New Roman"/>
          <w:color w:val="auto"/>
          <w:sz w:val="24"/>
          <w:szCs w:val="24"/>
        </w:rPr>
        <w:t>%</w:t>
      </w:r>
      <w:r>
        <w:rPr>
          <w:rFonts w:hint="eastAsia" w:eastAsia="仿宋_GB2312" w:cs="Times New Roman"/>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highlight w:val="none"/>
        </w:rPr>
      </w:pPr>
      <w:r>
        <w:rPr>
          <w:rFonts w:hint="eastAsia" w:ascii="Times New Roman" w:hAnsi="Times New Roman" w:eastAsia="仿宋_GB2312" w:cs="Times New Roman"/>
          <w:sz w:val="24"/>
          <w:szCs w:val="24"/>
          <w:highlight w:val="none"/>
          <w:lang w:val="en-US" w:eastAsia="zh-CN"/>
        </w:rPr>
        <w:t>B地块占地面积为19.98</w:t>
      </w:r>
      <w:r>
        <w:rPr>
          <w:rFonts w:hint="default" w:ascii="Times New Roman" w:hAnsi="Times New Roman" w:eastAsia="仿宋_GB2312" w:cs="Times New Roman"/>
          <w:sz w:val="24"/>
          <w:szCs w:val="24"/>
          <w:highlight w:val="none"/>
        </w:rPr>
        <w:t>hm²</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rPr>
        <w:t>占地类型为</w:t>
      </w:r>
      <w:r>
        <w:rPr>
          <w:rFonts w:hint="default" w:ascii="Times New Roman" w:hAnsi="Times New Roman" w:eastAsia="仿宋_GB2312" w:cs="Times New Roman"/>
          <w:sz w:val="24"/>
          <w:szCs w:val="24"/>
          <w:highlight w:val="none"/>
          <w:lang w:eastAsia="zh-CN"/>
        </w:rPr>
        <w:t>工矿及仓储用地</w:t>
      </w:r>
      <w:r>
        <w:rPr>
          <w:rFonts w:hint="default" w:ascii="Times New Roman" w:hAnsi="Times New Roman" w:eastAsia="仿宋_GB2312" w:cs="Times New Roman"/>
          <w:sz w:val="24"/>
          <w:szCs w:val="24"/>
          <w:highlight w:val="none"/>
        </w:rPr>
        <w:t>。土石方总量</w:t>
      </w:r>
      <w:r>
        <w:rPr>
          <w:rFonts w:hint="eastAsia" w:eastAsia="仿宋_GB2312" w:cs="Times New Roman"/>
          <w:sz w:val="24"/>
          <w:szCs w:val="24"/>
          <w:highlight w:val="none"/>
          <w:lang w:val="en-US" w:eastAsia="zh-CN"/>
        </w:rPr>
        <w:t>44.58</w:t>
      </w:r>
      <w:r>
        <w:rPr>
          <w:rFonts w:hint="default" w:ascii="Times New Roman" w:hAnsi="Times New Roman" w:eastAsia="仿宋_GB2312" w:cs="Times New Roman"/>
          <w:sz w:val="24"/>
          <w:szCs w:val="24"/>
          <w:highlight w:val="none"/>
        </w:rPr>
        <w:t>万m³，其中开挖土石方量</w:t>
      </w:r>
      <w:r>
        <w:rPr>
          <w:rFonts w:hint="eastAsia" w:eastAsia="仿宋_GB2312" w:cs="Times New Roman"/>
          <w:sz w:val="24"/>
          <w:szCs w:val="24"/>
          <w:highlight w:val="none"/>
          <w:lang w:val="en-US" w:eastAsia="zh-CN"/>
        </w:rPr>
        <w:t>21.69</w:t>
      </w:r>
      <w:r>
        <w:rPr>
          <w:rFonts w:hint="default" w:ascii="Times New Roman" w:hAnsi="Times New Roman" w:eastAsia="仿宋_GB2312" w:cs="Times New Roman"/>
          <w:sz w:val="24"/>
          <w:szCs w:val="24"/>
          <w:highlight w:val="none"/>
        </w:rPr>
        <w:t>万m³，回填土石方量</w:t>
      </w:r>
      <w:r>
        <w:rPr>
          <w:rFonts w:hint="eastAsia" w:eastAsia="仿宋_GB2312" w:cs="Times New Roman"/>
          <w:sz w:val="24"/>
          <w:szCs w:val="24"/>
          <w:highlight w:val="none"/>
          <w:lang w:val="en-US" w:eastAsia="zh-CN"/>
        </w:rPr>
        <w:t>22.89</w:t>
      </w:r>
      <w:r>
        <w:rPr>
          <w:rFonts w:hint="default" w:ascii="Times New Roman" w:hAnsi="Times New Roman" w:eastAsia="仿宋_GB2312" w:cs="Times New Roman"/>
          <w:sz w:val="24"/>
          <w:szCs w:val="24"/>
          <w:highlight w:val="none"/>
        </w:rPr>
        <w:t>万m³</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rPr>
        <w:t>绿化用土回覆</w:t>
      </w:r>
      <w:r>
        <w:rPr>
          <w:rFonts w:hint="eastAsia" w:eastAsia="仿宋_GB2312" w:cs="Times New Roman"/>
          <w:sz w:val="24"/>
          <w:szCs w:val="24"/>
          <w:highlight w:val="none"/>
          <w:lang w:val="en-US" w:eastAsia="zh-CN"/>
        </w:rPr>
        <w:t>1.20</w:t>
      </w:r>
      <w:r>
        <w:rPr>
          <w:rFonts w:hint="default" w:ascii="Times New Roman" w:hAnsi="Times New Roman" w:eastAsia="仿宋_GB2312" w:cs="Times New Roman"/>
          <w:sz w:val="24"/>
          <w:szCs w:val="24"/>
          <w:highlight w:val="none"/>
        </w:rPr>
        <w:t>万m³</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rPr>
        <w:t>，需外借绿化用土</w:t>
      </w:r>
      <w:r>
        <w:rPr>
          <w:rFonts w:hint="eastAsia" w:eastAsia="仿宋_GB2312" w:cs="Times New Roman"/>
          <w:sz w:val="24"/>
          <w:szCs w:val="24"/>
          <w:highlight w:val="none"/>
          <w:lang w:val="en-US" w:eastAsia="zh-CN"/>
        </w:rPr>
        <w:t>1.20</w:t>
      </w:r>
      <w:r>
        <w:rPr>
          <w:rFonts w:hint="default" w:ascii="Times New Roman" w:hAnsi="Times New Roman" w:eastAsia="仿宋_GB2312" w:cs="Times New Roman"/>
          <w:sz w:val="24"/>
          <w:szCs w:val="24"/>
          <w:highlight w:val="none"/>
        </w:rPr>
        <w:t>万m³，土方来源</w:t>
      </w:r>
      <w:r>
        <w:rPr>
          <w:rFonts w:hint="eastAsia" w:eastAsia="仿宋_GB2312" w:cs="Times New Roman"/>
          <w:sz w:val="24"/>
          <w:szCs w:val="24"/>
          <w:highlight w:val="none"/>
          <w:lang w:val="en-US" w:eastAsia="zh-CN"/>
        </w:rPr>
        <w:t>由绿化公司负责</w:t>
      </w:r>
      <w:r>
        <w:rPr>
          <w:rFonts w:hint="default" w:ascii="Times New Roman" w:hAnsi="Times New Roman" w:eastAsia="仿宋_GB2312" w:cs="Times New Roman"/>
          <w:sz w:val="24"/>
          <w:szCs w:val="24"/>
          <w:highlight w:val="none"/>
        </w:rPr>
        <w:t>。工程不涉及拆迁安置、专项设施改</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rPr>
        <w:t>迁</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rPr>
        <w:t>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lang w:val="en-US" w:eastAsia="zh-CN"/>
        </w:rPr>
        <w:t>本期项目</w:t>
      </w:r>
      <w:r>
        <w:rPr>
          <w:rFonts w:hint="eastAsia" w:eastAsia="仿宋_GB2312" w:cs="Times New Roman"/>
          <w:sz w:val="24"/>
          <w:szCs w:val="24"/>
          <w:highlight w:val="none"/>
          <w:lang w:val="en-US" w:eastAsia="zh-CN"/>
        </w:rPr>
        <w:t>计划</w:t>
      </w:r>
      <w:r>
        <w:rPr>
          <w:rFonts w:hint="default" w:ascii="Times New Roman" w:hAnsi="Times New Roman" w:eastAsia="仿宋_GB2312" w:cs="Times New Roman"/>
          <w:sz w:val="24"/>
          <w:szCs w:val="24"/>
          <w:highlight w:val="none"/>
        </w:rPr>
        <w:t>于</w:t>
      </w:r>
      <w:r>
        <w:rPr>
          <w:rFonts w:hint="eastAsia" w:eastAsia="仿宋_GB2312" w:cs="Times New Roman"/>
          <w:sz w:val="24"/>
          <w:szCs w:val="24"/>
          <w:highlight w:val="none"/>
          <w:lang w:eastAsia="zh-CN"/>
        </w:rPr>
        <w:t>2023年7月</w:t>
      </w:r>
      <w:r>
        <w:rPr>
          <w:rFonts w:hint="default" w:ascii="Times New Roman" w:hAnsi="Times New Roman" w:eastAsia="仿宋_GB2312" w:cs="Times New Roman"/>
          <w:sz w:val="24"/>
          <w:szCs w:val="24"/>
          <w:highlight w:val="none"/>
        </w:rPr>
        <w:t>开工，</w:t>
      </w:r>
      <w:r>
        <w:rPr>
          <w:rFonts w:hint="default" w:ascii="Times New Roman" w:hAnsi="Times New Roman" w:eastAsia="仿宋_GB2312" w:cs="Times New Roman"/>
          <w:sz w:val="24"/>
          <w:szCs w:val="24"/>
          <w:highlight w:val="none"/>
          <w:lang w:val="en-US" w:eastAsia="zh-CN"/>
        </w:rPr>
        <w:t>计划</w:t>
      </w:r>
      <w:r>
        <w:rPr>
          <w:rFonts w:hint="eastAsia" w:eastAsia="仿宋_GB2312" w:cs="Times New Roman"/>
          <w:sz w:val="24"/>
          <w:szCs w:val="24"/>
          <w:highlight w:val="none"/>
          <w:lang w:eastAsia="zh-CN"/>
        </w:rPr>
        <w:t>2024年12月</w:t>
      </w:r>
      <w:r>
        <w:rPr>
          <w:rFonts w:hint="default" w:ascii="Times New Roman" w:hAnsi="Times New Roman" w:eastAsia="仿宋_GB2312" w:cs="Times New Roman"/>
          <w:sz w:val="24"/>
          <w:szCs w:val="24"/>
          <w:highlight w:val="none"/>
        </w:rPr>
        <w:t>完工，总工期为</w:t>
      </w:r>
      <w:r>
        <w:rPr>
          <w:rFonts w:hint="eastAsia" w:eastAsia="仿宋_GB2312" w:cs="Times New Roman"/>
          <w:sz w:val="24"/>
          <w:szCs w:val="24"/>
          <w:highlight w:val="none"/>
          <w:lang w:val="en-US" w:eastAsia="zh-CN"/>
        </w:rPr>
        <w:t>18个</w:t>
      </w:r>
      <w:r>
        <w:rPr>
          <w:rFonts w:hint="default" w:ascii="Times New Roman" w:hAnsi="Times New Roman" w:eastAsia="仿宋_GB2312" w:cs="Times New Roman"/>
          <w:sz w:val="24"/>
          <w:szCs w:val="24"/>
          <w:highlight w:val="none"/>
        </w:rPr>
        <w:t>月。总投资</w:t>
      </w:r>
      <w:r>
        <w:rPr>
          <w:rFonts w:hint="eastAsia" w:eastAsia="仿宋_GB2312" w:cs="Times New Roman"/>
          <w:sz w:val="24"/>
          <w:szCs w:val="24"/>
          <w:highlight w:val="none"/>
          <w:lang w:val="en-US" w:eastAsia="zh-CN"/>
        </w:rPr>
        <w:t>103196.83</w:t>
      </w:r>
      <w:r>
        <w:rPr>
          <w:rFonts w:hint="default" w:ascii="Times New Roman" w:hAnsi="Times New Roman" w:eastAsia="仿宋_GB2312" w:cs="Times New Roman"/>
          <w:sz w:val="24"/>
          <w:szCs w:val="24"/>
          <w:highlight w:val="none"/>
        </w:rPr>
        <w:t>万元，其中</w:t>
      </w:r>
      <w:r>
        <w:rPr>
          <w:rFonts w:hint="eastAsia" w:eastAsia="仿宋_GB2312" w:cs="Times New Roman"/>
          <w:sz w:val="24"/>
          <w:szCs w:val="24"/>
          <w:highlight w:val="none"/>
          <w:lang w:val="en-US" w:eastAsia="zh-CN"/>
        </w:rPr>
        <w:t>土建</w:t>
      </w:r>
      <w:r>
        <w:rPr>
          <w:rFonts w:hint="default" w:ascii="Times New Roman" w:hAnsi="Times New Roman" w:eastAsia="仿宋_GB2312" w:cs="Times New Roman"/>
          <w:sz w:val="24"/>
          <w:szCs w:val="24"/>
          <w:highlight w:val="none"/>
        </w:rPr>
        <w:t>投资</w:t>
      </w:r>
      <w:r>
        <w:rPr>
          <w:rFonts w:hint="eastAsia" w:eastAsia="仿宋_GB2312" w:cs="Times New Roman"/>
          <w:sz w:val="24"/>
          <w:szCs w:val="24"/>
          <w:highlight w:val="none"/>
          <w:lang w:eastAsia="zh-CN"/>
        </w:rPr>
        <w:t>100173.09</w:t>
      </w:r>
      <w:r>
        <w:rPr>
          <w:rFonts w:hint="default" w:ascii="Times New Roman" w:hAnsi="Times New Roman" w:eastAsia="仿宋_GB2312" w:cs="Times New Roman"/>
          <w:sz w:val="24"/>
          <w:szCs w:val="24"/>
          <w:highlight w:val="none"/>
        </w:rPr>
        <w:t>万元，工程建设资金采取区财政和申请地方专项债券共同解决。防治责任主体单位为长春市瑞通投资有限公司。</w:t>
      </w:r>
    </w:p>
    <w:p>
      <w:pPr>
        <w:pStyle w:val="6"/>
        <w:bidi w:val="0"/>
        <w:rPr>
          <w:rFonts w:hint="default" w:ascii="Times New Roman" w:hAnsi="Times New Roman" w:cs="Times New Roman"/>
        </w:rPr>
      </w:pPr>
      <w:r>
        <w:rPr>
          <w:rFonts w:hint="default" w:ascii="Times New Roman" w:hAnsi="Times New Roman" w:cs="Times New Roman"/>
        </w:rPr>
        <w:t>1.1.2项目前期工作进展情况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长春国际物流经济开发区新兴建材产业园区建设</w:t>
      </w:r>
      <w:r>
        <w:rPr>
          <w:rFonts w:hint="default" w:ascii="Times New Roman" w:hAnsi="Times New Roman" w:eastAsia="仿宋_GB2312" w:cs="Times New Roman"/>
          <w:color w:val="auto"/>
          <w:sz w:val="24"/>
          <w:szCs w:val="24"/>
          <w:lang w:eastAsia="zh-CN"/>
        </w:rPr>
        <w:t>项目</w:t>
      </w:r>
      <w:r>
        <w:rPr>
          <w:rFonts w:hint="default" w:ascii="Times New Roman" w:hAnsi="Times New Roman" w:eastAsia="仿宋_GB2312" w:cs="Times New Roman"/>
          <w:color w:val="auto"/>
          <w:sz w:val="24"/>
          <w:szCs w:val="24"/>
          <w:lang w:val="en-US" w:eastAsia="zh-CN"/>
        </w:rPr>
        <w:t>主体工程分为</w:t>
      </w:r>
      <w:r>
        <w:rPr>
          <w:rFonts w:hint="eastAsia" w:eastAsia="仿宋_GB2312" w:cs="Times New Roman"/>
          <w:color w:val="auto"/>
          <w:sz w:val="24"/>
          <w:szCs w:val="24"/>
          <w:lang w:val="en-US" w:eastAsia="zh-CN"/>
        </w:rPr>
        <w:t>A地块</w:t>
      </w:r>
      <w:r>
        <w:rPr>
          <w:rFonts w:hint="default" w:ascii="Times New Roman" w:hAnsi="Times New Roman" w:eastAsia="仿宋_GB2312" w:cs="Times New Roman"/>
          <w:color w:val="auto"/>
          <w:sz w:val="24"/>
          <w:szCs w:val="24"/>
          <w:lang w:val="en-US" w:eastAsia="zh-CN"/>
        </w:rPr>
        <w:t>和B地块二期工程，项目总占地面积313811</w:t>
      </w:r>
      <w:r>
        <w:rPr>
          <w:rFonts w:hint="default" w:ascii="Times New Roman" w:hAnsi="Times New Roman" w:eastAsia="仿宋_GB2312" w:cs="Times New Roman"/>
          <w:color w:val="auto"/>
          <w:sz w:val="24"/>
          <w:szCs w:val="24"/>
          <w:lang w:eastAsia="zh-CN"/>
        </w:rPr>
        <w:t>m²，</w:t>
      </w:r>
      <w:r>
        <w:rPr>
          <w:rFonts w:hint="default" w:ascii="Times New Roman" w:hAnsi="Times New Roman" w:eastAsia="仿宋_GB2312" w:cs="Times New Roman"/>
          <w:color w:val="auto"/>
          <w:sz w:val="24"/>
          <w:szCs w:val="24"/>
          <w:lang w:val="en-US" w:eastAsia="zh-CN"/>
        </w:rPr>
        <w:t>其中</w:t>
      </w:r>
      <w:r>
        <w:rPr>
          <w:rFonts w:hint="eastAsia" w:eastAsia="仿宋_GB2312" w:cs="Times New Roman"/>
          <w:color w:val="auto"/>
          <w:sz w:val="24"/>
          <w:szCs w:val="24"/>
          <w:lang w:val="en-US" w:eastAsia="zh-CN"/>
        </w:rPr>
        <w:t>A地块</w:t>
      </w:r>
      <w:r>
        <w:rPr>
          <w:rFonts w:hint="default" w:ascii="Times New Roman" w:hAnsi="Times New Roman" w:eastAsia="仿宋_GB2312" w:cs="Times New Roman"/>
          <w:color w:val="auto"/>
          <w:sz w:val="24"/>
          <w:szCs w:val="24"/>
          <w:lang w:val="en-US" w:eastAsia="zh-CN"/>
        </w:rPr>
        <w:t>占地面积</w:t>
      </w:r>
      <w:r>
        <w:rPr>
          <w:rFonts w:hint="eastAsia" w:eastAsia="仿宋_GB2312" w:cs="Times New Roman"/>
          <w:color w:val="auto"/>
          <w:sz w:val="24"/>
          <w:szCs w:val="24"/>
          <w:highlight w:val="none"/>
          <w:lang w:val="en-US" w:eastAsia="zh-CN"/>
        </w:rPr>
        <w:t>113978</w:t>
      </w:r>
      <w:r>
        <w:rPr>
          <w:rFonts w:hint="default" w:ascii="Times New Roman" w:hAnsi="Times New Roman" w:eastAsia="仿宋_GB2312" w:cs="Times New Roman"/>
          <w:color w:val="auto"/>
          <w:sz w:val="24"/>
          <w:szCs w:val="24"/>
          <w:lang w:eastAsia="zh-CN"/>
        </w:rPr>
        <w:t>m²</w:t>
      </w:r>
      <w:r>
        <w:rPr>
          <w:rFonts w:hint="default" w:ascii="Times New Roman" w:hAnsi="Times New Roman" w:eastAsia="仿宋_GB2312" w:cs="Times New Roman"/>
          <w:color w:val="auto"/>
          <w:sz w:val="24"/>
          <w:szCs w:val="24"/>
          <w:lang w:val="en-US" w:eastAsia="zh-CN"/>
        </w:rPr>
        <w:t>，B地块占地面积199833</w:t>
      </w:r>
      <w:r>
        <w:rPr>
          <w:rFonts w:hint="default" w:ascii="Times New Roman" w:hAnsi="Times New Roman" w:eastAsia="仿宋_GB2312" w:cs="Times New Roman"/>
          <w:color w:val="auto"/>
          <w:sz w:val="24"/>
          <w:szCs w:val="24"/>
          <w:lang w:eastAsia="zh-CN"/>
        </w:rPr>
        <w:t>m²</w:t>
      </w:r>
      <w:r>
        <w:rPr>
          <w:rFonts w:hint="default" w:ascii="Times New Roman" w:hAnsi="Times New Roman" w:eastAsia="仿宋_GB2312" w:cs="Times New Roman"/>
          <w:color w:val="auto"/>
          <w:sz w:val="24"/>
          <w:szCs w:val="24"/>
          <w:lang w:val="en-US" w:eastAsia="zh-CN"/>
        </w:rPr>
        <w:t>。</w:t>
      </w:r>
      <w:r>
        <w:rPr>
          <w:rFonts w:hint="eastAsia" w:eastAsia="仿宋_GB2312" w:cs="Times New Roman"/>
          <w:color w:val="auto"/>
          <w:sz w:val="24"/>
          <w:szCs w:val="24"/>
          <w:lang w:val="en-US" w:eastAsia="zh-CN"/>
        </w:rPr>
        <w:t>2023年5月，A地块</w:t>
      </w:r>
      <w:r>
        <w:rPr>
          <w:rFonts w:hint="default" w:ascii="Times New Roman" w:hAnsi="Times New Roman" w:eastAsia="仿宋_GB2312" w:cs="Times New Roman"/>
          <w:color w:val="auto"/>
          <w:sz w:val="24"/>
          <w:szCs w:val="24"/>
          <w:lang w:val="en-US" w:eastAsia="zh-CN"/>
        </w:rPr>
        <w:t>单独取得</w:t>
      </w:r>
      <w:r>
        <w:rPr>
          <w:rFonts w:hint="eastAsia" w:eastAsia="仿宋_GB2312" w:cs="Times New Roman"/>
          <w:color w:val="auto"/>
          <w:sz w:val="24"/>
          <w:szCs w:val="24"/>
          <w:lang w:val="en-US" w:eastAsia="zh-CN"/>
        </w:rPr>
        <w:t>规划许可证等</w:t>
      </w:r>
      <w:r>
        <w:rPr>
          <w:rFonts w:hint="default" w:ascii="Times New Roman" w:hAnsi="Times New Roman" w:eastAsia="仿宋_GB2312" w:cs="Times New Roman"/>
          <w:color w:val="auto"/>
          <w:sz w:val="24"/>
          <w:szCs w:val="24"/>
          <w:lang w:val="en-US" w:eastAsia="zh-CN"/>
        </w:rPr>
        <w:t>相关批复，具备编制水土保持方案条件，但B地块尚未取得相应许可证，相关报批工作正在进行中。经向</w:t>
      </w:r>
      <w:r>
        <w:rPr>
          <w:rFonts w:hint="eastAsia" w:eastAsia="仿宋_GB2312" w:cs="Times New Roman"/>
          <w:color w:val="auto"/>
          <w:sz w:val="24"/>
          <w:szCs w:val="24"/>
          <w:lang w:val="en-US" w:eastAsia="zh-CN"/>
        </w:rPr>
        <w:t>吉林省水土保持学会和相关</w:t>
      </w:r>
      <w:r>
        <w:rPr>
          <w:rFonts w:hint="default" w:ascii="Times New Roman" w:hAnsi="Times New Roman" w:eastAsia="仿宋_GB2312" w:cs="Times New Roman"/>
          <w:color w:val="auto"/>
          <w:sz w:val="24"/>
          <w:szCs w:val="24"/>
          <w:lang w:val="en-US" w:eastAsia="zh-CN"/>
        </w:rPr>
        <w:t>水行政主管部门咨询，</w:t>
      </w:r>
      <w:r>
        <w:rPr>
          <w:rFonts w:hint="eastAsia" w:eastAsia="仿宋_GB2312" w:cs="Times New Roman"/>
          <w:color w:val="auto"/>
          <w:sz w:val="24"/>
          <w:szCs w:val="24"/>
          <w:lang w:val="en-US" w:eastAsia="zh-CN"/>
        </w:rPr>
        <w:t>根据《</w:t>
      </w:r>
      <w:r>
        <w:rPr>
          <w:rFonts w:hint="default" w:eastAsia="仿宋_GB2312"/>
          <w:sz w:val="24"/>
          <w:highlight w:val="none"/>
          <w:lang w:val="en-US" w:eastAsia="zh-CN"/>
        </w:rPr>
        <w:t>吉林省水利厅关于对长春国际物流经济开发区新兴建材产业园区建设项目水土保持方案编制报批有关情况的意见</w:t>
      </w:r>
      <w:r>
        <w:rPr>
          <w:rFonts w:hint="eastAsia" w:eastAsia="仿宋_GB2312" w:cs="Times New Roman"/>
          <w:color w:val="auto"/>
          <w:sz w:val="24"/>
          <w:szCs w:val="24"/>
          <w:lang w:val="en-US" w:eastAsia="zh-CN"/>
        </w:rPr>
        <w:t>》，</w:t>
      </w:r>
      <w:r>
        <w:rPr>
          <w:rFonts w:hint="default" w:ascii="Times New Roman" w:hAnsi="Times New Roman" w:eastAsia="仿宋_GB2312" w:cs="Times New Roman"/>
          <w:color w:val="auto"/>
          <w:sz w:val="24"/>
          <w:szCs w:val="24"/>
          <w:lang w:val="en-US" w:eastAsia="zh-CN"/>
        </w:rPr>
        <w:t>明确可以先行编报手续齐全的项目</w:t>
      </w:r>
      <w:r>
        <w:rPr>
          <w:rFonts w:hint="eastAsia" w:eastAsia="仿宋_GB2312" w:cs="Times New Roman"/>
          <w:color w:val="auto"/>
          <w:sz w:val="24"/>
          <w:szCs w:val="24"/>
          <w:lang w:val="en-US" w:eastAsia="zh-CN"/>
        </w:rPr>
        <w:t>A地块</w:t>
      </w:r>
      <w:r>
        <w:rPr>
          <w:rFonts w:hint="default" w:ascii="Times New Roman" w:hAnsi="Times New Roman" w:eastAsia="仿宋_GB2312" w:cs="Times New Roman"/>
          <w:color w:val="auto"/>
          <w:sz w:val="24"/>
          <w:szCs w:val="24"/>
          <w:lang w:val="en-US" w:eastAsia="zh-CN"/>
        </w:rPr>
        <w:t>部分水土保持方案（但应明晰完整的水土流失防治责任范围、核算包括A、B两个地块在内的完整项目征占用土地面积），并履行水土保持责任与义务，在项目开工建设前一次性缴纳完整项目的水土保持补偿费。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长春市瑞通投资有限公司</w:t>
      </w:r>
      <w:r>
        <w:rPr>
          <w:rFonts w:hint="eastAsia" w:ascii="Times New Roman" w:hAnsi="Times New Roman" w:eastAsia="仿宋_GB2312" w:cs="Times New Roman"/>
          <w:color w:val="auto"/>
          <w:sz w:val="24"/>
          <w:szCs w:val="24"/>
          <w:lang w:val="en-US" w:eastAsia="zh-CN"/>
        </w:rPr>
        <w:t>按照水行政主管部门指导意见</w:t>
      </w:r>
      <w:r>
        <w:rPr>
          <w:rFonts w:hint="eastAsia" w:eastAsia="仿宋_GB2312" w:cs="Times New Roman"/>
          <w:color w:val="auto"/>
          <w:sz w:val="24"/>
          <w:szCs w:val="24"/>
          <w:lang w:val="en-US" w:eastAsia="zh-CN"/>
        </w:rPr>
        <w:t>委托</w:t>
      </w:r>
      <w:r>
        <w:rPr>
          <w:rFonts w:hint="eastAsia" w:ascii="Times New Roman" w:hAnsi="Times New Roman" w:eastAsia="仿宋_GB2312" w:cs="Times New Roman"/>
          <w:color w:val="auto"/>
          <w:sz w:val="24"/>
          <w:szCs w:val="24"/>
          <w:lang w:val="en-US" w:eastAsia="zh-CN"/>
        </w:rPr>
        <w:t>编制</w:t>
      </w:r>
      <w:r>
        <w:rPr>
          <w:rFonts w:hint="eastAsia" w:eastAsia="仿宋_GB2312" w:cs="Times New Roman"/>
          <w:color w:val="auto"/>
          <w:sz w:val="24"/>
          <w:szCs w:val="24"/>
          <w:lang w:val="en-US" w:eastAsia="zh-CN"/>
        </w:rPr>
        <w:t>了</w:t>
      </w:r>
      <w:r>
        <w:rPr>
          <w:rFonts w:hint="eastAsia" w:ascii="Times New Roman" w:hAnsi="Times New Roman" w:eastAsia="仿宋_GB2312" w:cs="Times New Roman"/>
          <w:color w:val="auto"/>
          <w:sz w:val="24"/>
          <w:szCs w:val="24"/>
          <w:lang w:val="en-US" w:eastAsia="zh-CN"/>
        </w:rPr>
        <w:t>《</w:t>
      </w:r>
      <w:r>
        <w:rPr>
          <w:rFonts w:hint="default" w:ascii="Times New Roman" w:hAnsi="Times New Roman" w:eastAsia="仿宋_GB2312" w:cs="Times New Roman"/>
          <w:color w:val="auto"/>
          <w:sz w:val="24"/>
          <w:szCs w:val="24"/>
          <w:lang w:val="en-US" w:eastAsia="zh-CN"/>
        </w:rPr>
        <w:t>关于长春国际物流经济开发区新兴建材产业园区建设项目水土保持方案</w:t>
      </w:r>
      <w:r>
        <w:rPr>
          <w:rFonts w:hint="eastAsia" w:ascii="Times New Roman" w:hAnsi="Times New Roman" w:eastAsia="仿宋_GB2312" w:cs="Times New Roman"/>
          <w:color w:val="auto"/>
          <w:sz w:val="24"/>
          <w:szCs w:val="24"/>
          <w:lang w:val="en-US" w:eastAsia="zh-CN"/>
        </w:rPr>
        <w:t>》（</w:t>
      </w:r>
      <w:r>
        <w:rPr>
          <w:rFonts w:hint="default" w:ascii="Times New Roman" w:hAnsi="Times New Roman" w:eastAsia="仿宋_GB2312" w:cs="Times New Roman"/>
          <w:color w:val="auto"/>
          <w:sz w:val="24"/>
          <w:szCs w:val="24"/>
          <w:lang w:val="en-US" w:eastAsia="zh-CN"/>
        </w:rPr>
        <w:t>吉林省博远工程管理有限公司</w:t>
      </w:r>
      <w:r>
        <w:rPr>
          <w:rFonts w:hint="eastAsia" w:ascii="Times New Roman" w:hAnsi="Times New Roman" w:eastAsia="仿宋_GB2312" w:cs="Times New Roman"/>
          <w:color w:val="auto"/>
          <w:sz w:val="24"/>
          <w:szCs w:val="24"/>
          <w:lang w:val="en-US" w:eastAsia="zh-CN"/>
        </w:rPr>
        <w:t>，</w:t>
      </w:r>
      <w:r>
        <w:rPr>
          <w:rFonts w:hint="eastAsia" w:eastAsia="仿宋_GB2312" w:cs="Times New Roman"/>
          <w:color w:val="auto"/>
          <w:sz w:val="24"/>
          <w:szCs w:val="24"/>
          <w:lang w:val="en-US" w:eastAsia="zh-CN"/>
        </w:rPr>
        <w:t>2022年11月</w:t>
      </w:r>
      <w:r>
        <w:rPr>
          <w:rFonts w:hint="eastAsia" w:ascii="Times New Roman" w:hAnsi="Times New Roman" w:eastAsia="仿宋_GB2312" w:cs="Times New Roman"/>
          <w:color w:val="auto"/>
          <w:sz w:val="24"/>
          <w:szCs w:val="24"/>
          <w:lang w:val="en-US" w:eastAsia="zh-CN"/>
        </w:rPr>
        <w:t>），</w:t>
      </w:r>
      <w:r>
        <w:rPr>
          <w:rFonts w:hint="eastAsia" w:eastAsia="仿宋_GB2312" w:cs="Times New Roman"/>
          <w:color w:val="auto"/>
          <w:sz w:val="24"/>
          <w:szCs w:val="24"/>
          <w:lang w:val="en-US" w:eastAsia="zh-CN"/>
        </w:rPr>
        <w:t>并取得了长春市水务局《长春国际物流开发区新兴建材产业园区建设项目水土保持行政许可</w:t>
      </w:r>
      <w:r>
        <w:rPr>
          <w:rFonts w:hint="eastAsia" w:ascii="Times New Roman" w:hAnsi="Times New Roman" w:eastAsia="仿宋_GB2312" w:cs="Times New Roman"/>
          <w:color w:val="auto"/>
          <w:sz w:val="24"/>
          <w:szCs w:val="24"/>
          <w:lang w:val="en-US" w:eastAsia="zh-CN"/>
        </w:rPr>
        <w:t>承诺书》（长水许可〔2023〕18号），现</w:t>
      </w:r>
      <w:r>
        <w:rPr>
          <w:rFonts w:hint="default" w:ascii="Times New Roman" w:hAnsi="Times New Roman" w:eastAsia="仿宋_GB2312" w:cs="Times New Roman"/>
          <w:color w:val="auto"/>
          <w:sz w:val="24"/>
          <w:szCs w:val="24"/>
          <w:lang w:val="en-US" w:eastAsia="zh-CN"/>
        </w:rPr>
        <w:t>B地块</w:t>
      </w:r>
      <w:r>
        <w:rPr>
          <w:rFonts w:hint="eastAsia" w:ascii="Times New Roman" w:hAnsi="Times New Roman" w:eastAsia="仿宋_GB2312" w:cs="Times New Roman"/>
          <w:color w:val="auto"/>
          <w:sz w:val="24"/>
          <w:szCs w:val="24"/>
          <w:lang w:val="en-US" w:eastAsia="zh-CN"/>
        </w:rPr>
        <w:t>完成前期规划，开工在即，</w:t>
      </w:r>
      <w:r>
        <w:rPr>
          <w:rFonts w:hint="default" w:ascii="Times New Roman" w:hAnsi="Times New Roman" w:eastAsia="仿宋_GB2312" w:cs="Times New Roman"/>
          <w:color w:val="auto"/>
          <w:sz w:val="24"/>
          <w:szCs w:val="24"/>
          <w:lang w:val="en-US" w:eastAsia="zh-CN"/>
        </w:rPr>
        <w:t>按规定编报</w:t>
      </w:r>
      <w:r>
        <w:rPr>
          <w:rFonts w:hint="eastAsia" w:ascii="Times New Roman" w:hAnsi="Times New Roman" w:eastAsia="仿宋_GB2312" w:cs="Times New Roman"/>
          <w:color w:val="auto"/>
          <w:sz w:val="24"/>
          <w:szCs w:val="24"/>
          <w:lang w:val="en-US" w:eastAsia="zh-CN"/>
        </w:rPr>
        <w:t>本项目</w:t>
      </w:r>
      <w:r>
        <w:rPr>
          <w:rFonts w:hint="default" w:ascii="Times New Roman" w:hAnsi="Times New Roman" w:eastAsia="仿宋_GB2312" w:cs="Times New Roman"/>
          <w:color w:val="auto"/>
          <w:sz w:val="24"/>
          <w:szCs w:val="24"/>
          <w:lang w:val="en-US" w:eastAsia="zh-CN"/>
        </w:rPr>
        <w:t>水土保持方案</w:t>
      </w:r>
      <w:r>
        <w:rPr>
          <w:rFonts w:hint="eastAsia" w:ascii="Times New Roman" w:hAnsi="Times New Roman" w:eastAsia="仿宋_GB2312" w:cs="Times New Roman"/>
          <w:color w:val="auto"/>
          <w:sz w:val="24"/>
          <w:szCs w:val="24"/>
          <w:lang w:val="en-US" w:eastAsia="zh-CN"/>
        </w:rPr>
        <w:t>（B地块</w:t>
      </w:r>
      <w:r>
        <w:rPr>
          <w:rFonts w:hint="default" w:ascii="Times New Roman" w:hAnsi="Times New Roman" w:eastAsia="仿宋_GB2312" w:cs="Times New Roman"/>
          <w:color w:val="auto"/>
          <w:sz w:val="24"/>
          <w:szCs w:val="24"/>
          <w:lang w:val="en-US" w:eastAsia="zh-CN"/>
        </w:rPr>
        <w:t>补充</w:t>
      </w:r>
      <w:r>
        <w:rPr>
          <w:rFonts w:hint="eastAsia" w:ascii="Times New Roman" w:hAnsi="Times New Roman" w:eastAsia="仿宋_GB2312" w:cs="Times New Roman"/>
          <w:color w:val="auto"/>
          <w:sz w:val="24"/>
          <w:szCs w:val="24"/>
          <w:lang w:val="en-US" w:eastAsia="zh-CN"/>
        </w:rPr>
        <w:t>）</w:t>
      </w:r>
      <w:r>
        <w:rPr>
          <w:rFonts w:hint="default" w:ascii="Times New Roman" w:hAnsi="Times New Roman" w:eastAsia="仿宋_GB2312"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highlight w:val="yellow"/>
        </w:rPr>
      </w:pPr>
      <w:r>
        <w:rPr>
          <w:rFonts w:hint="default" w:ascii="Times New Roman" w:hAnsi="Times New Roman" w:eastAsia="仿宋_GB2312" w:cs="Times New Roman"/>
          <w:sz w:val="24"/>
          <w:szCs w:val="24"/>
          <w:lang w:val="en-US" w:eastAsia="zh-CN"/>
        </w:rPr>
        <w:t>2021年10月，</w:t>
      </w:r>
      <w:r>
        <w:rPr>
          <w:rFonts w:hint="default" w:ascii="Times New Roman" w:hAnsi="Times New Roman" w:eastAsia="仿宋_GB2312" w:cs="Times New Roman"/>
          <w:sz w:val="24"/>
          <w:szCs w:val="24"/>
        </w:rPr>
        <w:t>长春市二道区发展和改革局</w:t>
      </w:r>
      <w:r>
        <w:rPr>
          <w:rFonts w:hint="eastAsia" w:eastAsia="仿宋_GB2312" w:cs="Times New Roman"/>
          <w:sz w:val="24"/>
          <w:szCs w:val="24"/>
          <w:lang w:val="en-US" w:eastAsia="zh-CN"/>
        </w:rPr>
        <w:t>出具</w:t>
      </w:r>
      <w:r>
        <w:rPr>
          <w:rFonts w:hint="default" w:ascii="Times New Roman" w:hAnsi="Times New Roman" w:eastAsia="仿宋_GB2312" w:cs="Times New Roman"/>
          <w:sz w:val="24"/>
          <w:szCs w:val="24"/>
        </w:rPr>
        <w:t>了《</w:t>
      </w:r>
      <w:r>
        <w:rPr>
          <w:rFonts w:hint="default" w:ascii="Times New Roman" w:hAnsi="Times New Roman" w:eastAsia="仿宋_GB2312" w:cs="Times New Roman"/>
          <w:sz w:val="24"/>
          <w:szCs w:val="24"/>
          <w:lang w:eastAsia="zh-CN"/>
        </w:rPr>
        <w:t>关于长春</w:t>
      </w:r>
      <w:r>
        <w:rPr>
          <w:rFonts w:hint="default" w:ascii="Times New Roman" w:hAnsi="Times New Roman" w:eastAsia="仿宋_GB2312" w:cs="Times New Roman"/>
          <w:sz w:val="24"/>
          <w:szCs w:val="24"/>
          <w:lang w:val="en-US" w:eastAsia="zh-CN"/>
        </w:rPr>
        <w:t>国际物流</w:t>
      </w:r>
      <w:r>
        <w:rPr>
          <w:rFonts w:hint="default" w:ascii="Times New Roman" w:hAnsi="Times New Roman" w:eastAsia="仿宋_GB2312" w:cs="Times New Roman"/>
          <w:sz w:val="24"/>
          <w:szCs w:val="24"/>
          <w:lang w:eastAsia="zh-CN"/>
        </w:rPr>
        <w:t>经济开发区新兴建材产业园区建设项目可行性研究报告的批复</w:t>
      </w:r>
      <w:r>
        <w:rPr>
          <w:rFonts w:hint="default" w:ascii="Times New Roman" w:hAnsi="Times New Roman" w:eastAsia="仿宋_GB2312" w:cs="Times New Roman"/>
          <w:sz w:val="24"/>
          <w:szCs w:val="24"/>
        </w:rPr>
        <w:t>》</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长二发改</w:t>
      </w:r>
      <w:r>
        <w:rPr>
          <w:rFonts w:hint="default" w:ascii="Times New Roman" w:hAnsi="Times New Roman" w:eastAsia="仿宋_GB2312" w:cs="Times New Roman"/>
          <w:sz w:val="24"/>
          <w:szCs w:val="24"/>
          <w:lang w:eastAsia="zh-CN"/>
        </w:rPr>
        <w:t>〔2021〕93</w:t>
      </w:r>
      <w:r>
        <w:rPr>
          <w:rFonts w:hint="default" w:ascii="Times New Roman" w:hAnsi="Times New Roman" w:eastAsia="仿宋_GB2312" w:cs="Times New Roman"/>
          <w:sz w:val="24"/>
          <w:szCs w:val="24"/>
        </w:rPr>
        <w:t>号</w:t>
      </w:r>
      <w:r>
        <w:rPr>
          <w:rFonts w:hint="default" w:ascii="Times New Roman" w:hAnsi="Times New Roman" w:eastAsia="仿宋_GB2312" w:cs="Times New Roman"/>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rPr>
      </w:pPr>
      <w:r>
        <w:rPr>
          <w:rFonts w:hint="eastAsia" w:eastAsia="仿宋_GB2312" w:cs="Times New Roman"/>
          <w:sz w:val="24"/>
          <w:szCs w:val="24"/>
          <w:lang w:eastAsia="zh-CN"/>
        </w:rPr>
        <w:t>2023年5月</w:t>
      </w:r>
      <w:r>
        <w:rPr>
          <w:rFonts w:hint="default" w:ascii="Times New Roman" w:hAnsi="Times New Roman" w:eastAsia="仿宋_GB2312" w:cs="Times New Roman"/>
          <w:sz w:val="24"/>
          <w:szCs w:val="24"/>
        </w:rPr>
        <w:t>，长春市瑞通投资有限公司委托</w:t>
      </w:r>
      <w:r>
        <w:rPr>
          <w:rFonts w:hint="eastAsia" w:eastAsia="仿宋_GB2312" w:cs="Times New Roman"/>
          <w:sz w:val="24"/>
          <w:szCs w:val="24"/>
          <w:lang w:eastAsia="zh-CN"/>
        </w:rPr>
        <w:t>吉林省晟元工程咨询有限公司</w:t>
      </w:r>
      <w:r>
        <w:rPr>
          <w:rFonts w:hint="default" w:ascii="Times New Roman" w:hAnsi="Times New Roman" w:eastAsia="仿宋_GB2312" w:cs="Times New Roman"/>
          <w:sz w:val="24"/>
          <w:szCs w:val="24"/>
        </w:rPr>
        <w:t>承担该项目水土保持方案的编制工作。</w:t>
      </w:r>
      <w:r>
        <w:rPr>
          <w:rFonts w:hint="eastAsia" w:eastAsia="仿宋_GB2312" w:cs="Times New Roman"/>
          <w:sz w:val="24"/>
          <w:szCs w:val="24"/>
          <w:lang w:val="en-US" w:eastAsia="zh-CN"/>
        </w:rPr>
        <w:t>方案编制单位按规定</w:t>
      </w:r>
      <w:r>
        <w:rPr>
          <w:rFonts w:hint="default" w:ascii="Times New Roman" w:hAnsi="Times New Roman" w:eastAsia="仿宋_GB2312" w:cs="Times New Roman"/>
          <w:sz w:val="24"/>
          <w:szCs w:val="24"/>
        </w:rPr>
        <w:t>对项目建设区及周边自然环境、生态环境以及水土保持现状进行</w:t>
      </w:r>
      <w:r>
        <w:rPr>
          <w:rFonts w:hint="eastAsia" w:eastAsia="仿宋_GB2312" w:cs="Times New Roman"/>
          <w:sz w:val="24"/>
          <w:szCs w:val="24"/>
          <w:lang w:val="en-US" w:eastAsia="zh-CN"/>
        </w:rPr>
        <w:t>了</w:t>
      </w:r>
      <w:r>
        <w:rPr>
          <w:rFonts w:hint="default" w:ascii="Times New Roman" w:hAnsi="Times New Roman" w:eastAsia="仿宋_GB2312" w:cs="Times New Roman"/>
          <w:sz w:val="24"/>
          <w:szCs w:val="24"/>
        </w:rPr>
        <w:t>现场查勘及资料收集工作，并依据《生产建设项目水土保持技术标准》</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GB50433-2018</w:t>
      </w:r>
      <w:r>
        <w:rPr>
          <w:rFonts w:hint="default" w:ascii="Times New Roman" w:hAnsi="Times New Roman" w:eastAsia="仿宋_GB2312" w:cs="Times New Roman"/>
          <w:sz w:val="24"/>
          <w:szCs w:val="24"/>
          <w:lang w:eastAsia="zh-CN"/>
        </w:rPr>
        <w:t>）</w:t>
      </w:r>
      <w:r>
        <w:rPr>
          <w:rFonts w:hint="eastAsia" w:eastAsia="仿宋_GB2312" w:cs="Times New Roman"/>
          <w:sz w:val="24"/>
          <w:szCs w:val="24"/>
          <w:lang w:val="en-US" w:eastAsia="zh-CN"/>
        </w:rPr>
        <w:t>等技术标准规范及</w:t>
      </w:r>
      <w:r>
        <w:rPr>
          <w:rFonts w:hint="default" w:ascii="Times New Roman" w:hAnsi="Times New Roman" w:eastAsia="仿宋_GB2312" w:cs="Times New Roman"/>
          <w:sz w:val="24"/>
          <w:szCs w:val="24"/>
        </w:rPr>
        <w:t>有关规定，确定了</w:t>
      </w:r>
      <w:r>
        <w:rPr>
          <w:rFonts w:hint="default" w:ascii="Times New Roman" w:hAnsi="Times New Roman" w:eastAsia="仿宋_GB2312" w:cs="Times New Roman"/>
          <w:sz w:val="24"/>
          <w:szCs w:val="24"/>
          <w:lang w:eastAsia="zh-CN"/>
        </w:rPr>
        <w:t>项目</w:t>
      </w:r>
      <w:r>
        <w:rPr>
          <w:rFonts w:hint="default" w:ascii="Times New Roman" w:hAnsi="Times New Roman" w:eastAsia="仿宋_GB2312" w:cs="Times New Roman"/>
          <w:sz w:val="24"/>
          <w:szCs w:val="24"/>
        </w:rPr>
        <w:t>防治责任范围及防治分区、水土流失预测内容、水土流失防治目标和分区防治措施布局，在此基础上，对防治责任范围内的水土流失情况进行了调查与预测、对主体工程中水土流失防治措施进行了综合评述，提出了该项目水土流失防治措施布设、投资估算以及实施进度安排，完成了《</w:t>
      </w:r>
      <w:r>
        <w:rPr>
          <w:rFonts w:hint="default" w:ascii="Times New Roman" w:hAnsi="Times New Roman" w:eastAsia="仿宋_GB2312" w:cs="Times New Roman"/>
          <w:sz w:val="24"/>
          <w:szCs w:val="24"/>
          <w:lang w:val="en-US" w:eastAsia="zh-CN"/>
        </w:rPr>
        <w:t>长春国际物流经济开发区新兴建材产业园区建设</w:t>
      </w:r>
      <w:r>
        <w:rPr>
          <w:rFonts w:hint="eastAsia" w:eastAsia="仿宋_GB2312" w:cs="Times New Roman"/>
          <w:sz w:val="24"/>
          <w:szCs w:val="24"/>
          <w:lang w:eastAsia="zh-CN"/>
        </w:rPr>
        <w:t>项目</w:t>
      </w:r>
      <w:r>
        <w:rPr>
          <w:rFonts w:hint="default" w:ascii="Times New Roman" w:hAnsi="Times New Roman" w:eastAsia="仿宋_GB2312" w:cs="Times New Roman"/>
          <w:sz w:val="24"/>
          <w:szCs w:val="24"/>
        </w:rPr>
        <w:t>水土保持方案报告书</w:t>
      </w:r>
      <w:r>
        <w:rPr>
          <w:rFonts w:hint="eastAsia" w:eastAsia="仿宋_GB2312" w:cs="Times New Roman"/>
          <w:sz w:val="24"/>
          <w:szCs w:val="24"/>
          <w:lang w:eastAsia="zh-CN"/>
        </w:rPr>
        <w:t>（</w:t>
      </w:r>
      <w:r>
        <w:rPr>
          <w:rFonts w:hint="eastAsia" w:eastAsia="仿宋_GB2312" w:cs="Times New Roman"/>
          <w:sz w:val="24"/>
          <w:szCs w:val="24"/>
          <w:lang w:val="en-US" w:eastAsia="zh-CN"/>
        </w:rPr>
        <w:t>B地块补充</w:t>
      </w:r>
      <w:r>
        <w:rPr>
          <w:rFonts w:hint="eastAsia" w:eastAsia="仿宋_GB2312" w:cs="Times New Roman"/>
          <w:sz w:val="24"/>
          <w:szCs w:val="24"/>
          <w:lang w:eastAsia="zh-CN"/>
        </w:rPr>
        <w:t>）</w:t>
      </w:r>
      <w:r>
        <w:rPr>
          <w:rFonts w:hint="default" w:ascii="Times New Roman" w:hAnsi="Times New Roman" w:eastAsia="仿宋_GB2312" w:cs="Times New Roman"/>
          <w:sz w:val="24"/>
          <w:szCs w:val="24"/>
        </w:rPr>
        <w:t>》的编制工作。</w:t>
      </w:r>
    </w:p>
    <w:p>
      <w:pPr>
        <w:pStyle w:val="6"/>
        <w:bidi w:val="0"/>
        <w:rPr>
          <w:rFonts w:hint="default" w:ascii="Times New Roman" w:hAnsi="Times New Roman" w:cs="Times New Roman"/>
        </w:rPr>
      </w:pPr>
      <w:r>
        <w:rPr>
          <w:rFonts w:hint="default" w:ascii="Times New Roman" w:hAnsi="Times New Roman" w:cs="Times New Roman"/>
        </w:rPr>
        <w:t>1.1.3自然简况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项目区地处</w:t>
      </w:r>
      <w:r>
        <w:rPr>
          <w:rFonts w:hint="eastAsia" w:eastAsia="仿宋_GB2312" w:cs="Times New Roman"/>
          <w:sz w:val="24"/>
          <w:szCs w:val="24"/>
          <w:lang w:val="en-US" w:eastAsia="zh-CN"/>
        </w:rPr>
        <w:t>二道物流园区</w:t>
      </w:r>
      <w:r>
        <w:rPr>
          <w:rFonts w:hint="default" w:ascii="Times New Roman" w:hAnsi="Times New Roman" w:eastAsia="仿宋_GB2312" w:cs="Times New Roman"/>
          <w:sz w:val="24"/>
          <w:szCs w:val="24"/>
        </w:rPr>
        <w:t>，属平原地貌。气候类型为温带季风气候，地处半湿润区，长春市多年平均气温4.6C，≥10C积温3131.9C，年蒸发量1251mm，年降水量587.6mm，降水量年内分配不均衡，主要集中在7~8月份，约占全年降水总量的60%以上，无霜期152d，多年平均风速为3.2m/s，最大冻土深1.70m；主要土壤类型为黑土；区域自然植被类型为温带落叶阔叶林及灌丛。属于东北黑土区，土壤侵蚀类型为水力侵蚀，容许土壤流失量为200t/km².a，土壤侵蚀强度以轻度侵蚀为主，土壤侵蚀背景值为</w:t>
      </w:r>
      <w:r>
        <w:rPr>
          <w:rFonts w:hint="default" w:ascii="Times New Roman" w:hAnsi="Times New Roman" w:eastAsia="仿宋_GB2312" w:cs="Times New Roman"/>
          <w:sz w:val="24"/>
          <w:szCs w:val="24"/>
          <w:lang w:val="en-US" w:eastAsia="zh-CN"/>
        </w:rPr>
        <w:t>4</w:t>
      </w:r>
      <w:r>
        <w:rPr>
          <w:rFonts w:hint="default" w:ascii="Times New Roman" w:hAnsi="Times New Roman" w:eastAsia="仿宋_GB2312" w:cs="Times New Roman"/>
          <w:sz w:val="24"/>
          <w:szCs w:val="24"/>
        </w:rPr>
        <w:t>00t/km².a。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根据《全国水土保持规划</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2015—2030年</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》及《吉林省水土保持规划</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2016—2030年</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w:t>
      </w:r>
      <w:r>
        <w:rPr>
          <w:rFonts w:hint="eastAsia" w:eastAsia="仿宋_GB2312" w:cs="Times New Roman"/>
          <w:sz w:val="24"/>
          <w:szCs w:val="24"/>
          <w:lang w:val="en-US" w:eastAsia="zh-CN"/>
        </w:rPr>
        <w:t>等有关规定</w:t>
      </w:r>
      <w:r>
        <w:rPr>
          <w:rFonts w:hint="default" w:ascii="Times New Roman" w:hAnsi="Times New Roman" w:eastAsia="仿宋_GB2312" w:cs="Times New Roman"/>
          <w:sz w:val="24"/>
          <w:szCs w:val="24"/>
        </w:rPr>
        <w:t>，项目区属于东北漫川漫岗国家级水土流失重点治理区，项目区不涉及自然保护区、世界文化和自然遗产地、风景名胜区、地质公园、森林公园、重要湿地等。</w:t>
      </w:r>
    </w:p>
    <w:p>
      <w:pPr>
        <w:pStyle w:val="5"/>
        <w:bidi w:val="0"/>
        <w:rPr>
          <w:rFonts w:hint="default" w:ascii="Times New Roman" w:hAnsi="Times New Roman" w:cs="Times New Roman"/>
        </w:rPr>
      </w:pPr>
      <w:bookmarkStart w:id="7" w:name="_Toc387325503"/>
      <w:bookmarkStart w:id="8" w:name="_Toc2610"/>
      <w:bookmarkStart w:id="9" w:name="_Toc29989"/>
      <w:bookmarkStart w:id="10" w:name="_Toc32427"/>
      <w:r>
        <w:rPr>
          <w:rFonts w:hint="default" w:ascii="Times New Roman" w:hAnsi="Times New Roman" w:cs="Times New Roman"/>
        </w:rPr>
        <w:t>1.2</w:t>
      </w:r>
      <w:bookmarkEnd w:id="7"/>
      <w:r>
        <w:rPr>
          <w:rFonts w:hint="default" w:ascii="Times New Roman" w:hAnsi="Times New Roman" w:cs="Times New Roman"/>
        </w:rPr>
        <w:t>编制依据</w:t>
      </w:r>
      <w:bookmarkEnd w:id="8"/>
      <w:bookmarkEnd w:id="9"/>
      <w:bookmarkEnd w:id="10"/>
    </w:p>
    <w:p>
      <w:pPr>
        <w:pStyle w:val="6"/>
        <w:bidi w:val="0"/>
        <w:rPr>
          <w:rFonts w:hint="default" w:ascii="Times New Roman" w:hAnsi="Times New Roman" w:cs="Times New Roman"/>
        </w:rPr>
      </w:pPr>
      <w:r>
        <w:rPr>
          <w:rFonts w:hint="default" w:ascii="Times New Roman" w:hAnsi="Times New Roman" w:cs="Times New Roman"/>
        </w:rPr>
        <w:t>1.2.1法律、法规及规范性文件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（1）《中华人民共和国水土保持法》（全国人大常委会，1991年6月29日公布实施，2010年12月25日修订，2011年3月1日起施行）；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（2）《中华人民共和国黑土地保护法》（</w:t>
      </w:r>
      <w:r>
        <w:rPr>
          <w:rFonts w:hint="eastAsia" w:eastAsia="仿宋_GB2312" w:cs="Times New Roman"/>
          <w:sz w:val="24"/>
          <w:szCs w:val="24"/>
          <w:lang w:eastAsia="zh-CN"/>
        </w:rPr>
        <w:t>2022年10月</w:t>
      </w:r>
      <w:r>
        <w:rPr>
          <w:rFonts w:hint="default" w:ascii="Times New Roman" w:hAnsi="Times New Roman" w:eastAsia="仿宋_GB2312" w:cs="Times New Roman"/>
          <w:sz w:val="24"/>
          <w:szCs w:val="24"/>
        </w:rPr>
        <w:t>24日第十三届全国人民代表大会常务委员会第三十五次会议通过，</w:t>
      </w:r>
      <w:r>
        <w:rPr>
          <w:rFonts w:hint="eastAsia" w:eastAsia="仿宋_GB2312" w:cs="Times New Roman"/>
          <w:sz w:val="24"/>
          <w:szCs w:val="24"/>
          <w:lang w:eastAsia="zh-CN"/>
        </w:rPr>
        <w:t>2023年7月</w:t>
      </w:r>
      <w:r>
        <w:rPr>
          <w:rFonts w:hint="default" w:ascii="Times New Roman" w:hAnsi="Times New Roman" w:eastAsia="仿宋_GB2312" w:cs="Times New Roman"/>
          <w:sz w:val="24"/>
          <w:szCs w:val="24"/>
        </w:rPr>
        <w:t>1日施行）；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（3）《吉林省水土保持条例》（1992年9月14日通过，2013年11月29日修订，2014年3月1日起施行）；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（4）《吉林省黑土地保护条例》（2018年3月30日吉林省第十三届人民代表大会常务委员会第二次会议通过</w:t>
      </w:r>
      <w:r>
        <w:rPr>
          <w:rFonts w:hint="eastAsia" w:eastAsia="仿宋_GB2312" w:cs="Times New Roman"/>
          <w:sz w:val="24"/>
          <w:szCs w:val="24"/>
          <w:lang w:eastAsia="zh-CN"/>
        </w:rPr>
        <w:t>；</w:t>
      </w:r>
      <w:r>
        <w:rPr>
          <w:rFonts w:hint="default" w:ascii="Times New Roman" w:hAnsi="Times New Roman" w:eastAsia="仿宋_GB2312" w:cs="Times New Roman"/>
          <w:sz w:val="24"/>
          <w:szCs w:val="24"/>
        </w:rPr>
        <w:t>经吉林省第十三届人民代表大会常务委员会第三十七次会议于</w:t>
      </w:r>
      <w:r>
        <w:rPr>
          <w:rFonts w:hint="eastAsia" w:eastAsia="仿宋_GB2312" w:cs="Times New Roman"/>
          <w:sz w:val="24"/>
          <w:szCs w:val="24"/>
          <w:lang w:eastAsia="zh-CN"/>
        </w:rPr>
        <w:t>2023年5月</w:t>
      </w:r>
      <w:r>
        <w:rPr>
          <w:rFonts w:hint="default" w:ascii="Times New Roman" w:hAnsi="Times New Roman" w:eastAsia="仿宋_GB2312" w:cs="Times New Roman"/>
          <w:sz w:val="24"/>
          <w:szCs w:val="24"/>
        </w:rPr>
        <w:t>30日修订通过，自2023年4月1日起施行）；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（5）《长春市水土保持条例》（2011年3月30日吉林省第十一届人民代表大会常务委员会第二十四次会议批准修正，2011年05月09日实施）；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（6）</w:t>
      </w:r>
      <w:r>
        <w:rPr>
          <w:rFonts w:hint="eastAsia" w:ascii="Times New Roman" w:hAnsi="Times New Roman" w:eastAsia="仿宋_GB2312" w:cs="Times New Roman"/>
          <w:sz w:val="24"/>
          <w:szCs w:val="24"/>
          <w:lang w:val="en-US" w:eastAsia="zh-CN"/>
        </w:rPr>
        <w:t>《生产建设项目水土保持方案管理办法》（水利部第53号令）</w:t>
      </w:r>
      <w:r>
        <w:rPr>
          <w:rFonts w:hint="default" w:ascii="Times New Roman" w:hAnsi="Times New Roman" w:eastAsia="仿宋_GB2312"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（7）《水利部办公厅关于印发生产建设项目水土保持技术文件编写和印制格式规定（试行）的通知》（办水保〔2018〕135号）。</w:t>
      </w:r>
    </w:p>
    <w:p>
      <w:pPr>
        <w:pStyle w:val="6"/>
        <w:bidi w:val="0"/>
        <w:rPr>
          <w:rFonts w:hint="default" w:ascii="Times New Roman" w:hAnsi="Times New Roman" w:cs="Times New Roman"/>
        </w:rPr>
      </w:pPr>
      <w:r>
        <w:rPr>
          <w:rFonts w:hint="default" w:ascii="Times New Roman" w:hAnsi="Times New Roman" w:cs="Times New Roman"/>
        </w:rPr>
        <w:t>1.2.2技术标准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（1）《生产建设项目水土保持技术标准》（GB50433-2018）；</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（2）《生产建设项目水土流失防治标准》（GB/T50434-2018）；</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（3）《土地利用现状分类》（GB/T21010-2017）；</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（4）《土壤侵蚀分类分级标准》（SL190-2007）；</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（5）《生产建设项目水土保持监测与评价标准》（GB/T51240-2018）；</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（6）《水土保持工程设计规范》（GB51018-2014）。</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7</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《水利水电工程制图标准水土保持图》</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SL73.6-2015</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8</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《水土保持工程调查与勘测标准》</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GB/T51297-2018</w:t>
      </w:r>
      <w:r>
        <w:rPr>
          <w:rFonts w:hint="default" w:ascii="Times New Roman" w:hAnsi="Times New Roman" w:eastAsia="仿宋_GB2312" w:cs="Times New Roman"/>
          <w:sz w:val="24"/>
          <w:szCs w:val="24"/>
          <w:lang w:eastAsia="zh-CN"/>
        </w:rPr>
        <w:t>）。</w:t>
      </w:r>
    </w:p>
    <w:p>
      <w:pPr>
        <w:pStyle w:val="6"/>
        <w:bidi w:val="0"/>
        <w:rPr>
          <w:rFonts w:hint="default" w:ascii="Times New Roman" w:hAnsi="Times New Roman" w:cs="Times New Roman"/>
        </w:rPr>
      </w:pPr>
      <w:r>
        <w:rPr>
          <w:rFonts w:hint="default" w:ascii="Times New Roman" w:hAnsi="Times New Roman" w:cs="Times New Roman"/>
        </w:rPr>
        <w:t>1.2.3技术资料</w:t>
      </w:r>
    </w:p>
    <w:p>
      <w:pPr>
        <w:pageBreakBefore w:val="0"/>
        <w:kinsoku/>
        <w:wordWrap/>
        <w:bidi w:val="0"/>
        <w:spacing w:line="360" w:lineRule="auto"/>
        <w:ind w:firstLine="480" w:firstLineChars="200"/>
        <w:rPr>
          <w:rFonts w:hint="default" w:ascii="Times New Roman" w:hAnsi="Times New Roman" w:eastAsia="仿宋_GB2312" w:cs="Times New Roman"/>
          <w:bCs/>
          <w:sz w:val="24"/>
          <w:highlight w:val="none"/>
        </w:rPr>
      </w:pPr>
      <w:r>
        <w:rPr>
          <w:rFonts w:hint="default" w:ascii="Times New Roman" w:hAnsi="Times New Roman" w:eastAsia="仿宋_GB2312" w:cs="Times New Roman"/>
          <w:bCs/>
          <w:sz w:val="24"/>
          <w:highlight w:val="none"/>
        </w:rPr>
        <w:t>（1）《全国水土保持规划（2015-2030年）》；</w:t>
      </w:r>
    </w:p>
    <w:p>
      <w:pPr>
        <w:pageBreakBefore w:val="0"/>
        <w:kinsoku/>
        <w:wordWrap/>
        <w:bidi w:val="0"/>
        <w:spacing w:line="360" w:lineRule="auto"/>
        <w:ind w:firstLine="480" w:firstLineChars="200"/>
        <w:rPr>
          <w:rFonts w:hint="default" w:ascii="Times New Roman" w:hAnsi="Times New Roman" w:eastAsia="仿宋_GB2312" w:cs="Times New Roman"/>
          <w:bCs/>
          <w:sz w:val="24"/>
          <w:highlight w:val="none"/>
        </w:rPr>
      </w:pPr>
      <w:r>
        <w:rPr>
          <w:rFonts w:hint="default" w:ascii="Times New Roman" w:hAnsi="Times New Roman" w:eastAsia="仿宋_GB2312" w:cs="Times New Roman"/>
          <w:bCs/>
          <w:sz w:val="24"/>
          <w:highlight w:val="none"/>
        </w:rPr>
        <w:t>（2）《吉林省水土保持规划（2016-2030年）》；</w:t>
      </w:r>
    </w:p>
    <w:p>
      <w:pPr>
        <w:pageBreakBefore w:val="0"/>
        <w:kinsoku/>
        <w:wordWrap/>
        <w:bidi w:val="0"/>
        <w:spacing w:line="360" w:lineRule="auto"/>
        <w:ind w:firstLine="480" w:firstLineChars="200"/>
        <w:rPr>
          <w:rFonts w:hint="default" w:ascii="Times New Roman" w:hAnsi="Times New Roman" w:eastAsia="仿宋_GB2312" w:cs="Times New Roman"/>
          <w:bCs/>
          <w:sz w:val="24"/>
          <w:highlight w:val="none"/>
        </w:rPr>
      </w:pPr>
      <w:r>
        <w:rPr>
          <w:rFonts w:hint="default" w:ascii="Times New Roman" w:hAnsi="Times New Roman" w:eastAsia="仿宋_GB2312" w:cs="Times New Roman"/>
          <w:bCs/>
          <w:sz w:val="24"/>
          <w:highlight w:val="none"/>
        </w:rPr>
        <w:t>（3）《吉林省水土保持公报（202</w:t>
      </w:r>
      <w:r>
        <w:rPr>
          <w:rFonts w:hint="eastAsia" w:eastAsia="仿宋_GB2312" w:cs="Times New Roman"/>
          <w:bCs/>
          <w:sz w:val="24"/>
          <w:highlight w:val="none"/>
          <w:lang w:val="en-US" w:eastAsia="zh-CN"/>
        </w:rPr>
        <w:t>1</w:t>
      </w:r>
      <w:r>
        <w:rPr>
          <w:rFonts w:hint="default" w:ascii="Times New Roman" w:hAnsi="Times New Roman" w:eastAsia="仿宋_GB2312" w:cs="Times New Roman"/>
          <w:bCs/>
          <w:sz w:val="24"/>
          <w:highlight w:val="none"/>
        </w:rPr>
        <w:t>年）》；</w:t>
      </w:r>
    </w:p>
    <w:p>
      <w:pPr>
        <w:pStyle w:val="7"/>
        <w:pageBreakBefore w:val="0"/>
        <w:kinsoku/>
        <w:wordWrap/>
        <w:bidi w:val="0"/>
        <w:spacing w:line="360" w:lineRule="auto"/>
        <w:ind w:firstLine="480"/>
        <w:rPr>
          <w:rFonts w:hint="default" w:ascii="Times New Roman" w:hAnsi="Times New Roman" w:eastAsia="仿宋_GB2312" w:cs="Times New Roman"/>
          <w:bCs/>
          <w:sz w:val="24"/>
          <w:highlight w:val="none"/>
        </w:rPr>
      </w:pPr>
      <w:r>
        <w:rPr>
          <w:rFonts w:hint="default" w:ascii="Times New Roman" w:hAnsi="Times New Roman" w:eastAsia="仿宋_GB2312" w:cs="Times New Roman"/>
          <w:bCs/>
          <w:sz w:val="24"/>
          <w:highlight w:val="none"/>
        </w:rPr>
        <w:t>（4）《长春市水土保持规划（2018-2030年）》；</w:t>
      </w:r>
    </w:p>
    <w:p>
      <w:pPr>
        <w:pStyle w:val="7"/>
        <w:pageBreakBefore w:val="0"/>
        <w:kinsoku/>
        <w:wordWrap/>
        <w:bidi w:val="0"/>
        <w:spacing w:line="360" w:lineRule="auto"/>
        <w:ind w:firstLine="480"/>
        <w:rPr>
          <w:rFonts w:hint="default" w:ascii="Times New Roman" w:hAnsi="Times New Roman" w:eastAsia="仿宋_GB2312" w:cs="Times New Roman"/>
          <w:bCs/>
          <w:sz w:val="24"/>
          <w:highlight w:val="none"/>
        </w:rPr>
      </w:pPr>
      <w:r>
        <w:rPr>
          <w:rFonts w:hint="default" w:ascii="Times New Roman" w:hAnsi="Times New Roman" w:eastAsia="仿宋_GB2312" w:cs="Times New Roman"/>
          <w:bCs/>
          <w:sz w:val="24"/>
          <w:highlight w:val="none"/>
        </w:rPr>
        <w:t>（5）</w:t>
      </w:r>
      <w:r>
        <w:rPr>
          <w:rFonts w:hint="default" w:ascii="Times New Roman" w:hAnsi="Times New Roman" w:eastAsia="仿宋_GB2312" w:cs="Times New Roman"/>
          <w:snapToGrid w:val="0"/>
          <w:kern w:val="0"/>
          <w:sz w:val="24"/>
          <w:highlight w:val="none"/>
        </w:rPr>
        <w:t>《</w:t>
      </w:r>
      <w:r>
        <w:rPr>
          <w:rFonts w:hint="default" w:ascii="Times New Roman" w:hAnsi="Times New Roman" w:eastAsia="仿宋_GB2312" w:cs="Times New Roman"/>
          <w:snapToGrid w:val="0"/>
          <w:kern w:val="0"/>
          <w:sz w:val="24"/>
          <w:highlight w:val="none"/>
          <w:lang w:val="en-US" w:eastAsia="zh-CN"/>
        </w:rPr>
        <w:t>长春国际物流经济开发区新兴建材产业园区建设</w:t>
      </w:r>
      <w:r>
        <w:rPr>
          <w:rFonts w:hint="eastAsia" w:eastAsia="仿宋_GB2312" w:cs="Times New Roman"/>
          <w:snapToGrid w:val="0"/>
          <w:kern w:val="0"/>
          <w:sz w:val="24"/>
          <w:highlight w:val="none"/>
          <w:lang w:eastAsia="zh-CN"/>
        </w:rPr>
        <w:t>项目（B地块）</w:t>
      </w:r>
      <w:r>
        <w:rPr>
          <w:rFonts w:hint="default" w:ascii="Times New Roman" w:hAnsi="Times New Roman" w:eastAsia="仿宋_GB2312" w:cs="Times New Roman"/>
          <w:snapToGrid w:val="0"/>
          <w:kern w:val="0"/>
          <w:sz w:val="24"/>
          <w:highlight w:val="none"/>
        </w:rPr>
        <w:t>总平面图》（</w:t>
      </w:r>
      <w:r>
        <w:rPr>
          <w:rFonts w:hint="eastAsia" w:eastAsia="仿宋_GB2312" w:cs="Times New Roman"/>
          <w:snapToGrid w:val="0"/>
          <w:kern w:val="0"/>
          <w:sz w:val="24"/>
          <w:highlight w:val="none"/>
          <w:lang w:eastAsia="zh-CN"/>
        </w:rPr>
        <w:t>中国建筑东北设计研究院有限公司</w:t>
      </w:r>
      <w:r>
        <w:rPr>
          <w:rFonts w:hint="default" w:ascii="Times New Roman" w:hAnsi="Times New Roman" w:eastAsia="仿宋_GB2312" w:cs="Times New Roman"/>
          <w:snapToGrid w:val="0"/>
          <w:kern w:val="0"/>
          <w:sz w:val="24"/>
          <w:highlight w:val="none"/>
        </w:rPr>
        <w:t>，</w:t>
      </w:r>
      <w:r>
        <w:rPr>
          <w:rFonts w:hint="eastAsia" w:eastAsia="仿宋_GB2312" w:cs="Times New Roman"/>
          <w:snapToGrid w:val="0"/>
          <w:kern w:val="0"/>
          <w:sz w:val="24"/>
          <w:highlight w:val="none"/>
          <w:lang w:eastAsia="zh-CN"/>
        </w:rPr>
        <w:t>2022年10月</w:t>
      </w:r>
      <w:r>
        <w:rPr>
          <w:rFonts w:hint="default" w:ascii="Times New Roman" w:hAnsi="Times New Roman" w:eastAsia="仿宋_GB2312" w:cs="Times New Roman"/>
          <w:snapToGrid w:val="0"/>
          <w:kern w:val="0"/>
          <w:sz w:val="24"/>
          <w:highlight w:val="none"/>
        </w:rPr>
        <w:t>）；</w:t>
      </w:r>
    </w:p>
    <w:p>
      <w:pPr>
        <w:pStyle w:val="7"/>
        <w:pageBreakBefore w:val="0"/>
        <w:kinsoku/>
        <w:wordWrap/>
        <w:bidi w:val="0"/>
        <w:spacing w:line="360" w:lineRule="auto"/>
        <w:ind w:firstLine="480"/>
        <w:rPr>
          <w:rFonts w:hint="default" w:ascii="Times New Roman" w:hAnsi="Times New Roman" w:eastAsia="仿宋_GB2312" w:cs="Times New Roman"/>
          <w:snapToGrid w:val="0"/>
          <w:kern w:val="0"/>
          <w:sz w:val="24"/>
          <w:highlight w:val="none"/>
          <w:lang w:eastAsia="zh-CN"/>
        </w:rPr>
      </w:pPr>
      <w:r>
        <w:rPr>
          <w:rFonts w:hint="default" w:ascii="Times New Roman" w:hAnsi="Times New Roman" w:eastAsia="仿宋_GB2312" w:cs="Times New Roman"/>
          <w:snapToGrid w:val="0"/>
          <w:kern w:val="0"/>
          <w:sz w:val="24"/>
          <w:highlight w:val="none"/>
        </w:rPr>
        <w:t>（6）《</w:t>
      </w:r>
      <w:r>
        <w:rPr>
          <w:rFonts w:hint="default" w:ascii="Times New Roman" w:hAnsi="Times New Roman" w:eastAsia="仿宋_GB2312" w:cs="Times New Roman"/>
          <w:snapToGrid w:val="0"/>
          <w:kern w:val="0"/>
          <w:sz w:val="24"/>
          <w:highlight w:val="none"/>
          <w:lang w:val="en-US" w:eastAsia="zh-CN"/>
        </w:rPr>
        <w:t>长春国际物流经济开发区新兴建材产业园区建设</w:t>
      </w:r>
      <w:r>
        <w:rPr>
          <w:rFonts w:hint="eastAsia" w:eastAsia="仿宋_GB2312" w:cs="Times New Roman"/>
          <w:snapToGrid w:val="0"/>
          <w:kern w:val="0"/>
          <w:sz w:val="24"/>
          <w:highlight w:val="none"/>
          <w:lang w:eastAsia="zh-CN"/>
        </w:rPr>
        <w:t>项目（B地块）</w:t>
      </w:r>
      <w:r>
        <w:rPr>
          <w:rFonts w:hint="default" w:ascii="Times New Roman" w:hAnsi="Times New Roman" w:eastAsia="仿宋_GB2312" w:cs="Times New Roman"/>
          <w:snapToGrid w:val="0"/>
          <w:kern w:val="0"/>
          <w:sz w:val="24"/>
          <w:highlight w:val="none"/>
        </w:rPr>
        <w:t>管网综合图》（</w:t>
      </w:r>
      <w:r>
        <w:rPr>
          <w:rFonts w:hint="eastAsia" w:eastAsia="仿宋_GB2312" w:cs="Times New Roman"/>
          <w:snapToGrid w:val="0"/>
          <w:kern w:val="0"/>
          <w:sz w:val="24"/>
          <w:highlight w:val="none"/>
          <w:lang w:eastAsia="zh-CN"/>
        </w:rPr>
        <w:t>中国建筑东北设计研究院有限公司</w:t>
      </w:r>
      <w:r>
        <w:rPr>
          <w:rFonts w:hint="default" w:ascii="Times New Roman" w:hAnsi="Times New Roman" w:eastAsia="仿宋_GB2312" w:cs="Times New Roman"/>
          <w:snapToGrid w:val="0"/>
          <w:kern w:val="0"/>
          <w:sz w:val="24"/>
          <w:highlight w:val="none"/>
        </w:rPr>
        <w:t>，</w:t>
      </w:r>
      <w:r>
        <w:rPr>
          <w:rFonts w:hint="eastAsia" w:eastAsia="仿宋_GB2312" w:cs="Times New Roman"/>
          <w:snapToGrid w:val="0"/>
          <w:kern w:val="0"/>
          <w:sz w:val="24"/>
          <w:highlight w:val="none"/>
          <w:lang w:eastAsia="zh-CN"/>
        </w:rPr>
        <w:t>2022年10月</w:t>
      </w:r>
      <w:r>
        <w:rPr>
          <w:rFonts w:hint="default" w:ascii="Times New Roman" w:hAnsi="Times New Roman" w:eastAsia="仿宋_GB2312" w:cs="Times New Roman"/>
          <w:snapToGrid w:val="0"/>
          <w:kern w:val="0"/>
          <w:sz w:val="24"/>
          <w:highlight w:val="none"/>
        </w:rPr>
        <w:t>）</w:t>
      </w:r>
      <w:r>
        <w:rPr>
          <w:rFonts w:hint="default" w:ascii="Times New Roman" w:hAnsi="Times New Roman" w:eastAsia="仿宋_GB2312" w:cs="Times New Roman"/>
          <w:snapToGrid w:val="0"/>
          <w:kern w:val="0"/>
          <w:sz w:val="24"/>
          <w:highlight w:val="none"/>
          <w:lang w:eastAsia="zh-CN"/>
        </w:rPr>
        <w:t>；</w:t>
      </w:r>
    </w:p>
    <w:p>
      <w:pPr>
        <w:pStyle w:val="7"/>
        <w:pageBreakBefore w:val="0"/>
        <w:kinsoku/>
        <w:wordWrap/>
        <w:bidi w:val="0"/>
        <w:spacing w:line="360" w:lineRule="auto"/>
        <w:ind w:firstLine="480"/>
        <w:rPr>
          <w:rFonts w:hint="eastAsia" w:eastAsia="仿宋_GB2312" w:cs="Times New Roman"/>
          <w:snapToGrid w:val="0"/>
          <w:kern w:val="0"/>
          <w:sz w:val="24"/>
          <w:highlight w:val="none"/>
          <w:lang w:eastAsia="zh-CN"/>
        </w:rPr>
      </w:pPr>
      <w:r>
        <w:rPr>
          <w:rFonts w:hint="default" w:ascii="Times New Roman" w:hAnsi="Times New Roman" w:eastAsia="仿宋_GB2312" w:cs="Times New Roman"/>
          <w:snapToGrid w:val="0"/>
          <w:kern w:val="0"/>
          <w:sz w:val="24"/>
          <w:highlight w:val="none"/>
          <w:lang w:eastAsia="zh-CN"/>
        </w:rPr>
        <w:t>（</w:t>
      </w:r>
      <w:r>
        <w:rPr>
          <w:rFonts w:hint="default" w:ascii="Times New Roman" w:hAnsi="Times New Roman" w:eastAsia="仿宋_GB2312" w:cs="Times New Roman"/>
          <w:snapToGrid w:val="0"/>
          <w:kern w:val="0"/>
          <w:sz w:val="24"/>
          <w:highlight w:val="none"/>
          <w:lang w:val="en-US" w:eastAsia="zh-CN"/>
        </w:rPr>
        <w:t>7</w:t>
      </w:r>
      <w:r>
        <w:rPr>
          <w:rFonts w:hint="default" w:ascii="Times New Roman" w:hAnsi="Times New Roman" w:eastAsia="仿宋_GB2312" w:cs="Times New Roman"/>
          <w:snapToGrid w:val="0"/>
          <w:kern w:val="0"/>
          <w:sz w:val="24"/>
          <w:highlight w:val="none"/>
          <w:lang w:eastAsia="zh-CN"/>
        </w:rPr>
        <w:t>）《</w:t>
      </w:r>
      <w:r>
        <w:rPr>
          <w:rFonts w:hint="default" w:ascii="Times New Roman" w:hAnsi="Times New Roman" w:eastAsia="仿宋_GB2312" w:cs="Times New Roman"/>
          <w:snapToGrid w:val="0"/>
          <w:kern w:val="0"/>
          <w:sz w:val="24"/>
          <w:highlight w:val="none"/>
          <w:lang w:val="en-US" w:eastAsia="zh-CN"/>
        </w:rPr>
        <w:t>长春国际物流经济开发区新兴建材产业园区建设</w:t>
      </w:r>
      <w:r>
        <w:rPr>
          <w:rFonts w:hint="eastAsia" w:eastAsia="仿宋_GB2312" w:cs="Times New Roman"/>
          <w:snapToGrid w:val="0"/>
          <w:kern w:val="0"/>
          <w:sz w:val="24"/>
          <w:highlight w:val="none"/>
          <w:lang w:eastAsia="zh-CN"/>
        </w:rPr>
        <w:t>项目</w:t>
      </w:r>
      <w:r>
        <w:rPr>
          <w:rFonts w:hint="default" w:ascii="Times New Roman" w:hAnsi="Times New Roman" w:eastAsia="仿宋_GB2312" w:cs="Times New Roman"/>
          <w:snapToGrid w:val="0"/>
          <w:kern w:val="0"/>
          <w:sz w:val="24"/>
          <w:highlight w:val="none"/>
        </w:rPr>
        <w:t>可行性研究报告</w:t>
      </w:r>
      <w:r>
        <w:rPr>
          <w:rFonts w:hint="default" w:ascii="Times New Roman" w:hAnsi="Times New Roman" w:eastAsia="仿宋_GB2312" w:cs="Times New Roman"/>
          <w:snapToGrid w:val="0"/>
          <w:kern w:val="0"/>
          <w:sz w:val="24"/>
          <w:highlight w:val="none"/>
          <w:lang w:eastAsia="zh-CN"/>
        </w:rPr>
        <w:t>》（</w:t>
      </w:r>
      <w:r>
        <w:rPr>
          <w:rFonts w:hint="default" w:ascii="Times New Roman" w:hAnsi="Times New Roman" w:eastAsia="仿宋_GB2312" w:cs="Times New Roman"/>
          <w:snapToGrid w:val="0"/>
          <w:kern w:val="0"/>
          <w:sz w:val="24"/>
          <w:highlight w:val="none"/>
        </w:rPr>
        <w:t>长春市工程咨询有限公司</w:t>
      </w:r>
      <w:r>
        <w:rPr>
          <w:rFonts w:hint="default" w:ascii="Times New Roman" w:hAnsi="Times New Roman" w:eastAsia="仿宋_GB2312" w:cs="Times New Roman"/>
          <w:snapToGrid w:val="0"/>
          <w:kern w:val="0"/>
          <w:sz w:val="24"/>
          <w:highlight w:val="none"/>
          <w:lang w:eastAsia="zh-CN"/>
        </w:rPr>
        <w:t>，</w:t>
      </w:r>
      <w:r>
        <w:rPr>
          <w:rFonts w:hint="default" w:ascii="Times New Roman" w:hAnsi="Times New Roman" w:eastAsia="仿宋_GB2312" w:cs="Times New Roman"/>
          <w:snapToGrid w:val="0"/>
          <w:kern w:val="0"/>
          <w:sz w:val="24"/>
          <w:highlight w:val="none"/>
          <w:lang w:val="en-US" w:eastAsia="zh-CN"/>
        </w:rPr>
        <w:t>2021年10月</w:t>
      </w:r>
      <w:r>
        <w:rPr>
          <w:rFonts w:hint="default" w:ascii="Times New Roman" w:hAnsi="Times New Roman" w:eastAsia="仿宋_GB2312" w:cs="Times New Roman"/>
          <w:snapToGrid w:val="0"/>
          <w:kern w:val="0"/>
          <w:sz w:val="24"/>
          <w:highlight w:val="none"/>
          <w:lang w:eastAsia="zh-CN"/>
        </w:rPr>
        <w:t>）</w:t>
      </w:r>
      <w:r>
        <w:rPr>
          <w:rFonts w:hint="eastAsia" w:eastAsia="仿宋_GB2312" w:cs="Times New Roman"/>
          <w:snapToGrid w:val="0"/>
          <w:kern w:val="0"/>
          <w:sz w:val="24"/>
          <w:highlight w:val="none"/>
          <w:lang w:eastAsia="zh-CN"/>
        </w:rPr>
        <w:t>；</w:t>
      </w:r>
    </w:p>
    <w:p>
      <w:pPr>
        <w:pStyle w:val="7"/>
        <w:pageBreakBefore w:val="0"/>
        <w:kinsoku/>
        <w:wordWrap/>
        <w:bidi w:val="0"/>
        <w:spacing w:line="360" w:lineRule="auto"/>
        <w:ind w:firstLine="480"/>
        <w:rPr>
          <w:rFonts w:hint="default" w:ascii="Times New Roman" w:hAnsi="Times New Roman" w:eastAsia="仿宋_GB2312" w:cs="Times New Roman"/>
          <w:snapToGrid w:val="0"/>
          <w:kern w:val="0"/>
          <w:sz w:val="24"/>
          <w:highlight w:val="none"/>
          <w:lang w:eastAsia="zh-CN"/>
        </w:rPr>
      </w:pPr>
      <w:r>
        <w:rPr>
          <w:rFonts w:hint="eastAsia" w:ascii="Times New Roman" w:hAnsi="Times New Roman" w:eastAsia="仿宋_GB2312" w:cs="Times New Roman"/>
          <w:snapToGrid w:val="0"/>
          <w:kern w:val="0"/>
          <w:sz w:val="24"/>
          <w:highlight w:val="none"/>
          <w:lang w:eastAsia="zh-CN"/>
        </w:rPr>
        <w:t>（</w:t>
      </w:r>
      <w:r>
        <w:rPr>
          <w:rFonts w:hint="eastAsia" w:ascii="Times New Roman" w:hAnsi="Times New Roman" w:eastAsia="仿宋_GB2312" w:cs="Times New Roman"/>
          <w:snapToGrid w:val="0"/>
          <w:kern w:val="0"/>
          <w:sz w:val="24"/>
          <w:highlight w:val="none"/>
          <w:lang w:val="en-US" w:eastAsia="zh-CN"/>
        </w:rPr>
        <w:t>8</w:t>
      </w:r>
      <w:r>
        <w:rPr>
          <w:rFonts w:hint="eastAsia" w:ascii="Times New Roman" w:hAnsi="Times New Roman" w:eastAsia="仿宋_GB2312" w:cs="Times New Roman"/>
          <w:snapToGrid w:val="0"/>
          <w:kern w:val="0"/>
          <w:sz w:val="24"/>
          <w:highlight w:val="none"/>
          <w:lang w:eastAsia="zh-CN"/>
        </w:rPr>
        <w:t>）《</w:t>
      </w:r>
      <w:r>
        <w:rPr>
          <w:rFonts w:hint="default" w:ascii="Times New Roman" w:hAnsi="Times New Roman" w:eastAsia="仿宋_GB2312" w:cs="Times New Roman"/>
          <w:snapToGrid w:val="0"/>
          <w:kern w:val="0"/>
          <w:sz w:val="24"/>
          <w:highlight w:val="none"/>
          <w:lang w:eastAsia="zh-CN"/>
        </w:rPr>
        <w:t>长春国际物流经济开发区新兴建材产业园区建设项目水土保持方案报告书</w:t>
      </w:r>
      <w:r>
        <w:rPr>
          <w:rFonts w:hint="eastAsia" w:ascii="Times New Roman" w:hAnsi="Times New Roman" w:eastAsia="仿宋_GB2312" w:cs="Times New Roman"/>
          <w:snapToGrid w:val="0"/>
          <w:kern w:val="0"/>
          <w:sz w:val="24"/>
          <w:highlight w:val="none"/>
          <w:lang w:eastAsia="zh-CN"/>
        </w:rPr>
        <w:t>》（</w:t>
      </w:r>
      <w:r>
        <w:rPr>
          <w:rFonts w:hint="default" w:ascii="Times New Roman" w:hAnsi="Times New Roman" w:eastAsia="仿宋_GB2312" w:cs="Times New Roman"/>
          <w:snapToGrid w:val="0"/>
          <w:kern w:val="0"/>
          <w:sz w:val="24"/>
          <w:highlight w:val="none"/>
          <w:lang w:eastAsia="zh-CN"/>
        </w:rPr>
        <w:t>吉林省博远工程管理有限公司</w:t>
      </w:r>
      <w:r>
        <w:rPr>
          <w:rFonts w:hint="eastAsia" w:ascii="Times New Roman" w:hAnsi="Times New Roman" w:eastAsia="仿宋_GB2312" w:cs="Times New Roman"/>
          <w:snapToGrid w:val="0"/>
          <w:kern w:val="0"/>
          <w:sz w:val="24"/>
          <w:highlight w:val="none"/>
          <w:lang w:eastAsia="zh-CN"/>
        </w:rPr>
        <w:t>，</w:t>
      </w:r>
      <w:r>
        <w:rPr>
          <w:rFonts w:hint="eastAsia" w:ascii="Times New Roman" w:hAnsi="Times New Roman" w:eastAsia="仿宋_GB2312" w:cs="Times New Roman"/>
          <w:snapToGrid w:val="0"/>
          <w:kern w:val="0"/>
          <w:sz w:val="24"/>
          <w:highlight w:val="none"/>
          <w:lang w:val="en-US" w:eastAsia="zh-CN"/>
        </w:rPr>
        <w:t>2022年11月</w:t>
      </w:r>
      <w:r>
        <w:rPr>
          <w:rFonts w:hint="eastAsia" w:ascii="Times New Roman" w:hAnsi="Times New Roman" w:eastAsia="仿宋_GB2312" w:cs="Times New Roman"/>
          <w:snapToGrid w:val="0"/>
          <w:kern w:val="0"/>
          <w:sz w:val="24"/>
          <w:highlight w:val="none"/>
          <w:lang w:eastAsia="zh-CN"/>
        </w:rPr>
        <w:t>）。</w:t>
      </w:r>
    </w:p>
    <w:p>
      <w:pPr>
        <w:pStyle w:val="5"/>
        <w:bidi w:val="0"/>
        <w:rPr>
          <w:rFonts w:hint="default" w:ascii="Times New Roman" w:hAnsi="Times New Roman" w:cs="Times New Roman"/>
        </w:rPr>
      </w:pPr>
      <w:bookmarkStart w:id="11" w:name="_Toc11941"/>
      <w:bookmarkStart w:id="12" w:name="_Toc4498"/>
      <w:bookmarkStart w:id="13" w:name="_Toc9259"/>
      <w:r>
        <w:rPr>
          <w:rFonts w:hint="default" w:ascii="Times New Roman" w:hAnsi="Times New Roman" w:cs="Times New Roman"/>
        </w:rPr>
        <w:t>1.3设计水平年</w:t>
      </w:r>
      <w:bookmarkEnd w:id="11"/>
      <w:bookmarkEnd w:id="12"/>
      <w:bookmarkEnd w:id="13"/>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color w:val="FF0000"/>
          <w:sz w:val="24"/>
          <w:szCs w:val="24"/>
          <w:highlight w:val="none"/>
          <w:lang w:eastAsia="zh-CN"/>
        </w:rPr>
      </w:pPr>
      <w:r>
        <w:rPr>
          <w:rFonts w:hint="default" w:ascii="Times New Roman" w:hAnsi="Times New Roman" w:eastAsia="仿宋_GB2312" w:cs="Times New Roman"/>
          <w:color w:val="auto"/>
          <w:sz w:val="24"/>
          <w:highlight w:val="none"/>
        </w:rPr>
        <w:t>方案设计水平年是</w:t>
      </w:r>
      <w:r>
        <w:rPr>
          <w:rFonts w:hint="default" w:ascii="Times New Roman" w:hAnsi="Times New Roman" w:eastAsia="仿宋_GB2312" w:cs="Times New Roman"/>
          <w:color w:val="auto"/>
          <w:sz w:val="24"/>
          <w:highlight w:val="none"/>
          <w:lang w:val="en-US" w:eastAsia="zh-CN"/>
        </w:rPr>
        <w:t>本期</w:t>
      </w:r>
      <w:r>
        <w:rPr>
          <w:rFonts w:hint="default" w:ascii="Times New Roman" w:hAnsi="Times New Roman" w:eastAsia="仿宋_GB2312" w:cs="Times New Roman"/>
          <w:color w:val="auto"/>
          <w:sz w:val="24"/>
          <w:highlight w:val="none"/>
        </w:rPr>
        <w:t>工程完工后，方案确定的水土保持措施实施完成并初步发挥效益的时间。本</w:t>
      </w:r>
      <w:r>
        <w:rPr>
          <w:rFonts w:hint="default" w:ascii="Times New Roman" w:hAnsi="Times New Roman" w:eastAsia="仿宋_GB2312" w:cs="Times New Roman"/>
          <w:color w:val="auto"/>
          <w:sz w:val="24"/>
          <w:highlight w:val="none"/>
          <w:lang w:val="en-US" w:eastAsia="zh-CN"/>
        </w:rPr>
        <w:t>期</w:t>
      </w:r>
      <w:r>
        <w:rPr>
          <w:rFonts w:hint="default" w:ascii="Times New Roman" w:hAnsi="Times New Roman" w:eastAsia="仿宋_GB2312" w:cs="Times New Roman"/>
          <w:color w:val="auto"/>
          <w:sz w:val="24"/>
          <w:highlight w:val="none"/>
        </w:rPr>
        <w:t>项目为建设类项目，</w:t>
      </w:r>
      <w:r>
        <w:rPr>
          <w:rFonts w:hint="eastAsia" w:eastAsia="仿宋_GB2312" w:cs="Times New Roman"/>
          <w:sz w:val="24"/>
          <w:szCs w:val="24"/>
          <w:highlight w:val="none"/>
          <w:lang w:val="en-US" w:eastAsia="zh-CN"/>
        </w:rPr>
        <w:t>计划</w:t>
      </w:r>
      <w:r>
        <w:rPr>
          <w:rFonts w:hint="default" w:ascii="Times New Roman" w:hAnsi="Times New Roman" w:eastAsia="仿宋_GB2312" w:cs="Times New Roman"/>
          <w:sz w:val="24"/>
          <w:szCs w:val="24"/>
          <w:highlight w:val="none"/>
        </w:rPr>
        <w:t>于</w:t>
      </w:r>
      <w:r>
        <w:rPr>
          <w:rFonts w:hint="eastAsia" w:eastAsia="仿宋_GB2312" w:cs="Times New Roman"/>
          <w:sz w:val="24"/>
          <w:szCs w:val="24"/>
          <w:highlight w:val="none"/>
          <w:lang w:eastAsia="zh-CN"/>
        </w:rPr>
        <w:t>2023年7月</w:t>
      </w:r>
      <w:r>
        <w:rPr>
          <w:rFonts w:hint="default" w:ascii="Times New Roman" w:hAnsi="Times New Roman" w:eastAsia="仿宋_GB2312" w:cs="Times New Roman"/>
          <w:sz w:val="24"/>
          <w:szCs w:val="24"/>
          <w:highlight w:val="none"/>
        </w:rPr>
        <w:t>开工，</w:t>
      </w:r>
      <w:r>
        <w:rPr>
          <w:rFonts w:hint="default" w:ascii="Times New Roman" w:hAnsi="Times New Roman" w:eastAsia="仿宋_GB2312" w:cs="Times New Roman"/>
          <w:sz w:val="24"/>
          <w:szCs w:val="24"/>
          <w:highlight w:val="none"/>
          <w:lang w:val="en-US" w:eastAsia="zh-CN"/>
        </w:rPr>
        <w:t>于</w:t>
      </w:r>
      <w:r>
        <w:rPr>
          <w:rFonts w:hint="eastAsia" w:eastAsia="仿宋_GB2312" w:cs="Times New Roman"/>
          <w:sz w:val="24"/>
          <w:szCs w:val="24"/>
          <w:highlight w:val="none"/>
          <w:lang w:eastAsia="zh-CN"/>
        </w:rPr>
        <w:t>2024年12月</w:t>
      </w:r>
      <w:r>
        <w:rPr>
          <w:rFonts w:hint="default" w:ascii="Times New Roman" w:hAnsi="Times New Roman" w:eastAsia="仿宋_GB2312" w:cs="Times New Roman"/>
          <w:sz w:val="24"/>
          <w:szCs w:val="24"/>
          <w:highlight w:val="none"/>
        </w:rPr>
        <w:t>完工，</w:t>
      </w:r>
      <w:r>
        <w:rPr>
          <w:rFonts w:hint="default" w:ascii="Times New Roman" w:hAnsi="Times New Roman" w:eastAsia="仿宋_GB2312" w:cs="Times New Roman"/>
          <w:color w:val="auto"/>
          <w:sz w:val="24"/>
          <w:highlight w:val="none"/>
        </w:rPr>
        <w:t>因此确定</w:t>
      </w:r>
      <w:r>
        <w:rPr>
          <w:rFonts w:hint="default" w:ascii="Times New Roman" w:hAnsi="Times New Roman" w:eastAsia="仿宋_GB2312" w:cs="Times New Roman"/>
          <w:color w:val="auto"/>
          <w:sz w:val="24"/>
          <w:highlight w:val="none"/>
          <w:lang w:val="en-US" w:eastAsia="zh-CN"/>
        </w:rPr>
        <w:t>本期项目</w:t>
      </w:r>
      <w:r>
        <w:rPr>
          <w:rFonts w:hint="default" w:ascii="Times New Roman" w:hAnsi="Times New Roman" w:eastAsia="仿宋_GB2312" w:cs="Times New Roman"/>
          <w:color w:val="auto"/>
          <w:sz w:val="24"/>
          <w:highlight w:val="none"/>
        </w:rPr>
        <w:t>水土保持方案设计水平年为主体工程完工后的</w:t>
      </w:r>
      <w:r>
        <w:rPr>
          <w:rFonts w:hint="default" w:ascii="Times New Roman" w:hAnsi="Times New Roman" w:eastAsia="仿宋_GB2312" w:cs="Times New Roman"/>
          <w:color w:val="auto"/>
          <w:sz w:val="24"/>
          <w:highlight w:val="none"/>
          <w:lang w:eastAsia="zh-CN"/>
        </w:rPr>
        <w:t>下一年</w:t>
      </w:r>
      <w:r>
        <w:rPr>
          <w:rFonts w:hint="default" w:ascii="Times New Roman" w:hAnsi="Times New Roman" w:eastAsia="仿宋_GB2312" w:cs="Times New Roman"/>
          <w:color w:val="auto"/>
          <w:sz w:val="24"/>
          <w:highlight w:val="none"/>
        </w:rPr>
        <w:t>，即202</w:t>
      </w:r>
      <w:r>
        <w:rPr>
          <w:rFonts w:hint="eastAsia" w:eastAsia="仿宋_GB2312" w:cs="Times New Roman"/>
          <w:color w:val="auto"/>
          <w:sz w:val="24"/>
          <w:highlight w:val="none"/>
          <w:lang w:val="en-US" w:eastAsia="zh-CN"/>
        </w:rPr>
        <w:t>5</w:t>
      </w:r>
      <w:r>
        <w:rPr>
          <w:rFonts w:hint="default" w:ascii="Times New Roman" w:hAnsi="Times New Roman" w:eastAsia="仿宋_GB2312" w:cs="Times New Roman"/>
          <w:color w:val="auto"/>
          <w:sz w:val="24"/>
          <w:highlight w:val="none"/>
        </w:rPr>
        <w:t>年。届时方案确定的各项水土保持措施均按方案要求全部建成并初步发挥效益，达到水土保持设施验收的要求。</w:t>
      </w:r>
    </w:p>
    <w:p>
      <w:pPr>
        <w:pStyle w:val="5"/>
        <w:bidi w:val="0"/>
        <w:rPr>
          <w:rFonts w:hint="default" w:ascii="Times New Roman" w:hAnsi="Times New Roman" w:cs="Times New Roman"/>
        </w:rPr>
      </w:pPr>
      <w:bookmarkStart w:id="14" w:name="_Toc398"/>
      <w:bookmarkStart w:id="15" w:name="_Toc29685"/>
      <w:bookmarkStart w:id="16" w:name="_Toc24609"/>
      <w:r>
        <w:rPr>
          <w:rFonts w:hint="default" w:ascii="Times New Roman" w:hAnsi="Times New Roman" w:cs="Times New Roman"/>
        </w:rPr>
        <w:t>1.4水土流失防治责任范围</w:t>
      </w:r>
      <w:bookmarkEnd w:id="14"/>
      <w:bookmarkEnd w:id="15"/>
      <w:bookmarkEnd w:id="1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eastAsia="仿宋_GB2312" w:cs="Times New Roman"/>
          <w:color w:val="auto"/>
          <w:sz w:val="24"/>
          <w:lang w:val="en-US" w:eastAsia="zh-CN"/>
        </w:rPr>
        <w:t>生产建设项目水土流失防治责任范围包括项目永久征地、临时占地（含租赁土地）以及其他使用与管辖区域。经核定，</w:t>
      </w:r>
      <w:r>
        <w:rPr>
          <w:rFonts w:hint="default" w:ascii="Times New Roman" w:hAnsi="Times New Roman" w:eastAsia="仿宋_GB2312" w:cs="Times New Roman"/>
          <w:color w:val="auto"/>
          <w:sz w:val="24"/>
          <w:szCs w:val="24"/>
          <w:lang w:eastAsia="zh-CN"/>
        </w:rPr>
        <w:t>长春二道经济开发区新兴建材产业园区建设项目</w:t>
      </w:r>
      <w:r>
        <w:rPr>
          <w:rFonts w:hint="eastAsia" w:eastAsia="仿宋_GB2312" w:cs="Times New Roman"/>
          <w:color w:val="auto"/>
          <w:sz w:val="24"/>
          <w:szCs w:val="24"/>
          <w:lang w:val="en-US" w:eastAsia="zh-CN"/>
        </w:rPr>
        <w:t>B地块</w:t>
      </w:r>
      <w:r>
        <w:rPr>
          <w:rFonts w:hint="default" w:ascii="Times New Roman" w:hAnsi="Times New Roman" w:eastAsia="仿宋_GB2312" w:cs="Times New Roman"/>
          <w:sz w:val="24"/>
          <w:szCs w:val="24"/>
        </w:rPr>
        <w:t>水土流失防治责任范围</w:t>
      </w:r>
      <w:r>
        <w:rPr>
          <w:rFonts w:hint="default" w:ascii="Times New Roman" w:hAnsi="Times New Roman" w:eastAsia="仿宋_GB2312" w:cs="Times New Roman"/>
          <w:sz w:val="24"/>
          <w:szCs w:val="24"/>
          <w:lang w:val="en-US" w:eastAsia="zh-CN"/>
        </w:rPr>
        <w:t>为</w:t>
      </w:r>
      <w:r>
        <w:rPr>
          <w:rFonts w:hint="eastAsia" w:eastAsia="仿宋_GB2312" w:cs="Times New Roman"/>
          <w:sz w:val="24"/>
          <w:szCs w:val="24"/>
          <w:lang w:val="en-US" w:eastAsia="zh-CN"/>
        </w:rPr>
        <w:t>19.98</w:t>
      </w:r>
      <w:r>
        <w:rPr>
          <w:rFonts w:hint="default" w:ascii="Times New Roman" w:hAnsi="Times New Roman" w:eastAsia="仿宋_GB2312" w:cs="Times New Roman"/>
          <w:sz w:val="24"/>
          <w:szCs w:val="24"/>
          <w:lang w:eastAsia="zh-CN"/>
        </w:rPr>
        <w:t>hm²</w:t>
      </w:r>
      <w:r>
        <w:rPr>
          <w:rFonts w:hint="default" w:ascii="Times New Roman" w:hAnsi="Times New Roman" w:eastAsia="仿宋_GB2312" w:cs="Times New Roman"/>
          <w:sz w:val="24"/>
          <w:szCs w:val="24"/>
        </w:rPr>
        <w:t>，水土流失防治责任单位为</w:t>
      </w:r>
      <w:r>
        <w:rPr>
          <w:rFonts w:hint="default" w:ascii="Times New Roman" w:hAnsi="Times New Roman" w:eastAsia="仿宋_GB2312" w:cs="Times New Roman"/>
          <w:sz w:val="24"/>
          <w:szCs w:val="24"/>
          <w:lang w:eastAsia="zh-CN"/>
        </w:rPr>
        <w:t>长春市瑞通投资有限公司</w:t>
      </w:r>
      <w:r>
        <w:rPr>
          <w:rFonts w:hint="default" w:ascii="Times New Roman" w:hAnsi="Times New Roman" w:eastAsia="仿宋_GB2312" w:cs="Times New Roman"/>
          <w:sz w:val="24"/>
          <w:szCs w:val="24"/>
        </w:rPr>
        <w:t>。</w:t>
      </w:r>
    </w:p>
    <w:p>
      <w:pPr>
        <w:pStyle w:val="5"/>
        <w:bidi w:val="0"/>
        <w:rPr>
          <w:rFonts w:hint="default" w:ascii="Times New Roman" w:hAnsi="Times New Roman" w:cs="Times New Roman"/>
        </w:rPr>
      </w:pPr>
      <w:bookmarkStart w:id="17" w:name="_Toc387325504"/>
      <w:bookmarkStart w:id="18" w:name="_Toc13418"/>
      <w:bookmarkStart w:id="19" w:name="_Toc19263"/>
      <w:bookmarkStart w:id="20" w:name="_Toc4068"/>
      <w:r>
        <w:rPr>
          <w:rFonts w:hint="default" w:ascii="Times New Roman" w:hAnsi="Times New Roman" w:cs="Times New Roman"/>
        </w:rPr>
        <w:t>1.5</w:t>
      </w:r>
      <w:bookmarkEnd w:id="17"/>
      <w:r>
        <w:rPr>
          <w:rFonts w:hint="default" w:ascii="Times New Roman" w:hAnsi="Times New Roman" w:cs="Times New Roman"/>
        </w:rPr>
        <w:t>水土流失防治目标</w:t>
      </w:r>
      <w:bookmarkEnd w:id="18"/>
      <w:bookmarkEnd w:id="19"/>
      <w:bookmarkEnd w:id="20"/>
    </w:p>
    <w:p>
      <w:pPr>
        <w:pStyle w:val="6"/>
        <w:bidi w:val="0"/>
        <w:rPr>
          <w:rFonts w:hint="default" w:ascii="Times New Roman" w:hAnsi="Times New Roman" w:cs="Times New Roman"/>
        </w:rPr>
      </w:pPr>
      <w:r>
        <w:rPr>
          <w:rFonts w:hint="default" w:ascii="Times New Roman" w:hAnsi="Times New Roman" w:cs="Times New Roman"/>
        </w:rPr>
        <w:t>1.5.1执行标准等级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bCs/>
          <w:kern w:val="0"/>
          <w:sz w:val="24"/>
          <w:szCs w:val="24"/>
          <w:highlight w:val="none"/>
        </w:rPr>
      </w:pPr>
      <w:r>
        <w:rPr>
          <w:rFonts w:hint="default" w:ascii="Times New Roman" w:hAnsi="Times New Roman" w:eastAsia="仿宋_GB2312" w:cs="Times New Roman"/>
          <w:color w:val="auto"/>
          <w:sz w:val="24"/>
          <w:szCs w:val="24"/>
          <w:lang w:eastAsia="zh-CN"/>
        </w:rPr>
        <w:t>项目位于</w:t>
      </w:r>
      <w:r>
        <w:rPr>
          <w:rFonts w:hint="eastAsia" w:eastAsia="仿宋_GB2312" w:cs="Times New Roman"/>
          <w:color w:val="auto"/>
          <w:sz w:val="24"/>
          <w:szCs w:val="24"/>
          <w:lang w:val="en-US" w:eastAsia="zh-CN"/>
        </w:rPr>
        <w:t>二道物流园区</w:t>
      </w:r>
      <w:r>
        <w:rPr>
          <w:rFonts w:hint="default"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000000"/>
          <w:sz w:val="24"/>
          <w:highlight w:val="none"/>
        </w:rPr>
        <w:t>根据《全国水土保持区划（2015-2030）》，</w:t>
      </w:r>
      <w:r>
        <w:rPr>
          <w:rFonts w:hint="default" w:ascii="Times New Roman" w:hAnsi="Times New Roman" w:eastAsia="仿宋_GB2312" w:cs="Times New Roman"/>
          <w:sz w:val="24"/>
          <w:szCs w:val="24"/>
          <w:lang w:val="en-US" w:eastAsia="zh-CN"/>
        </w:rPr>
        <w:t>该项目</w:t>
      </w:r>
      <w:r>
        <w:rPr>
          <w:rFonts w:hint="default" w:ascii="Times New Roman" w:hAnsi="Times New Roman" w:eastAsia="仿宋_GB2312" w:cs="Times New Roman"/>
          <w:sz w:val="24"/>
          <w:szCs w:val="24"/>
        </w:rPr>
        <w:t>属</w:t>
      </w:r>
      <w:r>
        <w:rPr>
          <w:rFonts w:hint="default" w:ascii="Times New Roman" w:hAnsi="Times New Roman" w:eastAsia="仿宋_GB2312" w:cs="Times New Roman"/>
          <w:sz w:val="24"/>
          <w:szCs w:val="24"/>
          <w:lang w:val="en-US" w:eastAsia="zh-CN"/>
        </w:rPr>
        <w:t>于</w:t>
      </w:r>
      <w:r>
        <w:rPr>
          <w:rFonts w:hint="default" w:ascii="Times New Roman" w:hAnsi="Times New Roman" w:eastAsia="仿宋_GB2312" w:cs="Times New Roman"/>
          <w:sz w:val="24"/>
          <w:szCs w:val="24"/>
        </w:rPr>
        <w:t>东北黑土区</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根据《全国水土保持规划（2015-2030年）》及《吉林省水土保持规划（2016-2030年）》，项目区属东北漫川漫岗国家级水土流失重点治理区</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根据《生产建设项目水土流失防治标准》（GB/T50434-2018）</w:t>
      </w:r>
      <w:r>
        <w:rPr>
          <w:rFonts w:hint="default" w:ascii="Times New Roman" w:hAnsi="Times New Roman" w:eastAsia="仿宋_GB2312" w:cs="Times New Roman"/>
          <w:sz w:val="24"/>
          <w:szCs w:val="24"/>
          <w:lang w:val="en-US" w:eastAsia="zh-CN"/>
        </w:rPr>
        <w:t>的规定</w:t>
      </w:r>
      <w:r>
        <w:rPr>
          <w:rFonts w:hint="default" w:ascii="Times New Roman" w:hAnsi="Times New Roman" w:eastAsia="仿宋_GB2312" w:cs="Times New Roman"/>
          <w:sz w:val="24"/>
          <w:szCs w:val="24"/>
        </w:rPr>
        <w:t>，项目执行东北黑土区水土流失防治一级标准。</w:t>
      </w:r>
    </w:p>
    <w:p>
      <w:pPr>
        <w:pStyle w:val="6"/>
        <w:bidi w:val="0"/>
        <w:rPr>
          <w:rFonts w:hint="default" w:ascii="Times New Roman" w:hAnsi="Times New Roman" w:cs="Times New Roman"/>
        </w:rPr>
      </w:pPr>
      <w:r>
        <w:rPr>
          <w:rFonts w:hint="default" w:ascii="Times New Roman" w:hAnsi="Times New Roman" w:cs="Times New Roman"/>
        </w:rPr>
        <w:t>1.5.2防治目标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根据《生产建设项目水土流失防治标准》（GB/T50434-2018）</w:t>
      </w:r>
      <w:r>
        <w:rPr>
          <w:rFonts w:hint="eastAsia" w:eastAsia="仿宋_GB2312" w:cs="Times New Roman"/>
          <w:color w:val="auto"/>
          <w:sz w:val="24"/>
          <w:szCs w:val="24"/>
          <w:lang w:val="en-US" w:eastAsia="zh-CN"/>
        </w:rPr>
        <w:t>等技术标准规范</w:t>
      </w:r>
      <w:r>
        <w:rPr>
          <w:rFonts w:hint="default" w:ascii="Times New Roman" w:hAnsi="Times New Roman" w:eastAsia="仿宋_GB2312" w:cs="Times New Roman"/>
          <w:color w:val="auto"/>
          <w:sz w:val="24"/>
          <w:szCs w:val="24"/>
        </w:rPr>
        <w:t>规定，本</w:t>
      </w:r>
      <w:r>
        <w:rPr>
          <w:rFonts w:hint="default" w:ascii="Times New Roman" w:hAnsi="Times New Roman" w:eastAsia="仿宋_GB2312" w:cs="Times New Roman"/>
          <w:color w:val="auto"/>
          <w:sz w:val="24"/>
          <w:szCs w:val="24"/>
          <w:lang w:val="en-US" w:eastAsia="zh-CN"/>
        </w:rPr>
        <w:t>期</w:t>
      </w:r>
      <w:r>
        <w:rPr>
          <w:rFonts w:hint="default" w:ascii="Times New Roman" w:hAnsi="Times New Roman" w:eastAsia="仿宋_GB2312" w:cs="Times New Roman"/>
          <w:color w:val="auto"/>
          <w:sz w:val="24"/>
          <w:szCs w:val="24"/>
        </w:rPr>
        <w:t>工程水土流失防治应达到下列基本目标：项目</w:t>
      </w:r>
      <w:r>
        <w:rPr>
          <w:rFonts w:hint="eastAsia" w:eastAsia="仿宋_GB2312" w:cs="Times New Roman"/>
          <w:color w:val="auto"/>
          <w:sz w:val="24"/>
          <w:szCs w:val="24"/>
          <w:lang w:val="en-US" w:eastAsia="zh-CN"/>
        </w:rPr>
        <w:t>水土流失防治责任范围内扰动土地应全面整治，</w:t>
      </w:r>
      <w:r>
        <w:rPr>
          <w:rFonts w:hint="default" w:ascii="Times New Roman" w:hAnsi="Times New Roman" w:eastAsia="仿宋_GB2312" w:cs="Times New Roman"/>
          <w:color w:val="auto"/>
          <w:sz w:val="24"/>
          <w:szCs w:val="24"/>
        </w:rPr>
        <w:t>新增水土流失应得到有效控制，原有水土流失</w:t>
      </w:r>
      <w:r>
        <w:rPr>
          <w:rFonts w:hint="eastAsia" w:eastAsia="仿宋_GB2312" w:cs="Times New Roman"/>
          <w:color w:val="auto"/>
          <w:sz w:val="24"/>
          <w:szCs w:val="24"/>
          <w:lang w:val="en-US" w:eastAsia="zh-CN"/>
        </w:rPr>
        <w:t>应</w:t>
      </w:r>
      <w:r>
        <w:rPr>
          <w:rFonts w:hint="default" w:ascii="Times New Roman" w:hAnsi="Times New Roman" w:eastAsia="仿宋_GB2312" w:cs="Times New Roman"/>
          <w:color w:val="auto"/>
          <w:sz w:val="24"/>
          <w:szCs w:val="24"/>
        </w:rPr>
        <w:t>得到治理；水土保持设施应安全有效；水土资源、林草植被应得到最大限度的保护与恢复。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highlight w:val="none"/>
          <w:lang w:eastAsia="zh-CN"/>
        </w:rPr>
      </w:pPr>
      <w:bookmarkStart w:id="21" w:name="_Toc387325505"/>
      <w:r>
        <w:rPr>
          <w:rFonts w:hint="default" w:ascii="Times New Roman" w:hAnsi="Times New Roman" w:eastAsia="仿宋_GB2312" w:cs="Times New Roman"/>
          <w:sz w:val="24"/>
          <w:szCs w:val="24"/>
        </w:rPr>
        <w:t>因项目区位于轻度侵蚀为主的区域，土壤流失控制比应不小于1.0；因项目位于城市区，渣土防护率提高1%；无法避让国家级水土流失重点治理区，林草覆盖率提高1%</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根据项目规划条件</w:t>
      </w:r>
      <w:r>
        <w:rPr>
          <w:rFonts w:hint="default" w:ascii="Times New Roman" w:hAnsi="Times New Roman" w:eastAsia="仿宋_GB2312" w:cs="Times New Roman"/>
          <w:sz w:val="24"/>
          <w:szCs w:val="24"/>
          <w:lang w:val="en-US" w:eastAsia="zh-CN"/>
        </w:rPr>
        <w:t>及实际情况</w:t>
      </w:r>
      <w:r>
        <w:rPr>
          <w:rFonts w:hint="default" w:ascii="Times New Roman" w:hAnsi="Times New Roman" w:eastAsia="仿宋_GB2312" w:cs="Times New Roman"/>
          <w:sz w:val="24"/>
          <w:szCs w:val="24"/>
        </w:rPr>
        <w:t>，林草覆盖率调整为</w:t>
      </w:r>
      <w:r>
        <w:rPr>
          <w:rFonts w:hint="default" w:ascii="Times New Roman" w:hAnsi="Times New Roman" w:eastAsia="仿宋_GB2312" w:cs="Times New Roman"/>
          <w:sz w:val="24"/>
          <w:szCs w:val="24"/>
          <w:lang w:val="en-US" w:eastAsia="zh-CN"/>
        </w:rPr>
        <w:t>19%</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highlight w:val="none"/>
        </w:rPr>
        <w:t>本</w:t>
      </w:r>
      <w:r>
        <w:rPr>
          <w:rFonts w:hint="default" w:ascii="Times New Roman" w:hAnsi="Times New Roman" w:eastAsia="仿宋_GB2312" w:cs="Times New Roman"/>
          <w:sz w:val="24"/>
          <w:highlight w:val="none"/>
          <w:lang w:val="en-US" w:eastAsia="zh-CN"/>
        </w:rPr>
        <w:t>期</w:t>
      </w:r>
      <w:r>
        <w:rPr>
          <w:rFonts w:hint="default" w:ascii="Times New Roman" w:hAnsi="Times New Roman" w:eastAsia="仿宋_GB2312" w:cs="Times New Roman"/>
          <w:sz w:val="24"/>
          <w:highlight w:val="none"/>
        </w:rPr>
        <w:t>项目由</w:t>
      </w:r>
      <w:r>
        <w:rPr>
          <w:rFonts w:hint="eastAsia" w:eastAsia="仿宋_GB2312" w:cs="Times New Roman"/>
          <w:sz w:val="24"/>
          <w:szCs w:val="24"/>
          <w:lang w:val="en-US" w:eastAsia="zh-CN"/>
        </w:rPr>
        <w:t>二道物流园区管理委员会</w:t>
      </w:r>
      <w:r>
        <w:rPr>
          <w:rFonts w:hint="default" w:ascii="Times New Roman" w:hAnsi="Times New Roman" w:eastAsia="仿宋_GB2312" w:cs="Times New Roman"/>
          <w:sz w:val="24"/>
          <w:highlight w:val="none"/>
        </w:rPr>
        <w:t>负责进行表土剥离</w:t>
      </w:r>
      <w:r>
        <w:rPr>
          <w:rFonts w:hint="eastAsia" w:eastAsia="仿宋_GB2312" w:cs="Times New Roman"/>
          <w:sz w:val="24"/>
          <w:highlight w:val="none"/>
          <w:lang w:val="en-US" w:eastAsia="zh-CN"/>
        </w:rPr>
        <w:t>的实施、保护与利用</w:t>
      </w:r>
      <w:r>
        <w:rPr>
          <w:rFonts w:hint="default" w:ascii="Times New Roman" w:hAnsi="Times New Roman" w:eastAsia="仿宋_GB2312" w:cs="Times New Roman"/>
          <w:sz w:val="24"/>
          <w:highlight w:val="none"/>
        </w:rPr>
        <w:t>，</w:t>
      </w:r>
      <w:r>
        <w:rPr>
          <w:rFonts w:hint="eastAsia" w:eastAsia="仿宋_GB2312" w:cs="Times New Roman"/>
          <w:sz w:val="24"/>
          <w:highlight w:val="none"/>
          <w:lang w:val="en-US" w:eastAsia="zh-CN"/>
        </w:rPr>
        <w:t>对剥离的</w:t>
      </w:r>
      <w:r>
        <w:rPr>
          <w:rFonts w:hint="default" w:ascii="Times New Roman" w:hAnsi="Times New Roman" w:eastAsia="仿宋_GB2312" w:cs="Times New Roman"/>
          <w:sz w:val="24"/>
          <w:highlight w:val="none"/>
        </w:rPr>
        <w:t>表土</w:t>
      </w:r>
      <w:r>
        <w:rPr>
          <w:rFonts w:hint="eastAsia" w:eastAsia="仿宋_GB2312" w:cs="Times New Roman"/>
          <w:sz w:val="24"/>
          <w:highlight w:val="none"/>
          <w:lang w:val="en-US" w:eastAsia="zh-CN"/>
        </w:rPr>
        <w:t>由开发区统一管理调配</w:t>
      </w:r>
      <w:r>
        <w:rPr>
          <w:rFonts w:hint="default" w:ascii="Times New Roman" w:hAnsi="Times New Roman" w:eastAsia="仿宋_GB2312" w:cs="Times New Roman"/>
          <w:sz w:val="24"/>
          <w:highlight w:val="none"/>
        </w:rPr>
        <w:t>，</w:t>
      </w:r>
      <w:r>
        <w:rPr>
          <w:rFonts w:hint="eastAsia" w:eastAsia="仿宋_GB2312" w:cs="Times New Roman"/>
          <w:sz w:val="24"/>
          <w:highlight w:val="none"/>
          <w:lang w:val="en-US" w:eastAsia="zh-CN"/>
        </w:rPr>
        <w:t>生产建设单位不再承担相应责任，</w:t>
      </w:r>
      <w:r>
        <w:rPr>
          <w:rFonts w:hint="default" w:ascii="Times New Roman" w:hAnsi="Times New Roman" w:eastAsia="仿宋_GB2312" w:cs="Times New Roman"/>
          <w:sz w:val="24"/>
          <w:highlight w:val="none"/>
        </w:rPr>
        <w:t>因此不考虑表土保护率</w:t>
      </w:r>
      <w:r>
        <w:rPr>
          <w:rFonts w:hint="default" w:ascii="Times New Roman" w:hAnsi="Times New Roman" w:eastAsia="仿宋_GB2312" w:cs="Times New Roman"/>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rPr>
        <w:t>经调整后确定本</w:t>
      </w:r>
      <w:r>
        <w:rPr>
          <w:rFonts w:hint="default" w:ascii="Times New Roman" w:hAnsi="Times New Roman" w:eastAsia="仿宋_GB2312" w:cs="Times New Roman"/>
          <w:sz w:val="24"/>
          <w:szCs w:val="24"/>
          <w:lang w:val="en-US" w:eastAsia="zh-CN"/>
        </w:rPr>
        <w:t>期</w:t>
      </w:r>
      <w:r>
        <w:rPr>
          <w:rFonts w:hint="default" w:ascii="Times New Roman" w:hAnsi="Times New Roman" w:eastAsia="仿宋_GB2312" w:cs="Times New Roman"/>
          <w:sz w:val="24"/>
          <w:szCs w:val="24"/>
        </w:rPr>
        <w:t>项目设计水平年水土流失防治指标为：水土流失治理度达到97%，土壤流失控制比达到1.0，渣土防护率达到98%，林草植被恢复率达到97%，林草覆盖率达到</w:t>
      </w:r>
      <w:r>
        <w:rPr>
          <w:rFonts w:hint="default" w:ascii="Times New Roman" w:hAnsi="Times New Roman" w:eastAsia="仿宋_GB2312" w:cs="Times New Roman"/>
          <w:sz w:val="24"/>
          <w:szCs w:val="24"/>
          <w:lang w:val="en-US" w:eastAsia="zh-CN"/>
        </w:rPr>
        <w:t>19%</w:t>
      </w:r>
      <w:r>
        <w:rPr>
          <w:rFonts w:hint="default" w:ascii="Times New Roman" w:hAnsi="Times New Roman" w:eastAsia="仿宋_GB2312" w:cs="Times New Roman"/>
          <w:sz w:val="24"/>
          <w:szCs w:val="24"/>
          <w:lang w:eastAsia="zh-CN"/>
        </w:rPr>
        <w:t>。</w:t>
      </w:r>
    </w:p>
    <w:p>
      <w:pPr>
        <w:pStyle w:val="5"/>
        <w:bidi w:val="0"/>
        <w:rPr>
          <w:rFonts w:hint="default" w:ascii="Times New Roman" w:hAnsi="Times New Roman" w:cs="Times New Roman"/>
        </w:rPr>
      </w:pPr>
      <w:bookmarkStart w:id="22" w:name="_Toc5114"/>
      <w:bookmarkStart w:id="23" w:name="_Toc22903"/>
      <w:bookmarkStart w:id="24" w:name="_Toc6884"/>
      <w:r>
        <w:rPr>
          <w:rFonts w:hint="default" w:ascii="Times New Roman" w:hAnsi="Times New Roman" w:cs="Times New Roman"/>
        </w:rPr>
        <w:t>1.6项目水土保持评价结论</w:t>
      </w:r>
      <w:bookmarkEnd w:id="21"/>
      <w:bookmarkEnd w:id="22"/>
      <w:bookmarkEnd w:id="23"/>
      <w:bookmarkEnd w:id="24"/>
    </w:p>
    <w:p>
      <w:pPr>
        <w:pStyle w:val="6"/>
        <w:bidi w:val="0"/>
        <w:rPr>
          <w:rFonts w:hint="default" w:ascii="Times New Roman" w:hAnsi="Times New Roman" w:cs="Times New Roman"/>
        </w:rPr>
      </w:pPr>
      <w:r>
        <w:rPr>
          <w:rFonts w:hint="default" w:ascii="Times New Roman" w:hAnsi="Times New Roman" w:cs="Times New Roman"/>
        </w:rPr>
        <w:t>1.6.1主体工程选址（线）评价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eastAsia="zh-CN"/>
        </w:rPr>
      </w:pPr>
      <w:r>
        <w:rPr>
          <w:rFonts w:hint="eastAsia" w:eastAsia="仿宋_GB2312" w:cs="Times New Roman"/>
          <w:sz w:val="24"/>
          <w:szCs w:val="24"/>
          <w:lang w:val="en-US" w:eastAsia="zh-CN"/>
        </w:rPr>
        <w:t>根据</w:t>
      </w:r>
      <w:r>
        <w:rPr>
          <w:rFonts w:hint="default" w:ascii="Times New Roman" w:hAnsi="Times New Roman" w:eastAsia="仿宋_GB2312" w:cs="Times New Roman"/>
          <w:sz w:val="24"/>
          <w:szCs w:val="24"/>
        </w:rPr>
        <w:t>水土保持</w:t>
      </w:r>
      <w:r>
        <w:rPr>
          <w:rFonts w:hint="eastAsia" w:eastAsia="仿宋_GB2312" w:cs="Times New Roman"/>
          <w:sz w:val="24"/>
          <w:szCs w:val="24"/>
          <w:lang w:val="en-US" w:eastAsia="zh-CN"/>
        </w:rPr>
        <w:t>法律法规</w:t>
      </w:r>
      <w:r>
        <w:rPr>
          <w:rFonts w:hint="default" w:ascii="Times New Roman" w:hAnsi="Times New Roman" w:eastAsia="仿宋_GB2312" w:cs="Times New Roman"/>
          <w:sz w:val="24"/>
          <w:szCs w:val="24"/>
        </w:rPr>
        <w:t>、</w:t>
      </w:r>
      <w:r>
        <w:rPr>
          <w:rFonts w:hint="eastAsia" w:eastAsia="仿宋_GB2312" w:cs="Times New Roman"/>
          <w:sz w:val="24"/>
          <w:szCs w:val="24"/>
          <w:lang w:val="en-US" w:eastAsia="zh-CN"/>
        </w:rPr>
        <w:t>技术标准规范等</w:t>
      </w:r>
      <w:r>
        <w:rPr>
          <w:rFonts w:hint="default" w:ascii="Times New Roman" w:hAnsi="Times New Roman" w:eastAsia="仿宋_GB2312" w:cs="Times New Roman"/>
          <w:sz w:val="24"/>
          <w:szCs w:val="24"/>
        </w:rPr>
        <w:t>关于水土保持限制和约束性规定，</w:t>
      </w:r>
      <w:r>
        <w:rPr>
          <w:rFonts w:hint="eastAsia" w:eastAsia="仿宋_GB2312"/>
          <w:kern w:val="0"/>
          <w:sz w:val="24"/>
          <w:szCs w:val="24"/>
        </w:rPr>
        <w:t>本项目的选址（线）避开了全国水土保持监测网络中的水土保持监测站点、重点试验区，不占用国家确定的水土保持长期定位观测站；避开了河流两岸、湖泊和水库周边的植物保护带；不处于饮用水水源保护区、水功能一级区的保护区和保留区、自然保护区、世界文化和自然遗产地、风景名胜区、地质公园、森林公园、主要湿地等区域。项目建设区无泥石流易发区、崩塌滑坡危险区以及易引起严重水土流失和生态恶化的地区。</w:t>
      </w:r>
      <w:r>
        <w:rPr>
          <w:rFonts w:hint="eastAsia" w:eastAsia="仿宋_GB2312"/>
          <w:kern w:val="0"/>
          <w:sz w:val="24"/>
          <w:szCs w:val="24"/>
          <w:lang w:val="en-US" w:eastAsia="zh-CN"/>
        </w:rPr>
        <w:t>本</w:t>
      </w:r>
      <w:r>
        <w:rPr>
          <w:rFonts w:hint="eastAsia" w:eastAsia="仿宋_GB2312"/>
          <w:kern w:val="0"/>
          <w:sz w:val="24"/>
          <w:szCs w:val="24"/>
        </w:rPr>
        <w:t>项目不设置取、弃土场。</w:t>
      </w:r>
      <w:r>
        <w:rPr>
          <w:rFonts w:hint="eastAsia" w:eastAsia="仿宋_GB2312"/>
          <w:kern w:val="0"/>
          <w:sz w:val="24"/>
          <w:szCs w:val="24"/>
          <w:lang w:val="en-US" w:eastAsia="zh-CN"/>
        </w:rPr>
        <w:t>由于</w:t>
      </w:r>
      <w:r>
        <w:rPr>
          <w:rFonts w:hint="default" w:ascii="Times New Roman" w:hAnsi="Times New Roman" w:eastAsia="仿宋_GB2312" w:cs="Times New Roman"/>
          <w:sz w:val="24"/>
          <w:szCs w:val="24"/>
          <w:lang w:eastAsia="zh-CN"/>
        </w:rPr>
        <w:t>本期项目</w:t>
      </w:r>
      <w:r>
        <w:rPr>
          <w:rFonts w:hint="default" w:ascii="Times New Roman" w:hAnsi="Times New Roman" w:eastAsia="仿宋_GB2312" w:cs="Times New Roman"/>
          <w:sz w:val="24"/>
          <w:szCs w:val="24"/>
        </w:rPr>
        <w:t>选址无法避让国家级水土流失重点治理区，</w:t>
      </w:r>
      <w:r>
        <w:rPr>
          <w:rFonts w:hint="eastAsia" w:eastAsia="仿宋_GB2312" w:cs="Times New Roman"/>
          <w:sz w:val="24"/>
          <w:szCs w:val="24"/>
          <w:lang w:val="en-US" w:eastAsia="zh-CN"/>
        </w:rPr>
        <w:t>因此通过采取</w:t>
      </w:r>
      <w:r>
        <w:rPr>
          <w:rFonts w:hint="default" w:ascii="Times New Roman" w:hAnsi="Times New Roman" w:eastAsia="仿宋_GB2312" w:cs="Times New Roman"/>
          <w:color w:val="000000"/>
          <w:sz w:val="24"/>
          <w:highlight w:val="none"/>
        </w:rPr>
        <w:t>严格控制扰动地表、减少工程占地、加强工程管理、优化施工工艺等措施，</w:t>
      </w:r>
      <w:r>
        <w:rPr>
          <w:rFonts w:hint="eastAsia" w:eastAsia="仿宋_GB2312" w:cs="Times New Roman"/>
          <w:color w:val="000000"/>
          <w:sz w:val="24"/>
          <w:highlight w:val="none"/>
          <w:lang w:val="en-US" w:eastAsia="zh-CN"/>
        </w:rPr>
        <w:t>最大限度</w:t>
      </w:r>
      <w:r>
        <w:rPr>
          <w:rFonts w:hint="default" w:ascii="Times New Roman" w:hAnsi="Times New Roman" w:eastAsia="仿宋_GB2312" w:cs="Times New Roman"/>
          <w:color w:val="000000"/>
          <w:sz w:val="24"/>
          <w:highlight w:val="none"/>
        </w:rPr>
        <w:t>控制</w:t>
      </w:r>
      <w:r>
        <w:rPr>
          <w:rFonts w:hint="eastAsia" w:eastAsia="仿宋_GB2312" w:cs="Times New Roman"/>
          <w:color w:val="000000"/>
          <w:sz w:val="24"/>
          <w:highlight w:val="none"/>
          <w:lang w:val="en-US" w:eastAsia="zh-CN"/>
        </w:rPr>
        <w:t>项目产生</w:t>
      </w:r>
      <w:r>
        <w:rPr>
          <w:rFonts w:hint="default" w:ascii="Times New Roman" w:hAnsi="Times New Roman" w:eastAsia="仿宋_GB2312" w:cs="Times New Roman"/>
          <w:color w:val="000000"/>
          <w:sz w:val="24"/>
          <w:highlight w:val="none"/>
        </w:rPr>
        <w:t>的水土流失，从水土保持角度分析主体工程选址方案可行</w:t>
      </w:r>
      <w:r>
        <w:rPr>
          <w:rFonts w:hint="default" w:ascii="Times New Roman" w:hAnsi="Times New Roman" w:eastAsia="仿宋_GB2312" w:cs="Times New Roman"/>
          <w:color w:val="000000"/>
          <w:sz w:val="24"/>
          <w:highlight w:val="none"/>
          <w:lang w:eastAsia="zh-CN"/>
        </w:rPr>
        <w:t>。</w:t>
      </w:r>
    </w:p>
    <w:p>
      <w:pPr>
        <w:pStyle w:val="6"/>
        <w:keepNext/>
        <w:keepLines/>
        <w:pageBreakBefore w:val="0"/>
        <w:widowControl w:val="0"/>
        <w:kinsoku/>
        <w:wordWrap/>
        <w:overflowPunct/>
        <w:topLinePunct w:val="0"/>
        <w:autoSpaceDE/>
        <w:autoSpaceDN/>
        <w:bidi w:val="0"/>
        <w:adjustRightInd/>
        <w:snapToGrid/>
        <w:ind w:left="0" w:firstLine="0"/>
        <w:textAlignment w:val="auto"/>
        <w:rPr>
          <w:rFonts w:hint="default" w:ascii="Times New Roman" w:hAnsi="Times New Roman" w:eastAsia="仿宋_GB2312" w:cs="Times New Roman"/>
          <w:b/>
          <w:bCs/>
        </w:rPr>
      </w:pPr>
      <w:r>
        <w:rPr>
          <w:rFonts w:hint="default" w:ascii="Times New Roman" w:hAnsi="Times New Roman" w:eastAsia="仿宋_GB2312" w:cs="Times New Roman"/>
          <w:b/>
          <w:bCs/>
        </w:rPr>
        <w:t>1.6.2建设方案与布局评价</w:t>
      </w:r>
      <w:bookmarkStart w:id="25" w:name="_Toc387325507"/>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本</w:t>
      </w:r>
      <w:r>
        <w:rPr>
          <w:rFonts w:hint="default" w:ascii="Times New Roman" w:hAnsi="Times New Roman" w:eastAsia="仿宋_GB2312" w:cs="Times New Roman"/>
          <w:sz w:val="24"/>
          <w:szCs w:val="24"/>
          <w:lang w:val="en-US" w:eastAsia="zh-CN"/>
        </w:rPr>
        <w:t>期</w:t>
      </w:r>
      <w:r>
        <w:rPr>
          <w:rFonts w:hint="default" w:ascii="Times New Roman" w:hAnsi="Times New Roman" w:eastAsia="仿宋_GB2312" w:cs="Times New Roman"/>
          <w:sz w:val="24"/>
          <w:szCs w:val="24"/>
        </w:rPr>
        <w:t>项目位于长春市</w:t>
      </w:r>
      <w:r>
        <w:rPr>
          <w:rFonts w:hint="default" w:ascii="Times New Roman" w:hAnsi="Times New Roman" w:eastAsia="仿宋_GB2312" w:cs="Times New Roman"/>
          <w:sz w:val="24"/>
          <w:szCs w:val="24"/>
          <w:lang w:val="en-US" w:eastAsia="zh-CN"/>
        </w:rPr>
        <w:t>二道区</w:t>
      </w:r>
      <w:r>
        <w:rPr>
          <w:rFonts w:hint="default" w:ascii="Times New Roman" w:hAnsi="Times New Roman" w:eastAsia="仿宋_GB2312" w:cs="Times New Roman"/>
          <w:sz w:val="24"/>
          <w:szCs w:val="24"/>
        </w:rPr>
        <w:t>，</w:t>
      </w:r>
      <w:r>
        <w:rPr>
          <w:rFonts w:hint="default" w:ascii="Times New Roman" w:hAnsi="Times New Roman" w:eastAsia="仿宋_GB2312" w:cs="Times New Roman"/>
          <w:sz w:val="24"/>
          <w:highlight w:val="none"/>
        </w:rPr>
        <w:t>无法避让</w:t>
      </w:r>
      <w:r>
        <w:rPr>
          <w:rFonts w:hint="default" w:ascii="Times New Roman" w:hAnsi="Times New Roman" w:eastAsia="仿宋_GB2312" w:cs="Times New Roman"/>
          <w:bCs/>
          <w:iCs/>
          <w:sz w:val="24"/>
          <w:highlight w:val="none"/>
        </w:rPr>
        <w:t>东北漫川漫岗国家级水土流失重点治理区，</w:t>
      </w:r>
      <w:r>
        <w:rPr>
          <w:rFonts w:hint="default" w:ascii="Times New Roman" w:hAnsi="Times New Roman" w:eastAsia="仿宋_GB2312" w:cs="Times New Roman"/>
          <w:sz w:val="24"/>
          <w:szCs w:val="24"/>
        </w:rPr>
        <w:t>雨水排水全部采用地埋管线，利用</w:t>
      </w:r>
      <w:r>
        <w:rPr>
          <w:rFonts w:hint="eastAsia" w:eastAsia="仿宋_GB2312" w:cs="Times New Roman"/>
          <w:sz w:val="24"/>
          <w:szCs w:val="24"/>
          <w:lang w:eastAsia="zh-CN"/>
        </w:rPr>
        <w:t>雨水口</w:t>
      </w:r>
      <w:r>
        <w:rPr>
          <w:rFonts w:hint="default" w:ascii="Times New Roman" w:hAnsi="Times New Roman" w:eastAsia="仿宋_GB2312" w:cs="Times New Roman"/>
          <w:sz w:val="24"/>
          <w:szCs w:val="24"/>
        </w:rPr>
        <w:t>收集地表径流，减少了开挖面</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highlight w:val="none"/>
        </w:rPr>
        <w:t>场区南高北低，南北最大高差约</w:t>
      </w:r>
      <w:r>
        <w:rPr>
          <w:rFonts w:hint="default" w:ascii="Times New Roman" w:hAnsi="Times New Roman" w:eastAsia="仿宋_GB2312" w:cs="Times New Roman"/>
          <w:sz w:val="24"/>
          <w:highlight w:val="none"/>
          <w:lang w:val="en-US" w:eastAsia="zh-CN"/>
        </w:rPr>
        <w:t>5</w:t>
      </w:r>
      <w:r>
        <w:rPr>
          <w:rFonts w:hint="default" w:ascii="Times New Roman" w:hAnsi="Times New Roman" w:eastAsia="仿宋_GB2312" w:cs="Times New Roman"/>
          <w:sz w:val="24"/>
          <w:highlight w:val="none"/>
        </w:rPr>
        <w:t>m，土石方纵向调运满足场平的填方要求，不需设置取土场及弃土场；</w:t>
      </w:r>
      <w:r>
        <w:rPr>
          <w:rFonts w:hint="default" w:ascii="Times New Roman" w:hAnsi="Times New Roman" w:eastAsia="仿宋_GB2312" w:cs="Times New Roman"/>
          <w:sz w:val="24"/>
          <w:szCs w:val="24"/>
          <w:highlight w:val="none"/>
          <w:lang w:val="en-US" w:eastAsia="zh-CN"/>
        </w:rPr>
        <w:t>本期</w:t>
      </w:r>
      <w:r>
        <w:rPr>
          <w:rFonts w:hint="default" w:ascii="Times New Roman" w:hAnsi="Times New Roman" w:eastAsia="仿宋_GB2312" w:cs="Times New Roman"/>
          <w:sz w:val="24"/>
          <w:szCs w:val="24"/>
          <w:highlight w:val="none"/>
        </w:rPr>
        <w:t>工程绿化采用</w:t>
      </w:r>
      <w:r>
        <w:rPr>
          <w:rFonts w:hint="default" w:ascii="Times New Roman" w:hAnsi="Times New Roman" w:eastAsia="仿宋_GB2312" w:cs="Times New Roman"/>
          <w:sz w:val="24"/>
          <w:szCs w:val="24"/>
          <w:highlight w:val="none"/>
          <w:lang w:val="en-US" w:eastAsia="zh-CN"/>
        </w:rPr>
        <w:t>1</w:t>
      </w:r>
      <w:r>
        <w:rPr>
          <w:rFonts w:hint="default" w:ascii="Times New Roman" w:hAnsi="Times New Roman" w:eastAsia="仿宋_GB2312" w:cs="Times New Roman"/>
          <w:sz w:val="24"/>
          <w:szCs w:val="24"/>
          <w:highlight w:val="none"/>
        </w:rPr>
        <w:t>级标准</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lang w:val="en-US" w:eastAsia="zh-CN"/>
        </w:rPr>
        <w:t>本期</w:t>
      </w:r>
      <w:r>
        <w:rPr>
          <w:rFonts w:hint="default" w:ascii="Times New Roman" w:hAnsi="Times New Roman" w:eastAsia="仿宋_GB2312" w:cs="Times New Roman"/>
          <w:sz w:val="24"/>
          <w:highlight w:val="none"/>
        </w:rPr>
        <w:t>工程雨水管线工程按照《室外排水设计标准》要求设计重现期以2年为标准进行设计</w:t>
      </w:r>
      <w:r>
        <w:rPr>
          <w:rFonts w:hint="default" w:ascii="Times New Roman" w:hAnsi="Times New Roman" w:eastAsia="仿宋_GB2312" w:cs="Times New Roman"/>
          <w:sz w:val="24"/>
          <w:highlight w:val="none"/>
          <w:lang w:eastAsia="zh-CN"/>
        </w:rPr>
        <w:t>；</w:t>
      </w:r>
      <w:r>
        <w:rPr>
          <w:rFonts w:hint="default" w:ascii="Times New Roman" w:hAnsi="Times New Roman" w:eastAsia="仿宋_GB2312" w:cs="Times New Roman"/>
          <w:sz w:val="24"/>
          <w:szCs w:val="24"/>
        </w:rPr>
        <w:t>项目总平面布局合理紧凑</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竖向布置采取平坡式布置方式</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工程建设方案总体布局在充分利用现有条件的前提下，尽量满足工程布局合理、交通运输方便、节约国土资源、减少土石方量的要求，</w:t>
      </w:r>
      <w:r>
        <w:rPr>
          <w:rFonts w:hint="default" w:ascii="Times New Roman" w:hAnsi="Times New Roman" w:eastAsia="仿宋_GB2312" w:cs="Times New Roman"/>
          <w:sz w:val="24"/>
          <w:szCs w:val="24"/>
          <w:lang w:eastAsia="zh-CN"/>
        </w:rPr>
        <w:t>本期项目</w:t>
      </w:r>
      <w:r>
        <w:rPr>
          <w:rFonts w:hint="default" w:ascii="Times New Roman" w:hAnsi="Times New Roman" w:eastAsia="仿宋_GB2312" w:cs="Times New Roman"/>
          <w:sz w:val="24"/>
          <w:szCs w:val="24"/>
        </w:rPr>
        <w:t>建设方案符合水土保持约束性规定的要求，主体工程建设方案可行。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color w:val="auto"/>
          <w:sz w:val="24"/>
        </w:rPr>
        <w:t>本</w:t>
      </w:r>
      <w:r>
        <w:rPr>
          <w:rFonts w:hint="default" w:ascii="Times New Roman" w:hAnsi="Times New Roman" w:eastAsia="仿宋_GB2312" w:cs="Times New Roman"/>
          <w:color w:val="auto"/>
          <w:sz w:val="24"/>
          <w:lang w:val="en-US" w:eastAsia="zh-CN"/>
        </w:rPr>
        <w:t>期</w:t>
      </w:r>
      <w:r>
        <w:rPr>
          <w:rFonts w:hint="default" w:ascii="Times New Roman" w:hAnsi="Times New Roman" w:eastAsia="仿宋_GB2312" w:cs="Times New Roman"/>
          <w:color w:val="auto"/>
          <w:sz w:val="24"/>
        </w:rPr>
        <w:t>项目施工道路</w:t>
      </w:r>
      <w:r>
        <w:rPr>
          <w:rFonts w:hint="default" w:ascii="Times New Roman" w:hAnsi="Times New Roman" w:eastAsia="仿宋_GB2312" w:cs="Times New Roman"/>
          <w:color w:val="auto"/>
          <w:sz w:val="24"/>
          <w:lang w:eastAsia="zh-CN"/>
        </w:rPr>
        <w:t>采取</w:t>
      </w:r>
      <w:r>
        <w:rPr>
          <w:rFonts w:hint="default" w:ascii="Times New Roman" w:hAnsi="Times New Roman" w:eastAsia="仿宋_GB2312" w:cs="Times New Roman"/>
          <w:color w:val="auto"/>
          <w:sz w:val="24"/>
        </w:rPr>
        <w:t>永临结合，施工用水、用电无需新增占地，达到节约用地和减少扰动地表的要求，满足施工建设要求，工程占地无漏项</w:t>
      </w:r>
      <w:r>
        <w:rPr>
          <w:rFonts w:hint="default" w:ascii="Times New Roman" w:hAnsi="Times New Roman" w:eastAsia="仿宋_GB2312" w:cs="Times New Roman"/>
          <w:color w:val="auto"/>
          <w:sz w:val="24"/>
          <w:lang w:eastAsia="zh-CN"/>
        </w:rPr>
        <w:t>，</w:t>
      </w:r>
      <w:r>
        <w:rPr>
          <w:rFonts w:hint="default" w:ascii="Times New Roman" w:hAnsi="Times New Roman" w:eastAsia="仿宋_GB2312" w:cs="Times New Roman"/>
          <w:sz w:val="24"/>
          <w:szCs w:val="24"/>
        </w:rPr>
        <w:t>占地面积统计全面，符合行业指标规定和水土保持技术标准的要求。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highlight w:val="yellow"/>
        </w:rPr>
      </w:pPr>
      <w:r>
        <w:rPr>
          <w:rFonts w:hint="default" w:ascii="Times New Roman" w:hAnsi="Times New Roman" w:eastAsia="仿宋_GB2312" w:cs="Times New Roman"/>
          <w:sz w:val="24"/>
          <w:highlight w:val="none"/>
        </w:rPr>
        <w:t>通过对工程施工时段、挖填方量、土石方调运及土石方利用分析评价，土石方量来源及去向明确，土石方挖填数量符合最优化原则，土石方调运符合节点适宜、时序可行、运距合理原则，无弃方，满足水土保持的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本</w:t>
      </w:r>
      <w:r>
        <w:rPr>
          <w:rFonts w:hint="default" w:ascii="Times New Roman" w:hAnsi="Times New Roman" w:eastAsia="仿宋_GB2312" w:cs="Times New Roman"/>
          <w:sz w:val="24"/>
          <w:szCs w:val="24"/>
          <w:lang w:val="en-US" w:eastAsia="zh-CN"/>
        </w:rPr>
        <w:t>期</w:t>
      </w:r>
      <w:r>
        <w:rPr>
          <w:rFonts w:hint="default" w:ascii="Times New Roman" w:hAnsi="Times New Roman" w:eastAsia="仿宋_GB2312" w:cs="Times New Roman"/>
          <w:sz w:val="24"/>
          <w:szCs w:val="24"/>
        </w:rPr>
        <w:t>项目施工采用机械和人工相结合的方法，有效的缩短了施工工期，减少了对地表的扰动，从而最大限度减少水土流失，满足水土保持要求。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通过对</w:t>
      </w:r>
      <w:r>
        <w:rPr>
          <w:rFonts w:hint="default" w:ascii="Times New Roman" w:hAnsi="Times New Roman" w:eastAsia="仿宋_GB2312" w:cs="Times New Roman"/>
          <w:sz w:val="24"/>
          <w:szCs w:val="24"/>
          <w:lang w:val="en-US" w:eastAsia="zh-CN"/>
        </w:rPr>
        <w:t>本期</w:t>
      </w:r>
      <w:r>
        <w:rPr>
          <w:rFonts w:hint="default" w:ascii="Times New Roman" w:hAnsi="Times New Roman" w:eastAsia="仿宋_GB2312" w:cs="Times New Roman"/>
          <w:sz w:val="24"/>
          <w:szCs w:val="24"/>
        </w:rPr>
        <w:t>主体工程具有水土保持功能工程的分析与评价，本方案认为</w:t>
      </w:r>
      <w:r>
        <w:rPr>
          <w:rFonts w:hint="default" w:ascii="Times New Roman" w:hAnsi="Times New Roman" w:eastAsia="仿宋_GB2312" w:cs="Times New Roman"/>
          <w:sz w:val="24"/>
          <w:szCs w:val="24"/>
          <w:lang w:val="en-US" w:eastAsia="zh-CN"/>
        </w:rPr>
        <w:t>本期</w:t>
      </w:r>
      <w:r>
        <w:rPr>
          <w:rFonts w:hint="default" w:ascii="Times New Roman" w:hAnsi="Times New Roman" w:eastAsia="仿宋_GB2312" w:cs="Times New Roman"/>
          <w:sz w:val="24"/>
          <w:szCs w:val="24"/>
        </w:rPr>
        <w:t>主体工程设计的雨水管线、</w:t>
      </w:r>
      <w:r>
        <w:rPr>
          <w:rFonts w:hint="eastAsia" w:eastAsia="仿宋_GB2312" w:cs="Times New Roman"/>
          <w:sz w:val="24"/>
          <w:szCs w:val="24"/>
          <w:lang w:eastAsia="zh-CN"/>
        </w:rPr>
        <w:t>雨水口</w:t>
      </w:r>
      <w:r>
        <w:rPr>
          <w:rFonts w:hint="default" w:ascii="Times New Roman" w:hAnsi="Times New Roman" w:eastAsia="仿宋_GB2312" w:cs="Times New Roman"/>
          <w:sz w:val="24"/>
          <w:szCs w:val="24"/>
        </w:rPr>
        <w:t>、绿化用土回覆、景观绿化</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临时堆土区的密目网苫盖具有水土保持功能。但是主体工程缺少全面整地，本方案予以补充，构成完整水土流失防治措施体系。</w:t>
      </w:r>
    </w:p>
    <w:p>
      <w:pPr>
        <w:pStyle w:val="5"/>
        <w:bidi w:val="0"/>
        <w:rPr>
          <w:rFonts w:hint="default" w:ascii="Times New Roman" w:hAnsi="Times New Roman" w:cs="Times New Roman"/>
        </w:rPr>
      </w:pPr>
      <w:bookmarkStart w:id="26" w:name="_Toc16723"/>
      <w:bookmarkStart w:id="27" w:name="_Toc12441"/>
      <w:bookmarkStart w:id="28" w:name="_Toc2518"/>
      <w:r>
        <w:rPr>
          <w:rFonts w:hint="default" w:ascii="Times New Roman" w:hAnsi="Times New Roman" w:cs="Times New Roman"/>
        </w:rPr>
        <w:t>1.7水土流失</w:t>
      </w:r>
      <w:bookmarkEnd w:id="25"/>
      <w:r>
        <w:rPr>
          <w:rFonts w:hint="default" w:ascii="Times New Roman" w:hAnsi="Times New Roman" w:cs="Times New Roman"/>
        </w:rPr>
        <w:t>预测结果</w:t>
      </w:r>
      <w:bookmarkEnd w:id="26"/>
      <w:bookmarkEnd w:id="27"/>
      <w:bookmarkEnd w:id="28"/>
    </w:p>
    <w:p>
      <w:pPr>
        <w:pageBreakBefore w:val="0"/>
        <w:kinsoku/>
        <w:wordWrap/>
        <w:bidi w:val="0"/>
        <w:spacing w:line="360" w:lineRule="auto"/>
        <w:ind w:firstLine="480" w:firstLineChars="200"/>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color w:val="auto"/>
          <w:sz w:val="24"/>
          <w:szCs w:val="24"/>
          <w:highlight w:val="none"/>
          <w:lang w:val="en-US" w:eastAsia="zh-CN"/>
        </w:rPr>
        <w:t>长春国际物流经济开发区新兴建材产业园区建设</w:t>
      </w:r>
      <w:r>
        <w:rPr>
          <w:rFonts w:hint="default" w:ascii="Times New Roman" w:hAnsi="Times New Roman" w:eastAsia="仿宋_GB2312" w:cs="Times New Roman"/>
          <w:color w:val="auto"/>
          <w:sz w:val="24"/>
          <w:szCs w:val="24"/>
          <w:highlight w:val="none"/>
          <w:lang w:eastAsia="zh-CN"/>
        </w:rPr>
        <w:t>项目</w:t>
      </w:r>
      <w:r>
        <w:rPr>
          <w:rFonts w:hint="eastAsia" w:eastAsia="仿宋_GB2312" w:cs="Times New Roman"/>
          <w:color w:val="auto"/>
          <w:sz w:val="24"/>
          <w:szCs w:val="24"/>
          <w:highlight w:val="none"/>
          <w:lang w:val="en-US" w:eastAsia="zh-CN"/>
        </w:rPr>
        <w:t>B地块</w:t>
      </w:r>
      <w:r>
        <w:rPr>
          <w:rFonts w:hint="default" w:ascii="Times New Roman" w:hAnsi="Times New Roman" w:eastAsia="仿宋_GB2312" w:cs="Times New Roman"/>
          <w:sz w:val="24"/>
          <w:szCs w:val="24"/>
          <w:highlight w:val="none"/>
        </w:rPr>
        <w:t>总占地面积为</w:t>
      </w:r>
      <w:r>
        <w:rPr>
          <w:rFonts w:hint="eastAsia" w:eastAsia="仿宋_GB2312" w:cs="Times New Roman"/>
          <w:sz w:val="24"/>
          <w:szCs w:val="24"/>
          <w:highlight w:val="none"/>
          <w:lang w:val="en-US" w:eastAsia="zh-CN"/>
        </w:rPr>
        <w:t>19.98</w:t>
      </w:r>
      <w:r>
        <w:rPr>
          <w:rFonts w:hint="default" w:ascii="Times New Roman" w:hAnsi="Times New Roman" w:eastAsia="仿宋_GB2312" w:cs="Times New Roman"/>
          <w:sz w:val="24"/>
          <w:szCs w:val="24"/>
          <w:highlight w:val="none"/>
          <w:lang w:eastAsia="zh-CN"/>
        </w:rPr>
        <w:t>hm²</w:t>
      </w:r>
      <w:r>
        <w:rPr>
          <w:rFonts w:hint="default" w:ascii="Times New Roman" w:hAnsi="Times New Roman" w:eastAsia="仿宋_GB2312" w:cs="Times New Roman"/>
          <w:sz w:val="24"/>
          <w:szCs w:val="24"/>
          <w:highlight w:val="none"/>
          <w:lang w:val="en-US" w:eastAsia="zh-CN"/>
        </w:rPr>
        <w:t>，本期工程</w:t>
      </w:r>
      <w:r>
        <w:rPr>
          <w:rFonts w:hint="default" w:ascii="Times New Roman" w:hAnsi="Times New Roman" w:eastAsia="仿宋_GB2312" w:cs="Times New Roman"/>
          <w:sz w:val="24"/>
          <w:szCs w:val="24"/>
          <w:highlight w:val="none"/>
        </w:rPr>
        <w:t>扰动地表面积</w:t>
      </w:r>
      <w:r>
        <w:rPr>
          <w:rFonts w:hint="eastAsia" w:eastAsia="仿宋_GB2312" w:cs="Times New Roman"/>
          <w:sz w:val="24"/>
          <w:szCs w:val="24"/>
          <w:highlight w:val="none"/>
          <w:lang w:val="en-US" w:eastAsia="zh-CN"/>
        </w:rPr>
        <w:t>19.98</w:t>
      </w:r>
      <w:r>
        <w:rPr>
          <w:rFonts w:hint="default" w:ascii="Times New Roman" w:hAnsi="Times New Roman" w:eastAsia="仿宋_GB2312" w:cs="Times New Roman"/>
          <w:sz w:val="24"/>
          <w:szCs w:val="24"/>
          <w:highlight w:val="none"/>
          <w:lang w:eastAsia="zh-CN"/>
        </w:rPr>
        <w:t>hm²</w:t>
      </w:r>
      <w:r>
        <w:rPr>
          <w:rFonts w:hint="default" w:ascii="Times New Roman" w:hAnsi="Times New Roman" w:eastAsia="仿宋_GB2312" w:cs="Times New Roman"/>
          <w:sz w:val="24"/>
          <w:szCs w:val="24"/>
          <w:highlight w:val="none"/>
        </w:rPr>
        <w:t>，通过</w:t>
      </w:r>
      <w:r>
        <w:rPr>
          <w:rFonts w:hint="eastAsia" w:eastAsia="仿宋_GB2312" w:cs="Times New Roman"/>
          <w:sz w:val="24"/>
          <w:szCs w:val="24"/>
          <w:highlight w:val="none"/>
          <w:lang w:val="en-US" w:eastAsia="zh-CN"/>
        </w:rPr>
        <w:t>分析计算，</w:t>
      </w:r>
      <w:r>
        <w:rPr>
          <w:rFonts w:hint="default" w:ascii="Times New Roman" w:hAnsi="Times New Roman" w:eastAsia="仿宋_GB2312" w:cs="Times New Roman"/>
          <w:sz w:val="24"/>
          <w:szCs w:val="24"/>
          <w:highlight w:val="none"/>
        </w:rPr>
        <w:t>建设过程可能产生土壤流失总量为</w:t>
      </w:r>
      <w:r>
        <w:rPr>
          <w:rFonts w:hint="eastAsia" w:eastAsia="仿宋_GB2312" w:cs="Times New Roman"/>
          <w:sz w:val="24"/>
          <w:szCs w:val="24"/>
          <w:highlight w:val="none"/>
          <w:lang w:eastAsia="zh-CN"/>
        </w:rPr>
        <w:t>1434.59</w:t>
      </w:r>
      <w:r>
        <w:rPr>
          <w:rFonts w:hint="default" w:ascii="Times New Roman" w:hAnsi="Times New Roman" w:eastAsia="仿宋_GB2312" w:cs="Times New Roman"/>
          <w:sz w:val="24"/>
          <w:szCs w:val="24"/>
          <w:highlight w:val="none"/>
        </w:rPr>
        <w:t>t，新增土壤流失量为</w:t>
      </w:r>
      <w:r>
        <w:rPr>
          <w:rFonts w:hint="eastAsia" w:eastAsia="仿宋_GB2312" w:cs="Times New Roman"/>
          <w:sz w:val="24"/>
          <w:szCs w:val="24"/>
          <w:highlight w:val="none"/>
          <w:lang w:eastAsia="zh-CN"/>
        </w:rPr>
        <w:t>1270.76</w:t>
      </w:r>
      <w:r>
        <w:rPr>
          <w:rFonts w:hint="default" w:ascii="Times New Roman" w:hAnsi="Times New Roman" w:eastAsia="仿宋_GB2312" w:cs="Times New Roman"/>
          <w:sz w:val="24"/>
          <w:szCs w:val="24"/>
          <w:highlight w:val="none"/>
        </w:rPr>
        <w:t>t，水土流失重点时段为施工期</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rPr>
        <w:t>水土流失重点区</w:t>
      </w:r>
      <w:r>
        <w:rPr>
          <w:rFonts w:hint="default" w:ascii="Times New Roman" w:hAnsi="Times New Roman" w:eastAsia="仿宋_GB2312" w:cs="Times New Roman"/>
          <w:bCs/>
          <w:sz w:val="24"/>
          <w:highlight w:val="none"/>
        </w:rPr>
        <w:t>域为</w:t>
      </w:r>
      <w:r>
        <w:rPr>
          <w:rFonts w:hint="eastAsia" w:eastAsia="仿宋_GB2312" w:cs="Times New Roman"/>
          <w:bCs/>
          <w:sz w:val="24"/>
          <w:highlight w:val="none"/>
          <w:lang w:val="en-US" w:eastAsia="zh-CN"/>
        </w:rPr>
        <w:t>工程建设区中的</w:t>
      </w:r>
      <w:r>
        <w:rPr>
          <w:rFonts w:hint="default" w:ascii="Times New Roman" w:hAnsi="Times New Roman" w:eastAsia="仿宋_GB2312" w:cs="Times New Roman"/>
          <w:bCs/>
          <w:sz w:val="24"/>
          <w:highlight w:val="none"/>
          <w:lang w:val="en-US" w:eastAsia="zh-CN"/>
        </w:rPr>
        <w:t>建构筑物区</w:t>
      </w:r>
      <w:r>
        <w:rPr>
          <w:rFonts w:hint="default" w:ascii="Times New Roman" w:hAnsi="Times New Roman" w:eastAsia="仿宋_GB2312" w:cs="Times New Roman"/>
          <w:bCs/>
          <w:sz w:val="24"/>
          <w:highlight w:val="none"/>
        </w:rPr>
        <w:t>。</w:t>
      </w:r>
      <w:r>
        <w:rPr>
          <w:rFonts w:hint="default" w:ascii="Times New Roman" w:hAnsi="Times New Roman" w:eastAsia="仿宋_GB2312" w:cs="Times New Roman"/>
          <w:bCs/>
          <w:sz w:val="24"/>
          <w:highlight w:val="none"/>
          <w:lang w:eastAsia="zh-CN"/>
        </w:rPr>
        <w:t>本期工程</w:t>
      </w:r>
      <w:r>
        <w:rPr>
          <w:rFonts w:hint="default" w:ascii="Times New Roman" w:hAnsi="Times New Roman" w:eastAsia="仿宋_GB2312" w:cs="Times New Roman"/>
          <w:bCs/>
          <w:sz w:val="24"/>
          <w:highlight w:val="none"/>
        </w:rPr>
        <w:t>建设施工时大量机械开挖，加剧了项目区水土流失，工程建设过程中若不采取水土保持措施，水土流失将对区域生态环境等产生不同程度的影响。</w:t>
      </w:r>
    </w:p>
    <w:p>
      <w:pPr>
        <w:pStyle w:val="5"/>
        <w:bidi w:val="0"/>
        <w:rPr>
          <w:rFonts w:hint="default" w:ascii="Times New Roman" w:hAnsi="Times New Roman" w:cs="Times New Roman"/>
        </w:rPr>
      </w:pPr>
      <w:bookmarkStart w:id="29" w:name="_Toc387325508"/>
      <w:bookmarkStart w:id="30" w:name="_Toc30683"/>
      <w:bookmarkStart w:id="31" w:name="_Toc5206"/>
      <w:bookmarkStart w:id="32" w:name="_Toc18445"/>
      <w:r>
        <w:rPr>
          <w:rFonts w:hint="default" w:ascii="Times New Roman" w:hAnsi="Times New Roman" w:cs="Times New Roman"/>
        </w:rPr>
        <w:t>1.8水土</w:t>
      </w:r>
      <w:bookmarkEnd w:id="29"/>
      <w:r>
        <w:rPr>
          <w:rFonts w:hint="default" w:ascii="Times New Roman" w:hAnsi="Times New Roman" w:cs="Times New Roman"/>
        </w:rPr>
        <w:t>保持措施布设成果</w:t>
      </w:r>
      <w:bookmarkEnd w:id="30"/>
      <w:bookmarkEnd w:id="31"/>
      <w:bookmarkEnd w:id="32"/>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根据水土流失防治责任范围内地貌类型、主体工程布局、施工工艺以及水土流失特点等，</w:t>
      </w:r>
      <w:r>
        <w:rPr>
          <w:rFonts w:hint="default" w:ascii="Times New Roman" w:hAnsi="Times New Roman" w:eastAsia="仿宋_GB2312" w:cs="Times New Roman"/>
          <w:sz w:val="24"/>
          <w:szCs w:val="24"/>
          <w:lang w:eastAsia="zh-CN"/>
        </w:rPr>
        <w:t>本期工程</w:t>
      </w:r>
      <w:r>
        <w:rPr>
          <w:rFonts w:hint="default" w:ascii="Times New Roman" w:hAnsi="Times New Roman" w:eastAsia="仿宋_GB2312" w:cs="Times New Roman"/>
          <w:sz w:val="24"/>
          <w:szCs w:val="24"/>
        </w:rPr>
        <w:t>划分为</w:t>
      </w:r>
      <w:r>
        <w:rPr>
          <w:rFonts w:hint="default" w:ascii="Times New Roman" w:hAnsi="Times New Roman" w:eastAsia="仿宋_GB2312" w:cs="Times New Roman"/>
          <w:sz w:val="24"/>
          <w:szCs w:val="24"/>
          <w:lang w:val="en-US" w:eastAsia="zh-CN"/>
        </w:rPr>
        <w:t>工程建设区1</w:t>
      </w:r>
      <w:r>
        <w:rPr>
          <w:rFonts w:hint="default" w:ascii="Times New Roman" w:hAnsi="Times New Roman" w:eastAsia="仿宋_GB2312" w:cs="Times New Roman"/>
          <w:sz w:val="24"/>
          <w:szCs w:val="24"/>
        </w:rPr>
        <w:t>个防治分区。</w:t>
      </w:r>
      <w:r>
        <w:rPr>
          <w:rFonts w:hint="eastAsia" w:eastAsia="仿宋_GB2312" w:cs="Times New Roman"/>
          <w:sz w:val="24"/>
          <w:szCs w:val="24"/>
          <w:lang w:val="en-US" w:eastAsia="zh-CN"/>
        </w:rPr>
        <w:t>根据</w:t>
      </w:r>
      <w:r>
        <w:rPr>
          <w:rFonts w:hint="eastAsia" w:eastAsia="仿宋_GB2312" w:cs="Times New Roman"/>
          <w:color w:val="auto"/>
          <w:sz w:val="24"/>
          <w:szCs w:val="24"/>
          <w:lang w:val="en-US" w:eastAsia="zh-CN"/>
        </w:rPr>
        <w:t>《</w:t>
      </w:r>
      <w:r>
        <w:rPr>
          <w:rFonts w:hint="default" w:eastAsia="仿宋_GB2312"/>
          <w:sz w:val="24"/>
          <w:highlight w:val="none"/>
          <w:lang w:val="en-US" w:eastAsia="zh-CN"/>
        </w:rPr>
        <w:t>吉林省水利厅关于对长春国际物流经济开发区新兴建材产业园区建设项目水土保持方案编制报批有关情况的意见</w:t>
      </w:r>
      <w:r>
        <w:rPr>
          <w:rFonts w:hint="eastAsia" w:eastAsia="仿宋_GB2312" w:cs="Times New Roman"/>
          <w:color w:val="auto"/>
          <w:sz w:val="24"/>
          <w:szCs w:val="24"/>
          <w:lang w:val="en-US" w:eastAsia="zh-CN"/>
        </w:rPr>
        <w:t>》，并经咨询</w:t>
      </w:r>
      <w:r>
        <w:rPr>
          <w:rFonts w:hint="eastAsia" w:eastAsia="仿宋_GB2312" w:cs="Times New Roman"/>
          <w:sz w:val="24"/>
          <w:szCs w:val="24"/>
          <w:lang w:val="en-US" w:eastAsia="zh-CN"/>
        </w:rPr>
        <w:t>水行政主管部门帮助指导，本方案只针对B地块水土保持措施进行具体设计，</w:t>
      </w:r>
      <w:r>
        <w:rPr>
          <w:rFonts w:hint="default" w:ascii="Times New Roman" w:hAnsi="Times New Roman" w:eastAsia="仿宋_GB2312" w:cs="Times New Roman"/>
          <w:sz w:val="24"/>
          <w:szCs w:val="24"/>
        </w:rPr>
        <w:t>水土保持措施包括工程措施、植物措施及临时措施。防治措施布设如下：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主体工程在</w:t>
      </w:r>
      <w:r>
        <w:rPr>
          <w:rFonts w:hint="default" w:ascii="Times New Roman" w:hAnsi="Times New Roman" w:eastAsia="仿宋_GB2312" w:cs="Times New Roman"/>
          <w:sz w:val="24"/>
          <w:szCs w:val="24"/>
          <w:lang w:val="en-US" w:eastAsia="zh-CN"/>
        </w:rPr>
        <w:t>施工期</w:t>
      </w:r>
      <w:r>
        <w:rPr>
          <w:rFonts w:hint="default" w:ascii="Times New Roman" w:hAnsi="Times New Roman" w:eastAsia="仿宋_GB2312" w:cs="Times New Roman"/>
          <w:sz w:val="24"/>
          <w:szCs w:val="24"/>
        </w:rPr>
        <w:t>沿道路布设排水雨水管线和</w:t>
      </w:r>
      <w:r>
        <w:rPr>
          <w:rFonts w:hint="eastAsia" w:eastAsia="仿宋_GB2312" w:cs="Times New Roman"/>
          <w:sz w:val="24"/>
          <w:szCs w:val="24"/>
          <w:lang w:eastAsia="zh-CN"/>
        </w:rPr>
        <w:t>雨水口，</w:t>
      </w:r>
      <w:r>
        <w:rPr>
          <w:rFonts w:hint="default" w:ascii="Times New Roman" w:hAnsi="Times New Roman" w:eastAsia="仿宋_GB2312" w:cs="Times New Roman"/>
          <w:bCs/>
          <w:color w:val="auto"/>
          <w:sz w:val="24"/>
          <w:szCs w:val="24"/>
          <w:highlight w:val="none"/>
          <w:lang w:val="en-US" w:eastAsia="zh-CN"/>
        </w:rPr>
        <w:t>对基础开挖土方进行密目网苫盖防护。</w:t>
      </w:r>
      <w:r>
        <w:rPr>
          <w:rFonts w:hint="default" w:ascii="Times New Roman" w:hAnsi="Times New Roman" w:eastAsia="仿宋_GB2312" w:cs="Times New Roman"/>
          <w:sz w:val="24"/>
          <w:szCs w:val="24"/>
        </w:rPr>
        <w:t>主体建筑物施工结束后，在绿化区域先进行</w:t>
      </w:r>
      <w:r>
        <w:rPr>
          <w:rFonts w:hint="default" w:ascii="Times New Roman" w:hAnsi="Times New Roman" w:eastAsia="仿宋_GB2312" w:cs="Times New Roman"/>
          <w:sz w:val="24"/>
          <w:szCs w:val="24"/>
          <w:lang w:val="en-US" w:eastAsia="zh-CN"/>
        </w:rPr>
        <w:t>绿化用土</w:t>
      </w:r>
      <w:r>
        <w:rPr>
          <w:rFonts w:hint="default" w:ascii="Times New Roman" w:hAnsi="Times New Roman" w:eastAsia="仿宋_GB2312" w:cs="Times New Roman"/>
          <w:sz w:val="24"/>
          <w:szCs w:val="24"/>
        </w:rPr>
        <w:t>回覆</w:t>
      </w:r>
      <w:r>
        <w:rPr>
          <w:rFonts w:hint="eastAsia" w:eastAsia="仿宋_GB2312" w:cs="Times New Roman"/>
          <w:sz w:val="24"/>
          <w:szCs w:val="24"/>
          <w:lang w:eastAsia="zh-CN"/>
        </w:rPr>
        <w:t>，</w:t>
      </w:r>
      <w:r>
        <w:rPr>
          <w:rFonts w:hint="default" w:ascii="Times New Roman" w:hAnsi="Times New Roman" w:eastAsia="仿宋_GB2312" w:cs="Times New Roman"/>
          <w:bCs/>
          <w:color w:val="auto"/>
          <w:sz w:val="24"/>
          <w:szCs w:val="24"/>
          <w:highlight w:val="none"/>
          <w:lang w:val="en-US" w:eastAsia="zh-CN"/>
        </w:rPr>
        <w:t>回覆后进行全面整地</w:t>
      </w:r>
      <w:r>
        <w:rPr>
          <w:rFonts w:hint="default" w:ascii="Times New Roman" w:hAnsi="Times New Roman" w:eastAsia="仿宋_GB2312" w:cs="Times New Roman"/>
          <w:sz w:val="24"/>
          <w:szCs w:val="24"/>
        </w:rPr>
        <w:t>，采取栽植乔灌木及撒播种草方式进行绿化。</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工程措施：雨水排水管</w:t>
      </w:r>
      <w:r>
        <w:rPr>
          <w:rFonts w:hint="eastAsia" w:eastAsia="仿宋_GB2312" w:cs="Times New Roman"/>
          <w:sz w:val="24"/>
          <w:szCs w:val="24"/>
          <w:highlight w:val="none"/>
          <w:lang w:val="en-US" w:eastAsia="zh-CN"/>
        </w:rPr>
        <w:t>2600</w:t>
      </w:r>
      <w:r>
        <w:rPr>
          <w:rFonts w:hint="default" w:ascii="Times New Roman" w:hAnsi="Times New Roman" w:eastAsia="仿宋_GB2312" w:cs="Times New Roman"/>
          <w:sz w:val="24"/>
          <w:szCs w:val="24"/>
          <w:highlight w:val="none"/>
        </w:rPr>
        <w:t>m、</w:t>
      </w:r>
      <w:r>
        <w:rPr>
          <w:rFonts w:hint="eastAsia" w:eastAsia="仿宋_GB2312" w:cs="Times New Roman"/>
          <w:sz w:val="24"/>
          <w:szCs w:val="24"/>
          <w:highlight w:val="none"/>
          <w:lang w:eastAsia="zh-CN"/>
        </w:rPr>
        <w:t>雨水口</w:t>
      </w:r>
      <w:r>
        <w:rPr>
          <w:rFonts w:hint="eastAsia" w:eastAsia="仿宋_GB2312" w:cs="Times New Roman"/>
          <w:sz w:val="24"/>
          <w:szCs w:val="24"/>
          <w:highlight w:val="none"/>
          <w:lang w:val="en-US" w:eastAsia="zh-CN"/>
        </w:rPr>
        <w:t>260</w:t>
      </w:r>
      <w:r>
        <w:rPr>
          <w:rFonts w:hint="default" w:ascii="Times New Roman" w:hAnsi="Times New Roman" w:eastAsia="仿宋_GB2312" w:cs="Times New Roman"/>
          <w:sz w:val="24"/>
          <w:szCs w:val="24"/>
          <w:highlight w:val="none"/>
        </w:rPr>
        <w:t>个</w:t>
      </w:r>
      <w:r>
        <w:rPr>
          <w:rFonts w:hint="eastAsia" w:eastAsia="仿宋_GB2312" w:cs="Times New Roman"/>
          <w:sz w:val="24"/>
          <w:szCs w:val="24"/>
          <w:highlight w:val="none"/>
          <w:lang w:eastAsia="zh-CN"/>
        </w:rPr>
        <w:t>（</w:t>
      </w:r>
      <w:r>
        <w:rPr>
          <w:rFonts w:hint="eastAsia" w:eastAsia="仿宋_GB2312" w:cs="Times New Roman"/>
          <w:sz w:val="24"/>
          <w:szCs w:val="24"/>
          <w:highlight w:val="none"/>
          <w:lang w:val="en-US" w:eastAsia="zh-CN"/>
        </w:rPr>
        <w:t>计划实施时间：2024年4月-2024年7月</w:t>
      </w:r>
      <w:r>
        <w:rPr>
          <w:rFonts w:hint="eastAsia"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rPr>
        <w:t>绿化</w:t>
      </w:r>
      <w:r>
        <w:rPr>
          <w:rFonts w:hint="default" w:ascii="Times New Roman" w:hAnsi="Times New Roman" w:eastAsia="仿宋_GB2312" w:cs="Times New Roman"/>
          <w:sz w:val="24"/>
          <w:szCs w:val="24"/>
          <w:highlight w:val="none"/>
          <w:lang w:val="en-US" w:eastAsia="zh-CN"/>
        </w:rPr>
        <w:t>用土</w:t>
      </w:r>
      <w:r>
        <w:rPr>
          <w:rFonts w:hint="default" w:ascii="Times New Roman" w:hAnsi="Times New Roman" w:eastAsia="仿宋_GB2312" w:cs="Times New Roman"/>
          <w:sz w:val="24"/>
          <w:szCs w:val="24"/>
          <w:highlight w:val="none"/>
        </w:rPr>
        <w:t>回覆</w:t>
      </w:r>
      <w:r>
        <w:rPr>
          <w:rFonts w:hint="eastAsia" w:eastAsia="仿宋_GB2312" w:cs="Times New Roman"/>
          <w:sz w:val="24"/>
          <w:szCs w:val="24"/>
          <w:highlight w:val="none"/>
          <w:lang w:val="en-US" w:eastAsia="zh-CN"/>
        </w:rPr>
        <w:t>1.20</w:t>
      </w:r>
      <w:r>
        <w:rPr>
          <w:rFonts w:hint="default" w:ascii="Times New Roman" w:hAnsi="Times New Roman" w:eastAsia="仿宋_GB2312" w:cs="Times New Roman"/>
          <w:sz w:val="24"/>
          <w:szCs w:val="24"/>
          <w:highlight w:val="none"/>
          <w:lang w:val="en-US" w:eastAsia="zh-CN"/>
        </w:rPr>
        <w:t>万</w:t>
      </w:r>
      <w:r>
        <w:rPr>
          <w:rFonts w:hint="default" w:ascii="Times New Roman" w:hAnsi="Times New Roman" w:eastAsia="仿宋_GB2312" w:cs="Times New Roman"/>
          <w:sz w:val="24"/>
          <w:szCs w:val="24"/>
          <w:highlight w:val="none"/>
          <w:lang w:eastAsia="zh-CN"/>
        </w:rPr>
        <w:t>m³</w:t>
      </w:r>
      <w:r>
        <w:rPr>
          <w:rFonts w:hint="eastAsia" w:eastAsia="仿宋_GB2312" w:cs="Times New Roman"/>
          <w:sz w:val="24"/>
          <w:szCs w:val="24"/>
          <w:highlight w:val="none"/>
          <w:lang w:eastAsia="zh-CN"/>
        </w:rPr>
        <w:t>（</w:t>
      </w:r>
      <w:r>
        <w:rPr>
          <w:rFonts w:hint="eastAsia" w:eastAsia="仿宋_GB2312" w:cs="Times New Roman"/>
          <w:sz w:val="24"/>
          <w:szCs w:val="24"/>
          <w:highlight w:val="none"/>
          <w:lang w:val="en-US" w:eastAsia="zh-CN"/>
        </w:rPr>
        <w:t>计划实施时间：2024年8月-2024年9月</w:t>
      </w:r>
      <w:r>
        <w:rPr>
          <w:rFonts w:hint="eastAsia"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rPr>
        <w:t>全面整地</w:t>
      </w:r>
      <w:r>
        <w:rPr>
          <w:rFonts w:hint="eastAsia" w:eastAsia="仿宋_GB2312" w:cs="Times New Roman"/>
          <w:sz w:val="24"/>
          <w:szCs w:val="24"/>
          <w:highlight w:val="none"/>
          <w:lang w:val="en-US" w:eastAsia="zh-CN"/>
        </w:rPr>
        <w:t>3.99</w:t>
      </w:r>
      <w:r>
        <w:rPr>
          <w:rFonts w:hint="default" w:ascii="Times New Roman" w:hAnsi="Times New Roman" w:eastAsia="仿宋_GB2312" w:cs="Times New Roman"/>
          <w:sz w:val="24"/>
          <w:szCs w:val="24"/>
          <w:highlight w:val="none"/>
          <w:lang w:eastAsia="zh-CN"/>
        </w:rPr>
        <w:t>hm²</w:t>
      </w:r>
      <w:r>
        <w:rPr>
          <w:rFonts w:hint="eastAsia" w:eastAsia="仿宋_GB2312" w:cs="Times New Roman"/>
          <w:sz w:val="24"/>
          <w:szCs w:val="24"/>
          <w:highlight w:val="none"/>
          <w:lang w:eastAsia="zh-CN"/>
        </w:rPr>
        <w:t>（</w:t>
      </w:r>
      <w:r>
        <w:rPr>
          <w:rFonts w:hint="eastAsia" w:eastAsia="仿宋_GB2312" w:cs="Times New Roman"/>
          <w:sz w:val="24"/>
          <w:szCs w:val="24"/>
          <w:highlight w:val="none"/>
          <w:lang w:val="en-US" w:eastAsia="zh-CN"/>
        </w:rPr>
        <w:t>计划实施时间：2024年8月-2024年9月</w:t>
      </w:r>
      <w:r>
        <w:rPr>
          <w:rFonts w:hint="eastAsia"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rPr>
        <w:t>。</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植物措施：</w:t>
      </w:r>
      <w:r>
        <w:rPr>
          <w:rFonts w:hint="default" w:ascii="Times New Roman" w:hAnsi="Times New Roman" w:eastAsia="仿宋_GB2312" w:cs="Times New Roman"/>
          <w:sz w:val="24"/>
          <w:szCs w:val="24"/>
          <w:highlight w:val="none"/>
          <w:lang w:val="en-US" w:eastAsia="zh-CN"/>
        </w:rPr>
        <w:t>绿化面积</w:t>
      </w:r>
      <w:r>
        <w:rPr>
          <w:rFonts w:hint="eastAsia" w:eastAsia="仿宋_GB2312" w:cs="Times New Roman"/>
          <w:sz w:val="24"/>
          <w:szCs w:val="24"/>
          <w:highlight w:val="none"/>
          <w:lang w:eastAsia="zh-CN"/>
        </w:rPr>
        <w:t>39933.28</w:t>
      </w:r>
      <w:r>
        <w:rPr>
          <w:rFonts w:hint="default" w:ascii="Times New Roman" w:hAnsi="Times New Roman" w:eastAsia="仿宋_GB2312" w:cs="Times New Roman"/>
          <w:sz w:val="24"/>
          <w:szCs w:val="24"/>
          <w:highlight w:val="none"/>
        </w:rPr>
        <w:t>m²</w:t>
      </w:r>
      <w:r>
        <w:rPr>
          <w:rFonts w:hint="eastAsia" w:eastAsia="仿宋_GB2312" w:cs="Times New Roman"/>
          <w:sz w:val="24"/>
          <w:szCs w:val="24"/>
          <w:highlight w:val="none"/>
          <w:lang w:eastAsia="zh-CN"/>
        </w:rPr>
        <w:t>（</w:t>
      </w:r>
      <w:r>
        <w:rPr>
          <w:rFonts w:hint="eastAsia" w:eastAsia="仿宋_GB2312" w:cs="Times New Roman"/>
          <w:sz w:val="24"/>
          <w:szCs w:val="24"/>
          <w:highlight w:val="none"/>
          <w:lang w:val="en-US" w:eastAsia="zh-CN"/>
        </w:rPr>
        <w:t>计划实施时间：2024年8月-2024年9月</w:t>
      </w:r>
      <w:r>
        <w:rPr>
          <w:rFonts w:hint="eastAsia"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rPr>
        <w:t>。</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highlight w:val="none"/>
          <w:lang w:val="en-US" w:eastAsia="zh-CN"/>
        </w:rPr>
      </w:pPr>
      <w:r>
        <w:rPr>
          <w:rFonts w:hint="default" w:ascii="Times New Roman" w:hAnsi="Times New Roman" w:eastAsia="仿宋_GB2312" w:cs="Times New Roman"/>
          <w:sz w:val="24"/>
          <w:szCs w:val="24"/>
          <w:highlight w:val="none"/>
        </w:rPr>
        <w:t>临时措施：密目网苫盖</w:t>
      </w:r>
      <w:r>
        <w:rPr>
          <w:rFonts w:hint="eastAsia" w:eastAsia="仿宋_GB2312" w:cs="Times New Roman"/>
          <w:sz w:val="24"/>
          <w:szCs w:val="24"/>
          <w:highlight w:val="none"/>
          <w:lang w:val="en-US" w:eastAsia="zh-CN"/>
        </w:rPr>
        <w:t>2965</w:t>
      </w:r>
      <w:r>
        <w:rPr>
          <w:rFonts w:hint="default" w:ascii="Times New Roman" w:hAnsi="Times New Roman" w:eastAsia="仿宋_GB2312" w:cs="Times New Roman"/>
          <w:sz w:val="24"/>
          <w:szCs w:val="24"/>
          <w:highlight w:val="none"/>
        </w:rPr>
        <w:t>m²</w:t>
      </w:r>
      <w:r>
        <w:rPr>
          <w:rFonts w:hint="eastAsia" w:eastAsia="仿宋_GB2312" w:cs="Times New Roman"/>
          <w:sz w:val="24"/>
          <w:szCs w:val="24"/>
          <w:highlight w:val="none"/>
          <w:lang w:eastAsia="zh-CN"/>
        </w:rPr>
        <w:t>（</w:t>
      </w:r>
      <w:r>
        <w:rPr>
          <w:rFonts w:hint="eastAsia" w:eastAsia="仿宋_GB2312" w:cs="Times New Roman"/>
          <w:sz w:val="24"/>
          <w:szCs w:val="24"/>
          <w:highlight w:val="none"/>
          <w:lang w:val="en-US" w:eastAsia="zh-CN"/>
        </w:rPr>
        <w:t>计划实施时间：2023年9月-2024年5月</w:t>
      </w:r>
      <w:r>
        <w:rPr>
          <w:rFonts w:hint="eastAsia"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lang w:eastAsia="zh-CN"/>
        </w:rPr>
        <w:t>。</w:t>
      </w:r>
    </w:p>
    <w:p>
      <w:pPr>
        <w:pStyle w:val="5"/>
        <w:bidi w:val="0"/>
        <w:rPr>
          <w:rFonts w:hint="default" w:ascii="Times New Roman" w:hAnsi="Times New Roman" w:cs="Times New Roman"/>
        </w:rPr>
      </w:pPr>
      <w:bookmarkStart w:id="33" w:name="_Toc387325509"/>
      <w:bookmarkStart w:id="34" w:name="_Toc24483"/>
      <w:bookmarkStart w:id="35" w:name="_Toc15924"/>
      <w:bookmarkStart w:id="36" w:name="_Toc28788"/>
      <w:r>
        <w:rPr>
          <w:rFonts w:hint="default" w:ascii="Times New Roman" w:hAnsi="Times New Roman" w:cs="Times New Roman"/>
        </w:rPr>
        <w:t>1.9水土保持监测</w:t>
      </w:r>
      <w:bookmarkEnd w:id="33"/>
      <w:r>
        <w:rPr>
          <w:rFonts w:hint="default" w:ascii="Times New Roman" w:hAnsi="Times New Roman" w:cs="Times New Roman"/>
        </w:rPr>
        <w:t>方案</w:t>
      </w:r>
      <w:bookmarkEnd w:id="34"/>
      <w:bookmarkEnd w:id="35"/>
      <w:bookmarkEnd w:id="36"/>
    </w:p>
    <w:p>
      <w:pPr>
        <w:pageBreakBefore w:val="0"/>
        <w:kinsoku/>
        <w:wordWrap/>
        <w:bidi w:val="0"/>
        <w:spacing w:line="360" w:lineRule="auto"/>
        <w:ind w:firstLine="480" w:firstLineChars="200"/>
        <w:jc w:val="left"/>
        <w:rPr>
          <w:rFonts w:hint="default" w:ascii="Times New Roman" w:hAnsi="Times New Roman" w:eastAsia="仿宋_GB2312" w:cs="Times New Roman"/>
          <w:bCs/>
          <w:sz w:val="24"/>
          <w:highlight w:val="none"/>
        </w:rPr>
      </w:pPr>
      <w:r>
        <w:rPr>
          <w:rFonts w:hint="eastAsia" w:eastAsia="仿宋_GB2312" w:cs="Times New Roman"/>
          <w:bCs/>
          <w:color w:val="auto"/>
          <w:sz w:val="24"/>
          <w:lang w:val="en-US" w:eastAsia="zh-CN"/>
        </w:rPr>
        <w:t>按照批准的水土保持方案及其批复意见，将确定的水土流失防治责任范围作为水土保持监测范围。</w:t>
      </w:r>
      <w:r>
        <w:rPr>
          <w:rFonts w:hint="default" w:ascii="Times New Roman" w:hAnsi="Times New Roman" w:eastAsia="仿宋_GB2312" w:cs="Times New Roman"/>
          <w:bCs/>
          <w:color w:val="auto"/>
          <w:sz w:val="24"/>
          <w:lang w:eastAsia="zh-CN"/>
        </w:rPr>
        <w:t>本期项目</w:t>
      </w:r>
      <w:r>
        <w:rPr>
          <w:rFonts w:hint="default" w:ascii="Times New Roman" w:hAnsi="Times New Roman" w:eastAsia="仿宋_GB2312" w:cs="Times New Roman"/>
          <w:bCs/>
          <w:color w:val="auto"/>
          <w:sz w:val="24"/>
        </w:rPr>
        <w:t>的</w:t>
      </w:r>
      <w:r>
        <w:rPr>
          <w:rFonts w:hint="default" w:ascii="Times New Roman" w:hAnsi="Times New Roman" w:eastAsia="仿宋_GB2312" w:cs="Times New Roman"/>
          <w:color w:val="auto"/>
          <w:sz w:val="24"/>
        </w:rPr>
        <w:t>监测分为工程建设区</w:t>
      </w:r>
      <w:r>
        <w:rPr>
          <w:rFonts w:hint="default" w:ascii="Times New Roman" w:hAnsi="Times New Roman" w:eastAsia="仿宋_GB2312" w:cs="Times New Roman"/>
          <w:color w:val="auto"/>
          <w:sz w:val="24"/>
          <w:lang w:val="en-US" w:eastAsia="zh-CN"/>
        </w:rPr>
        <w:t>1</w:t>
      </w:r>
      <w:r>
        <w:rPr>
          <w:rFonts w:hint="default" w:ascii="Times New Roman" w:hAnsi="Times New Roman" w:eastAsia="仿宋_GB2312" w:cs="Times New Roman"/>
          <w:color w:val="auto"/>
          <w:sz w:val="24"/>
        </w:rPr>
        <w:t>个单元进行监测。</w:t>
      </w:r>
      <w:r>
        <w:rPr>
          <w:rFonts w:hint="default" w:ascii="Times New Roman" w:hAnsi="Times New Roman" w:eastAsia="仿宋_GB2312" w:cs="Times New Roman"/>
          <w:bCs/>
          <w:sz w:val="24"/>
          <w:highlight w:val="none"/>
        </w:rPr>
        <w:t>监测内容：包括本底值监测、水土流失自然影响因素监测、扰动土地情况</w:t>
      </w:r>
      <w:r>
        <w:rPr>
          <w:rFonts w:hint="default" w:ascii="Times New Roman" w:hAnsi="Times New Roman" w:eastAsia="仿宋_GB2312" w:cs="Times New Roman"/>
          <w:bCs/>
          <w:sz w:val="24"/>
          <w:highlight w:val="none"/>
          <w:lang w:val="en-US" w:eastAsia="zh-CN"/>
        </w:rPr>
        <w:t>监测</w:t>
      </w:r>
      <w:r>
        <w:rPr>
          <w:rFonts w:hint="default" w:ascii="Times New Roman" w:hAnsi="Times New Roman" w:eastAsia="仿宋_GB2312" w:cs="Times New Roman"/>
          <w:bCs/>
          <w:sz w:val="24"/>
          <w:highlight w:val="none"/>
        </w:rPr>
        <w:t>、水土流失状况</w:t>
      </w:r>
      <w:r>
        <w:rPr>
          <w:rFonts w:hint="default" w:ascii="Times New Roman" w:hAnsi="Times New Roman" w:eastAsia="仿宋_GB2312" w:cs="Times New Roman"/>
          <w:bCs/>
          <w:sz w:val="24"/>
          <w:highlight w:val="none"/>
          <w:lang w:val="en-US" w:eastAsia="zh-CN"/>
        </w:rPr>
        <w:t>监测</w:t>
      </w:r>
      <w:r>
        <w:rPr>
          <w:rFonts w:hint="default" w:ascii="Times New Roman" w:hAnsi="Times New Roman" w:eastAsia="仿宋_GB2312" w:cs="Times New Roman"/>
          <w:bCs/>
          <w:sz w:val="24"/>
          <w:highlight w:val="none"/>
        </w:rPr>
        <w:t>、水土流失防治成效</w:t>
      </w:r>
      <w:r>
        <w:rPr>
          <w:rFonts w:hint="default" w:ascii="Times New Roman" w:hAnsi="Times New Roman" w:eastAsia="仿宋_GB2312" w:cs="Times New Roman"/>
          <w:bCs/>
          <w:sz w:val="24"/>
          <w:highlight w:val="none"/>
          <w:lang w:val="en-US" w:eastAsia="zh-CN"/>
        </w:rPr>
        <w:t>和</w:t>
      </w:r>
      <w:r>
        <w:rPr>
          <w:rFonts w:hint="default" w:ascii="Times New Roman" w:hAnsi="Times New Roman" w:eastAsia="仿宋_GB2312" w:cs="Times New Roman"/>
          <w:bCs/>
          <w:sz w:val="24"/>
          <w:highlight w:val="none"/>
        </w:rPr>
        <w:t>水土流失危害监测等。</w:t>
      </w:r>
    </w:p>
    <w:p>
      <w:pPr>
        <w:pageBreakBefore w:val="0"/>
        <w:kinsoku/>
        <w:wordWrap/>
        <w:bidi w:val="0"/>
        <w:spacing w:line="360" w:lineRule="auto"/>
        <w:ind w:firstLine="480" w:firstLineChars="200"/>
        <w:jc w:val="left"/>
        <w:rPr>
          <w:rFonts w:hint="default" w:ascii="Times New Roman" w:hAnsi="Times New Roman" w:cs="Times New Roman"/>
        </w:rPr>
      </w:pPr>
      <w:r>
        <w:rPr>
          <w:rFonts w:hint="default" w:ascii="Times New Roman" w:hAnsi="Times New Roman" w:eastAsia="仿宋_GB2312" w:cs="Times New Roman"/>
          <w:color w:val="auto"/>
          <w:sz w:val="24"/>
        </w:rPr>
        <w:t>本方案确定项目总的监测时段为</w:t>
      </w:r>
      <w:r>
        <w:rPr>
          <w:rFonts w:hint="eastAsia" w:eastAsia="仿宋_GB2312" w:cs="Times New Roman"/>
          <w:color w:val="auto"/>
          <w:sz w:val="24"/>
          <w:lang w:eastAsia="zh-CN"/>
        </w:rPr>
        <w:t>2023年7月</w:t>
      </w:r>
      <w:r>
        <w:rPr>
          <w:rFonts w:hint="default" w:ascii="Times New Roman" w:hAnsi="Times New Roman" w:eastAsia="仿宋_GB2312" w:cs="Times New Roman"/>
          <w:color w:val="auto"/>
          <w:sz w:val="24"/>
        </w:rPr>
        <w:t>至202</w:t>
      </w:r>
      <w:r>
        <w:rPr>
          <w:rFonts w:hint="eastAsia" w:eastAsia="仿宋_GB2312" w:cs="Times New Roman"/>
          <w:color w:val="auto"/>
          <w:sz w:val="24"/>
          <w:lang w:val="en-US" w:eastAsia="zh-CN"/>
        </w:rPr>
        <w:t>5</w:t>
      </w:r>
      <w:r>
        <w:rPr>
          <w:rFonts w:hint="default" w:ascii="Times New Roman" w:hAnsi="Times New Roman" w:eastAsia="仿宋_GB2312" w:cs="Times New Roman"/>
          <w:color w:val="auto"/>
          <w:sz w:val="24"/>
        </w:rPr>
        <w:t>年12月</w:t>
      </w:r>
      <w:r>
        <w:rPr>
          <w:rFonts w:hint="default" w:ascii="Times New Roman" w:hAnsi="Times New Roman" w:eastAsia="仿宋_GB2312" w:cs="Times New Roman"/>
          <w:bCs/>
          <w:color w:val="auto"/>
          <w:sz w:val="24"/>
        </w:rPr>
        <w:t>水保持监测采用实地调查量测、地面观测及无人机遥感监测相结合的监测方法，根据项目区特点，共设立1个水土保持监测点位</w:t>
      </w:r>
      <w:r>
        <w:rPr>
          <w:rFonts w:hint="default" w:ascii="Times New Roman" w:hAnsi="Times New Roman" w:eastAsia="仿宋_GB2312" w:cs="Times New Roman"/>
          <w:bCs/>
          <w:color w:val="auto"/>
          <w:sz w:val="24"/>
          <w:lang w:eastAsia="zh-CN"/>
        </w:rPr>
        <w:t>。</w:t>
      </w:r>
    </w:p>
    <w:p>
      <w:pPr>
        <w:pStyle w:val="5"/>
        <w:bidi w:val="0"/>
        <w:rPr>
          <w:rFonts w:hint="default" w:ascii="Times New Roman" w:hAnsi="Times New Roman" w:cs="Times New Roman"/>
        </w:rPr>
      </w:pPr>
      <w:bookmarkStart w:id="37" w:name="_Toc387325510"/>
      <w:bookmarkStart w:id="38" w:name="_Toc17503"/>
      <w:bookmarkStart w:id="39" w:name="_Toc5001"/>
      <w:bookmarkStart w:id="40" w:name="_Toc27209"/>
      <w:r>
        <w:rPr>
          <w:rFonts w:hint="default" w:ascii="Times New Roman" w:hAnsi="Times New Roman" w:cs="Times New Roman"/>
        </w:rPr>
        <w:t>1.10水土保持投资及效益分析</w:t>
      </w:r>
      <w:bookmarkEnd w:id="37"/>
      <w:r>
        <w:rPr>
          <w:rFonts w:hint="default" w:ascii="Times New Roman" w:hAnsi="Times New Roman" w:cs="Times New Roman"/>
        </w:rPr>
        <w:t>成果</w:t>
      </w:r>
      <w:bookmarkEnd w:id="38"/>
      <w:bookmarkEnd w:id="39"/>
      <w:bookmarkEnd w:id="4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highlight w:val="none"/>
        </w:rPr>
      </w:pPr>
      <w:bookmarkStart w:id="41" w:name="_Toc26973"/>
      <w:bookmarkStart w:id="42" w:name="_Toc387325511"/>
      <w:bookmarkStart w:id="43" w:name="_Toc19869"/>
      <w:r>
        <w:rPr>
          <w:rFonts w:hint="default" w:ascii="Times New Roman" w:hAnsi="Times New Roman" w:eastAsia="仿宋_GB2312" w:cs="Times New Roman"/>
          <w:sz w:val="24"/>
          <w:szCs w:val="24"/>
          <w:highlight w:val="none"/>
        </w:rPr>
        <w:t>水土保持总投资为</w:t>
      </w:r>
      <w:r>
        <w:rPr>
          <w:rFonts w:hint="eastAsia" w:eastAsia="仿宋_GB2312" w:cs="Times New Roman"/>
          <w:sz w:val="24"/>
          <w:szCs w:val="24"/>
          <w:highlight w:val="none"/>
          <w:lang w:eastAsia="zh-CN"/>
        </w:rPr>
        <w:t>842.14</w:t>
      </w:r>
      <w:r>
        <w:rPr>
          <w:rFonts w:hint="default" w:ascii="Times New Roman" w:hAnsi="Times New Roman" w:eastAsia="仿宋_GB2312" w:cs="Times New Roman"/>
          <w:sz w:val="24"/>
          <w:szCs w:val="24"/>
          <w:highlight w:val="none"/>
        </w:rPr>
        <w:t>万元，其中：工程措施投资</w:t>
      </w:r>
      <w:r>
        <w:rPr>
          <w:rFonts w:hint="eastAsia" w:eastAsia="仿宋_GB2312" w:cs="Times New Roman"/>
          <w:sz w:val="24"/>
          <w:szCs w:val="24"/>
          <w:highlight w:val="none"/>
          <w:lang w:eastAsia="zh-CN"/>
        </w:rPr>
        <w:t>285.61</w:t>
      </w:r>
      <w:r>
        <w:rPr>
          <w:rFonts w:hint="default" w:ascii="Times New Roman" w:hAnsi="Times New Roman" w:eastAsia="仿宋_GB2312" w:cs="Times New Roman"/>
          <w:sz w:val="24"/>
          <w:szCs w:val="24"/>
          <w:highlight w:val="none"/>
        </w:rPr>
        <w:t>万元、植物措施投资</w:t>
      </w:r>
      <w:r>
        <w:rPr>
          <w:rFonts w:hint="eastAsia" w:eastAsia="仿宋_GB2312" w:cs="Times New Roman"/>
          <w:sz w:val="24"/>
          <w:szCs w:val="24"/>
          <w:highlight w:val="none"/>
          <w:lang w:eastAsia="zh-CN"/>
        </w:rPr>
        <w:t>479.20</w:t>
      </w:r>
      <w:r>
        <w:rPr>
          <w:rFonts w:hint="default" w:ascii="Times New Roman" w:hAnsi="Times New Roman" w:eastAsia="仿宋_GB2312" w:cs="Times New Roman"/>
          <w:sz w:val="24"/>
          <w:szCs w:val="24"/>
          <w:highlight w:val="none"/>
        </w:rPr>
        <w:t>万元、临时措施投资</w:t>
      </w:r>
      <w:r>
        <w:rPr>
          <w:rFonts w:hint="eastAsia" w:eastAsia="仿宋_GB2312" w:cs="Times New Roman"/>
          <w:sz w:val="24"/>
          <w:szCs w:val="24"/>
          <w:highlight w:val="none"/>
          <w:lang w:val="en-US" w:eastAsia="zh-CN"/>
        </w:rPr>
        <w:t>3.34</w:t>
      </w:r>
      <w:r>
        <w:rPr>
          <w:rFonts w:hint="default" w:ascii="Times New Roman" w:hAnsi="Times New Roman" w:eastAsia="仿宋_GB2312" w:cs="Times New Roman"/>
          <w:sz w:val="24"/>
          <w:szCs w:val="24"/>
          <w:highlight w:val="none"/>
        </w:rPr>
        <w:t>万元、独立费用</w:t>
      </w:r>
      <w:r>
        <w:rPr>
          <w:rFonts w:hint="eastAsia" w:eastAsia="仿宋_GB2312" w:cs="Times New Roman"/>
          <w:sz w:val="24"/>
          <w:szCs w:val="24"/>
          <w:highlight w:val="none"/>
          <w:lang w:val="en-US" w:eastAsia="zh-CN"/>
        </w:rPr>
        <w:t>69.67</w:t>
      </w:r>
      <w:r>
        <w:rPr>
          <w:rFonts w:hint="default" w:ascii="Times New Roman" w:hAnsi="Times New Roman" w:eastAsia="仿宋_GB2312" w:cs="Times New Roman"/>
          <w:sz w:val="24"/>
          <w:szCs w:val="24"/>
          <w:highlight w:val="none"/>
        </w:rPr>
        <w:t>万元（其中建设管理费</w:t>
      </w:r>
      <w:r>
        <w:rPr>
          <w:rFonts w:hint="eastAsia" w:eastAsia="仿宋_GB2312" w:cs="Times New Roman"/>
          <w:sz w:val="24"/>
          <w:szCs w:val="24"/>
          <w:highlight w:val="none"/>
          <w:lang w:val="en-US" w:eastAsia="zh-CN"/>
        </w:rPr>
        <w:t>0.05</w:t>
      </w:r>
      <w:r>
        <w:rPr>
          <w:rFonts w:hint="default" w:ascii="Times New Roman" w:hAnsi="Times New Roman" w:eastAsia="仿宋_GB2312" w:cs="Times New Roman"/>
          <w:sz w:val="24"/>
          <w:szCs w:val="24"/>
          <w:highlight w:val="none"/>
        </w:rPr>
        <w:t>万元、水土保持监理费</w:t>
      </w:r>
      <w:r>
        <w:rPr>
          <w:rFonts w:hint="eastAsia" w:eastAsia="仿宋_GB2312" w:cs="Times New Roman"/>
          <w:sz w:val="24"/>
          <w:szCs w:val="24"/>
          <w:highlight w:val="none"/>
          <w:lang w:val="en-US" w:eastAsia="zh-CN"/>
        </w:rPr>
        <w:t>16</w:t>
      </w:r>
      <w:r>
        <w:rPr>
          <w:rFonts w:hint="default" w:ascii="Times New Roman" w:hAnsi="Times New Roman" w:eastAsia="仿宋_GB2312" w:cs="Times New Roman"/>
          <w:sz w:val="24"/>
          <w:szCs w:val="24"/>
          <w:highlight w:val="none"/>
        </w:rPr>
        <w:t>万元、水土保持监测费</w:t>
      </w:r>
      <w:r>
        <w:rPr>
          <w:rFonts w:hint="eastAsia" w:eastAsia="仿宋_GB2312" w:cs="Times New Roman"/>
          <w:sz w:val="24"/>
          <w:szCs w:val="24"/>
          <w:highlight w:val="none"/>
          <w:lang w:val="en-US" w:eastAsia="zh-CN"/>
        </w:rPr>
        <w:t>15.62</w:t>
      </w:r>
      <w:r>
        <w:rPr>
          <w:rFonts w:hint="default" w:ascii="Times New Roman" w:hAnsi="Times New Roman" w:eastAsia="仿宋_GB2312" w:cs="Times New Roman"/>
          <w:sz w:val="24"/>
          <w:szCs w:val="24"/>
          <w:highlight w:val="none"/>
        </w:rPr>
        <w:t>万元、科研勘测设计费</w:t>
      </w:r>
      <w:r>
        <w:rPr>
          <w:rFonts w:hint="eastAsia" w:eastAsia="仿宋_GB2312" w:cs="Times New Roman"/>
          <w:sz w:val="24"/>
          <w:szCs w:val="24"/>
          <w:highlight w:val="none"/>
          <w:lang w:val="en-US" w:eastAsia="zh-CN"/>
        </w:rPr>
        <w:t>20</w:t>
      </w:r>
      <w:r>
        <w:rPr>
          <w:rFonts w:hint="default" w:ascii="Times New Roman" w:hAnsi="Times New Roman" w:eastAsia="仿宋_GB2312" w:cs="Times New Roman"/>
          <w:sz w:val="24"/>
          <w:szCs w:val="24"/>
          <w:highlight w:val="none"/>
        </w:rPr>
        <w:t>万元、水土保持设施验收费</w:t>
      </w:r>
      <w:r>
        <w:rPr>
          <w:rFonts w:hint="eastAsia" w:eastAsia="仿宋_GB2312" w:cs="Times New Roman"/>
          <w:sz w:val="24"/>
          <w:szCs w:val="24"/>
          <w:highlight w:val="none"/>
          <w:lang w:val="en-US" w:eastAsia="zh-CN"/>
        </w:rPr>
        <w:t>18</w:t>
      </w:r>
      <w:r>
        <w:rPr>
          <w:rFonts w:hint="default" w:ascii="Times New Roman" w:hAnsi="Times New Roman" w:eastAsia="仿宋_GB2312" w:cs="Times New Roman"/>
          <w:sz w:val="24"/>
          <w:szCs w:val="24"/>
          <w:highlight w:val="none"/>
        </w:rPr>
        <w:t>万元）、基本预备费</w:t>
      </w:r>
      <w:r>
        <w:rPr>
          <w:rFonts w:hint="eastAsia" w:eastAsia="仿宋_GB2312" w:cs="Times New Roman"/>
          <w:sz w:val="24"/>
          <w:szCs w:val="24"/>
          <w:highlight w:val="none"/>
          <w:lang w:val="en-US" w:eastAsia="zh-CN"/>
        </w:rPr>
        <w:t>4.33</w:t>
      </w:r>
      <w:r>
        <w:rPr>
          <w:rFonts w:hint="default" w:ascii="Times New Roman" w:hAnsi="Times New Roman" w:eastAsia="仿宋_GB2312" w:cs="Times New Roman"/>
          <w:sz w:val="24"/>
          <w:szCs w:val="24"/>
          <w:highlight w:val="none"/>
        </w:rPr>
        <w:t>万元</w:t>
      </w:r>
      <w:r>
        <w:rPr>
          <w:rFonts w:hint="eastAsia" w:eastAsia="仿宋_GB2312" w:cs="Times New Roman"/>
          <w:sz w:val="24"/>
          <w:szCs w:val="24"/>
          <w:highlight w:val="none"/>
          <w:lang w:eastAsia="zh-CN"/>
        </w:rPr>
        <w:t>。</w:t>
      </w:r>
      <w:r>
        <w:rPr>
          <w:rFonts w:hint="eastAsia" w:eastAsia="仿宋_GB2312" w:cs="Times New Roman"/>
          <w:sz w:val="24"/>
          <w:szCs w:val="24"/>
          <w:highlight w:val="none"/>
          <w:lang w:val="en-US" w:eastAsia="zh-CN"/>
        </w:rPr>
        <w:t>在《</w:t>
      </w:r>
      <w:r>
        <w:rPr>
          <w:rFonts w:hint="default" w:ascii="Times New Roman" w:hAnsi="Times New Roman" w:eastAsia="仿宋_GB2312" w:cs="Times New Roman"/>
          <w:snapToGrid w:val="0"/>
          <w:kern w:val="0"/>
          <w:sz w:val="24"/>
          <w:highlight w:val="none"/>
          <w:lang w:eastAsia="zh-CN"/>
        </w:rPr>
        <w:t>长春国际物流经济开发区新兴建材产业园区建设项目水土保持方案报告书</w:t>
      </w:r>
      <w:r>
        <w:rPr>
          <w:rFonts w:hint="eastAsia" w:eastAsia="仿宋_GB2312" w:cs="Times New Roman"/>
          <w:sz w:val="24"/>
          <w:szCs w:val="24"/>
          <w:highlight w:val="none"/>
          <w:lang w:val="en-US" w:eastAsia="zh-CN"/>
        </w:rPr>
        <w:t>》中已计列B地块水土保持补偿费，并按要求</w:t>
      </w:r>
      <w:r>
        <w:rPr>
          <w:rFonts w:hint="default" w:ascii="Times New Roman" w:hAnsi="Times New Roman" w:eastAsia="仿宋_GB2312" w:cs="Times New Roman"/>
          <w:color w:val="auto"/>
          <w:sz w:val="24"/>
          <w:szCs w:val="24"/>
          <w:lang w:val="en-US" w:eastAsia="zh-CN"/>
        </w:rPr>
        <w:t>一次性缴纳完整项目的水土保持补偿费</w:t>
      </w:r>
      <w:r>
        <w:rPr>
          <w:rFonts w:hint="eastAsia" w:ascii="Times New Roman" w:hAnsi="Times New Roman" w:eastAsia="仿宋_GB2312" w:cs="Times New Roman"/>
          <w:color w:val="auto"/>
          <w:sz w:val="24"/>
          <w:szCs w:val="24"/>
          <w:lang w:val="en-US" w:eastAsia="zh-CN"/>
        </w:rPr>
        <w:t>，故本方案不再重复计列</w:t>
      </w:r>
      <w:r>
        <w:rPr>
          <w:rFonts w:hint="default" w:ascii="Times New Roman" w:hAnsi="Times New Roman" w:eastAsia="仿宋_GB2312" w:cs="Times New Roman"/>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lang w:val="en-US" w:eastAsia="zh-CN"/>
        </w:rPr>
        <w:t>本期工程占地面积</w:t>
      </w:r>
      <w:r>
        <w:rPr>
          <w:rFonts w:hint="eastAsia" w:eastAsia="仿宋_GB2312" w:cs="Times New Roman"/>
          <w:sz w:val="24"/>
          <w:szCs w:val="24"/>
          <w:highlight w:val="none"/>
          <w:lang w:eastAsia="zh-CN"/>
        </w:rPr>
        <w:t>19.98</w:t>
      </w:r>
      <w:r>
        <w:rPr>
          <w:rFonts w:hint="default" w:ascii="Times New Roman" w:hAnsi="Times New Roman" w:eastAsia="仿宋_GB2312" w:cs="Times New Roman"/>
          <w:sz w:val="24"/>
          <w:szCs w:val="24"/>
          <w:highlight w:val="none"/>
        </w:rPr>
        <w:t>hm²，</w:t>
      </w:r>
      <w:r>
        <w:rPr>
          <w:rFonts w:hint="default" w:ascii="Times New Roman" w:hAnsi="Times New Roman" w:eastAsia="仿宋_GB2312" w:cs="Times New Roman"/>
          <w:sz w:val="24"/>
          <w:szCs w:val="24"/>
          <w:highlight w:val="none"/>
          <w:lang w:val="en-US" w:eastAsia="zh-CN"/>
        </w:rPr>
        <w:t>本期工程建设共</w:t>
      </w:r>
      <w:r>
        <w:rPr>
          <w:rFonts w:hint="default" w:ascii="Times New Roman" w:hAnsi="Times New Roman" w:eastAsia="仿宋_GB2312" w:cs="Times New Roman"/>
          <w:sz w:val="24"/>
          <w:szCs w:val="24"/>
          <w:highlight w:val="none"/>
        </w:rPr>
        <w:t>扰动</w:t>
      </w:r>
      <w:r>
        <w:rPr>
          <w:rFonts w:hint="default" w:ascii="Times New Roman" w:hAnsi="Times New Roman" w:eastAsia="仿宋_GB2312" w:cs="Times New Roman"/>
          <w:sz w:val="24"/>
          <w:szCs w:val="24"/>
          <w:highlight w:val="none"/>
          <w:lang w:val="en-US" w:eastAsia="zh-CN"/>
        </w:rPr>
        <w:t>地表</w:t>
      </w:r>
      <w:r>
        <w:rPr>
          <w:rFonts w:hint="default" w:ascii="Times New Roman" w:hAnsi="Times New Roman" w:eastAsia="仿宋_GB2312" w:cs="Times New Roman"/>
          <w:sz w:val="24"/>
          <w:szCs w:val="24"/>
          <w:highlight w:val="none"/>
        </w:rPr>
        <w:t>面积为</w:t>
      </w:r>
      <w:r>
        <w:rPr>
          <w:rFonts w:hint="eastAsia" w:eastAsia="仿宋_GB2312" w:cs="Times New Roman"/>
          <w:sz w:val="24"/>
          <w:szCs w:val="24"/>
          <w:highlight w:val="none"/>
          <w:lang w:eastAsia="zh-CN"/>
        </w:rPr>
        <w:t>19.98</w:t>
      </w:r>
      <w:r>
        <w:rPr>
          <w:rFonts w:hint="default" w:ascii="Times New Roman" w:hAnsi="Times New Roman" w:eastAsia="仿宋_GB2312" w:cs="Times New Roman"/>
          <w:sz w:val="24"/>
          <w:szCs w:val="24"/>
          <w:highlight w:val="none"/>
        </w:rPr>
        <w:t>hm²，</w:t>
      </w:r>
      <w:r>
        <w:rPr>
          <w:rFonts w:hint="default" w:ascii="Times New Roman" w:hAnsi="Times New Roman" w:eastAsia="仿宋_GB2312" w:cs="Times New Roman"/>
          <w:sz w:val="24"/>
          <w:szCs w:val="24"/>
          <w:highlight w:val="none"/>
          <w:lang w:val="en-US" w:eastAsia="zh-CN"/>
        </w:rPr>
        <w:t>设计水平面达标的</w:t>
      </w:r>
      <w:r>
        <w:rPr>
          <w:rFonts w:hint="default" w:ascii="Times New Roman" w:hAnsi="Times New Roman" w:eastAsia="仿宋_GB2312" w:cs="Times New Roman"/>
          <w:sz w:val="24"/>
          <w:szCs w:val="24"/>
          <w:highlight w:val="none"/>
        </w:rPr>
        <w:t>水土流失</w:t>
      </w:r>
      <w:r>
        <w:rPr>
          <w:rFonts w:hint="eastAsia" w:eastAsia="仿宋_GB2312" w:cs="Times New Roman"/>
          <w:sz w:val="24"/>
          <w:szCs w:val="24"/>
          <w:highlight w:val="none"/>
          <w:lang w:val="en-US" w:eastAsia="zh-CN"/>
        </w:rPr>
        <w:t>治理</w:t>
      </w:r>
      <w:r>
        <w:rPr>
          <w:rFonts w:hint="default" w:ascii="Times New Roman" w:hAnsi="Times New Roman" w:eastAsia="仿宋_GB2312" w:cs="Times New Roman"/>
          <w:sz w:val="24"/>
          <w:szCs w:val="24"/>
          <w:highlight w:val="none"/>
        </w:rPr>
        <w:t>面积为</w:t>
      </w:r>
      <w:r>
        <w:rPr>
          <w:rFonts w:hint="eastAsia" w:eastAsia="仿宋_GB2312" w:cs="Times New Roman"/>
          <w:sz w:val="24"/>
          <w:szCs w:val="24"/>
          <w:highlight w:val="none"/>
          <w:lang w:val="en-US" w:eastAsia="zh-CN"/>
        </w:rPr>
        <w:t>19.78</w:t>
      </w:r>
      <w:r>
        <w:rPr>
          <w:rFonts w:hint="default" w:ascii="Times New Roman" w:hAnsi="Times New Roman" w:eastAsia="仿宋_GB2312" w:cs="Times New Roman"/>
          <w:sz w:val="24"/>
          <w:szCs w:val="24"/>
          <w:highlight w:val="none"/>
        </w:rPr>
        <w:t>hm²</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highlight w:val="none"/>
        </w:rPr>
        <w:t>可恢复林草植被面积</w:t>
      </w:r>
      <w:r>
        <w:rPr>
          <w:rFonts w:hint="eastAsia" w:eastAsia="仿宋_GB2312" w:cs="Times New Roman"/>
          <w:sz w:val="24"/>
          <w:highlight w:val="none"/>
          <w:lang w:val="en-US" w:eastAsia="zh-CN"/>
        </w:rPr>
        <w:t>3.99</w:t>
      </w:r>
      <w:r>
        <w:rPr>
          <w:rFonts w:hint="default" w:ascii="Times New Roman" w:hAnsi="Times New Roman" w:eastAsia="仿宋_GB2312" w:cs="Times New Roman"/>
          <w:sz w:val="24"/>
          <w:highlight w:val="none"/>
        </w:rPr>
        <w:t>hm</w:t>
      </w:r>
      <w:r>
        <w:rPr>
          <w:rFonts w:hint="default" w:ascii="Times New Roman" w:hAnsi="Times New Roman" w:eastAsia="仿宋_GB2312" w:cs="Times New Roman"/>
          <w:sz w:val="24"/>
          <w:highlight w:val="none"/>
          <w:vertAlign w:val="superscript"/>
        </w:rPr>
        <w:t>2</w:t>
      </w:r>
      <w:r>
        <w:rPr>
          <w:rFonts w:hint="default" w:ascii="Times New Roman" w:hAnsi="Times New Roman" w:eastAsia="仿宋_GB2312" w:cs="Times New Roman"/>
          <w:sz w:val="24"/>
          <w:highlight w:val="none"/>
        </w:rPr>
        <w:t>，林草植被面积</w:t>
      </w:r>
      <w:r>
        <w:rPr>
          <w:rFonts w:hint="eastAsia" w:eastAsia="仿宋_GB2312" w:cs="Times New Roman"/>
          <w:sz w:val="24"/>
          <w:highlight w:val="none"/>
          <w:lang w:val="en-US" w:eastAsia="zh-CN"/>
        </w:rPr>
        <w:t>3.95</w:t>
      </w:r>
      <w:r>
        <w:rPr>
          <w:rFonts w:hint="default" w:ascii="Times New Roman" w:hAnsi="Times New Roman" w:eastAsia="仿宋_GB2312" w:cs="Times New Roman"/>
          <w:sz w:val="24"/>
          <w:highlight w:val="none"/>
        </w:rPr>
        <w:t>hm</w:t>
      </w:r>
      <w:r>
        <w:rPr>
          <w:rFonts w:hint="default" w:ascii="Times New Roman" w:hAnsi="Times New Roman" w:eastAsia="仿宋_GB2312" w:cs="Times New Roman"/>
          <w:sz w:val="24"/>
          <w:highlight w:val="none"/>
          <w:vertAlign w:val="superscript"/>
        </w:rPr>
        <w:t>2</w:t>
      </w:r>
      <w:r>
        <w:rPr>
          <w:rFonts w:hint="default" w:ascii="Times New Roman" w:hAnsi="Times New Roman" w:eastAsia="仿宋_GB2312" w:cs="Times New Roman"/>
          <w:sz w:val="24"/>
          <w:szCs w:val="24"/>
          <w:highlight w:val="none"/>
        </w:rPr>
        <w:t>。</w:t>
      </w:r>
      <w:r>
        <w:rPr>
          <w:rFonts w:hint="default" w:ascii="Times New Roman" w:hAnsi="Times New Roman" w:eastAsia="仿宋_GB2312" w:cs="Times New Roman"/>
          <w:sz w:val="24"/>
          <w:szCs w:val="24"/>
          <w:highlight w:val="none"/>
          <w:lang w:val="en-US" w:eastAsia="zh-CN"/>
        </w:rPr>
        <w:t>水土保持方案实施后，</w:t>
      </w:r>
      <w:r>
        <w:rPr>
          <w:rFonts w:hint="default" w:ascii="Times New Roman" w:hAnsi="Times New Roman" w:eastAsia="仿宋_GB2312" w:cs="Times New Roman"/>
          <w:sz w:val="24"/>
          <w:szCs w:val="24"/>
          <w:highlight w:val="none"/>
        </w:rPr>
        <w:t>减少水土流失量</w:t>
      </w:r>
      <w:r>
        <w:rPr>
          <w:rFonts w:hint="eastAsia" w:eastAsia="仿宋_GB2312" w:cs="Times New Roman"/>
          <w:sz w:val="24"/>
          <w:szCs w:val="24"/>
          <w:highlight w:val="none"/>
          <w:lang w:eastAsia="zh-CN"/>
        </w:rPr>
        <w:t>1101.10</w:t>
      </w:r>
      <w:r>
        <w:rPr>
          <w:rFonts w:hint="default" w:ascii="Times New Roman" w:hAnsi="Times New Roman" w:eastAsia="仿宋_GB2312" w:cs="Times New Roman"/>
          <w:sz w:val="24"/>
          <w:szCs w:val="24"/>
          <w:highlight w:val="none"/>
        </w:rPr>
        <w:t>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highlight w:val="none"/>
          <w:lang w:val="en-US" w:eastAsia="zh-CN"/>
        </w:rPr>
      </w:pPr>
      <w:r>
        <w:rPr>
          <w:rFonts w:hint="default" w:ascii="Times New Roman" w:hAnsi="Times New Roman" w:eastAsia="仿宋_GB2312" w:cs="Times New Roman"/>
          <w:sz w:val="24"/>
          <w:szCs w:val="24"/>
          <w:highlight w:val="none"/>
          <w:lang w:val="en-US" w:eastAsia="zh-CN"/>
        </w:rPr>
        <w:t>通过实施本方案，</w:t>
      </w:r>
      <w:r>
        <w:rPr>
          <w:rFonts w:hint="eastAsia" w:eastAsia="仿宋_GB2312" w:cs="Times New Roman"/>
          <w:sz w:val="24"/>
          <w:szCs w:val="24"/>
          <w:highlight w:val="none"/>
          <w:lang w:val="en-US" w:eastAsia="zh-CN"/>
        </w:rPr>
        <w:t>项目水土流失</w:t>
      </w:r>
      <w:r>
        <w:rPr>
          <w:rFonts w:hint="default" w:ascii="Times New Roman" w:hAnsi="Times New Roman" w:eastAsia="仿宋_GB2312" w:cs="Times New Roman"/>
          <w:sz w:val="24"/>
          <w:szCs w:val="24"/>
          <w:highlight w:val="none"/>
          <w:lang w:val="en-US" w:eastAsia="zh-CN"/>
        </w:rPr>
        <w:t>防治责任范围内水土流失治理度为99%；土壤流失</w:t>
      </w:r>
      <w:r>
        <w:rPr>
          <w:rFonts w:hint="default" w:ascii="Times New Roman" w:hAnsi="Times New Roman" w:eastAsia="仿宋_GB2312" w:cs="Times New Roman"/>
          <w:sz w:val="24"/>
          <w:szCs w:val="24"/>
          <w:highlight w:val="none"/>
          <w:lang w:val="en-US" w:eastAsia="zh-CN"/>
        </w:rPr>
        <mc:AlternateContent>
          <mc:Choice Requires="wps">
            <w:drawing>
              <wp:anchor distT="0" distB="0" distL="114300" distR="114300" simplePos="0" relativeHeight="251678720" behindDoc="0" locked="0" layoutInCell="0" allowOverlap="1">
                <wp:simplePos x="0" y="0"/>
                <wp:positionH relativeFrom="page">
                  <wp:posOffset>1141095</wp:posOffset>
                </wp:positionH>
                <wp:positionV relativeFrom="page">
                  <wp:posOffset>715010</wp:posOffset>
                </wp:positionV>
                <wp:extent cx="5278755" cy="9525"/>
                <wp:effectExtent l="0" t="0" r="0" b="0"/>
                <wp:wrapNone/>
                <wp:docPr id="77" name="任意多边形 815"/>
                <wp:cNvGraphicFramePr/>
                <a:graphic xmlns:a="http://schemas.openxmlformats.org/drawingml/2006/main">
                  <a:graphicData uri="http://schemas.microsoft.com/office/word/2010/wordprocessingShape">
                    <wps:wsp>
                      <wps:cNvSpPr/>
                      <wps:spPr>
                        <a:xfrm>
                          <a:off x="0" y="0"/>
                          <a:ext cx="5278755" cy="9525"/>
                        </a:xfrm>
                        <a:custGeom>
                          <a:avLst/>
                          <a:gdLst/>
                          <a:ahLst/>
                          <a:cxnLst/>
                          <a:pathLst>
                            <a:path w="8312" h="15">
                              <a:moveTo>
                                <a:pt x="0" y="0"/>
                              </a:moveTo>
                              <a:lnTo>
                                <a:pt x="8312" y="0"/>
                              </a:lnTo>
                              <a:lnTo>
                                <a:pt x="8312" y="14"/>
                              </a:lnTo>
                              <a:lnTo>
                                <a:pt x="0" y="14"/>
                              </a:lnTo>
                              <a:lnTo>
                                <a:pt x="0" y="0"/>
                              </a:lnTo>
                              <a:close/>
                            </a:path>
                          </a:pathLst>
                        </a:custGeom>
                        <a:solidFill>
                          <a:srgbClr val="000000"/>
                        </a:solidFill>
                        <a:ln>
                          <a:noFill/>
                        </a:ln>
                      </wps:spPr>
                      <wps:bodyPr wrap="square" upright="1"/>
                    </wps:wsp>
                  </a:graphicData>
                </a:graphic>
              </wp:anchor>
            </w:drawing>
          </mc:Choice>
          <mc:Fallback>
            <w:pict>
              <v:shape id="任意多边形 815" o:spid="_x0000_s1026" o:spt="100" style="position:absolute;left:0pt;margin-left:89.85pt;margin-top:56.3pt;height:0.75pt;width:415.65pt;mso-position-horizontal-relative:page;mso-position-vertical-relative:page;z-index:251678720;mso-width-relative:page;mso-height-relative:page;" fillcolor="#000000" filled="t" stroked="f" coordsize="8312,15" o:allowincell="f" o:gfxdata="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E95odkAAAAM&#10;AQAADwAAAAAAAAABACAAAAAiAAAAZHJzL2Rvd25yZXYueG1sUEsBAhQAFAAAAAgAh07iQD7IL6cb&#10;AgAAjAQAAA4AAAAAAAAAAQAgAAAAKAEAAGRycy9lMm9Eb2MueG1sUEsFBgAAAAAGAAYAWQEAALUF&#10;AAAAAA==&#10;" path="m0,0l8312,0,8312,14,0,14,0,0xe">
                <v:fill on="t" focussize="0,0"/>
                <v:stroke on="f"/>
                <v:imagedata o:title=""/>
                <o:lock v:ext="edit" aspectratio="f"/>
              </v:shape>
            </w:pict>
          </mc:Fallback>
        </mc:AlternateContent>
      </w:r>
      <w:r>
        <w:rPr>
          <w:rFonts w:hint="default" w:ascii="Times New Roman" w:hAnsi="Times New Roman" w:eastAsia="仿宋_GB2312" w:cs="Times New Roman"/>
          <w:sz w:val="24"/>
          <w:szCs w:val="24"/>
          <w:highlight w:val="none"/>
          <w:lang w:val="en-US" w:eastAsia="zh-CN"/>
        </w:rPr>
        <w:t>控制比为1.0；林草植被恢复率为98</w:t>
      </w:r>
      <w:r>
        <w:rPr>
          <w:rFonts w:hint="eastAsia" w:eastAsia="仿宋_GB2312" w:cs="Times New Roman"/>
          <w:sz w:val="24"/>
          <w:szCs w:val="24"/>
          <w:highlight w:val="none"/>
          <w:lang w:val="en-US" w:eastAsia="zh-CN"/>
        </w:rPr>
        <w:t>.57</w:t>
      </w:r>
      <w:r>
        <w:rPr>
          <w:rFonts w:hint="default" w:ascii="Times New Roman" w:hAnsi="Times New Roman" w:eastAsia="仿宋_GB2312" w:cs="Times New Roman"/>
          <w:sz w:val="24"/>
          <w:szCs w:val="24"/>
          <w:highlight w:val="none"/>
          <w:lang w:val="en-US" w:eastAsia="zh-CN"/>
        </w:rPr>
        <w:t>%；</w:t>
      </w:r>
      <w:r>
        <w:rPr>
          <w:rFonts w:hint="default" w:ascii="Times New Roman" w:hAnsi="Times New Roman" w:eastAsia="仿宋_GB2312" w:cs="Times New Roman"/>
          <w:sz w:val="24"/>
          <w:szCs w:val="28"/>
          <w:highlight w:val="none"/>
        </w:rPr>
        <w:t>渣土防护率达到</w:t>
      </w:r>
      <w:r>
        <w:rPr>
          <w:rFonts w:hint="default" w:ascii="Times New Roman" w:hAnsi="Times New Roman" w:eastAsia="仿宋_GB2312" w:cs="Times New Roman"/>
          <w:sz w:val="24"/>
          <w:szCs w:val="28"/>
          <w:highlight w:val="none"/>
          <w:lang w:val="en-US" w:eastAsia="zh-CN"/>
        </w:rPr>
        <w:t>98</w:t>
      </w:r>
      <w:r>
        <w:rPr>
          <w:rFonts w:hint="default" w:ascii="Times New Roman" w:hAnsi="Times New Roman" w:eastAsia="仿宋_GB2312" w:cs="Times New Roman"/>
          <w:sz w:val="24"/>
          <w:szCs w:val="28"/>
          <w:highlight w:val="none"/>
        </w:rPr>
        <w:t>%，</w:t>
      </w:r>
      <w:r>
        <w:rPr>
          <w:rFonts w:hint="default" w:ascii="Times New Roman" w:hAnsi="Times New Roman" w:eastAsia="仿宋_GB2312" w:cs="Times New Roman"/>
          <w:sz w:val="24"/>
          <w:szCs w:val="24"/>
          <w:highlight w:val="none"/>
          <w:lang w:val="en-US" w:eastAsia="zh-CN"/>
        </w:rPr>
        <w:t>林草覆盖率为19</w:t>
      </w:r>
      <w:r>
        <w:rPr>
          <w:rFonts w:hint="eastAsia" w:eastAsia="仿宋_GB2312" w:cs="Times New Roman"/>
          <w:sz w:val="24"/>
          <w:szCs w:val="24"/>
          <w:highlight w:val="none"/>
          <w:lang w:val="en-US" w:eastAsia="zh-CN"/>
        </w:rPr>
        <w:t>.77</w:t>
      </w:r>
      <w:r>
        <w:rPr>
          <w:rFonts w:hint="default" w:ascii="Times New Roman" w:hAnsi="Times New Roman" w:eastAsia="仿宋_GB2312" w:cs="Times New Roman"/>
          <w:sz w:val="24"/>
          <w:szCs w:val="24"/>
          <w:highlight w:val="none"/>
          <w:lang w:val="en-US" w:eastAsia="zh-CN"/>
        </w:rPr>
        <w:t>%</w:t>
      </w:r>
      <w:r>
        <w:rPr>
          <w:rFonts w:hint="eastAsia" w:eastAsia="仿宋_GB2312" w:cs="Times New Roman"/>
          <w:sz w:val="24"/>
          <w:szCs w:val="24"/>
          <w:highlight w:val="none"/>
          <w:lang w:val="en-US" w:eastAsia="zh-CN"/>
        </w:rPr>
        <w:t>，</w:t>
      </w:r>
      <w:r>
        <w:rPr>
          <w:rFonts w:hint="default" w:ascii="Times New Roman" w:hAnsi="Times New Roman" w:eastAsia="仿宋_GB2312" w:cs="Times New Roman"/>
          <w:sz w:val="24"/>
          <w:szCs w:val="24"/>
          <w:highlight w:val="none"/>
          <w:lang w:val="en-US" w:eastAsia="zh-CN"/>
        </w:rPr>
        <w:t>均达到防治目标的要求。</w:t>
      </w:r>
    </w:p>
    <w:p>
      <w:pPr>
        <w:pStyle w:val="5"/>
        <w:bidi w:val="0"/>
        <w:rPr>
          <w:rFonts w:hint="default" w:ascii="Times New Roman" w:hAnsi="Times New Roman" w:cs="Times New Roman"/>
        </w:rPr>
      </w:pPr>
      <w:bookmarkStart w:id="44" w:name="_Toc951"/>
      <w:r>
        <w:rPr>
          <w:rFonts w:hint="default" w:ascii="Times New Roman" w:hAnsi="Times New Roman" w:cs="Times New Roman"/>
        </w:rPr>
        <w:t>1.11结论</w:t>
      </w:r>
      <w:bookmarkEnd w:id="41"/>
      <w:bookmarkEnd w:id="42"/>
      <w:bookmarkEnd w:id="43"/>
      <w:bookmarkEnd w:id="44"/>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通过水土保持的分析论证，</w:t>
      </w:r>
      <w:r>
        <w:rPr>
          <w:rFonts w:hint="default" w:ascii="Times New Roman" w:hAnsi="Times New Roman" w:eastAsia="仿宋_GB2312" w:cs="Times New Roman"/>
          <w:sz w:val="24"/>
          <w:szCs w:val="24"/>
          <w:highlight w:val="none"/>
          <w:lang w:eastAsia="zh-CN"/>
        </w:rPr>
        <w:t>本期工程</w:t>
      </w:r>
      <w:r>
        <w:rPr>
          <w:rFonts w:hint="default" w:ascii="Times New Roman" w:hAnsi="Times New Roman" w:eastAsia="仿宋_GB2312" w:cs="Times New Roman"/>
          <w:sz w:val="24"/>
          <w:szCs w:val="24"/>
          <w:highlight w:val="none"/>
        </w:rPr>
        <w:t>在工程选址（线）、建设方案符合水土保持相关要求，建设和运行过程中建设单位实施一系列的水土保持措施后，能有效防止新增水土流失，实现项目区环境的恢复和改善。从水土保持角度分析，项目建设是可行的。工程建设过程中从水土保持的角度就工程设计、施工和建设管理提出如下要求：</w:t>
      </w:r>
    </w:p>
    <w:p>
      <w:pPr>
        <w:spacing w:line="360" w:lineRule="auto"/>
        <w:ind w:firstLine="482"/>
        <w:rPr>
          <w:rFonts w:hint="eastAsia" w:ascii="Times New Roman" w:hAnsi="Times New Roman" w:eastAsia="仿宋_GB2312" w:cs="Times New Roman"/>
          <w:bCs/>
          <w:sz w:val="24"/>
          <w:szCs w:val="24"/>
          <w:highlight w:val="none"/>
        </w:rPr>
      </w:pPr>
      <w:r>
        <w:rPr>
          <w:rFonts w:hint="default" w:ascii="Times New Roman" w:hAnsi="Times New Roman" w:eastAsia="仿宋_GB2312" w:cs="Times New Roman"/>
          <w:sz w:val="24"/>
          <w:szCs w:val="24"/>
          <w:highlight w:val="none"/>
        </w:rPr>
        <w:t>（1）</w:t>
      </w:r>
      <w:r>
        <w:rPr>
          <w:rFonts w:hint="eastAsia" w:ascii="Times New Roman" w:hAnsi="Times New Roman" w:eastAsia="仿宋_GB2312" w:cs="Times New Roman"/>
          <w:bCs/>
          <w:sz w:val="24"/>
          <w:szCs w:val="24"/>
          <w:highlight w:val="none"/>
        </w:rPr>
        <w:t>建设单位应当严格落实人为水土流失防治的主体责任，在项目建设中全面落实《中华人民共和国水土保持法》《中华人民共和国黑土地保护法》等规定要求，及时</w:t>
      </w:r>
      <w:r>
        <w:rPr>
          <w:rFonts w:hint="eastAsia" w:ascii="Times New Roman" w:hAnsi="Times New Roman" w:eastAsia="仿宋_GB2312" w:cs="Times New Roman"/>
          <w:bCs/>
          <w:sz w:val="24"/>
          <w:szCs w:val="24"/>
          <w:highlight w:val="none"/>
          <w:lang w:val="en-US" w:eastAsia="zh-CN"/>
        </w:rPr>
        <w:t>足额</w:t>
      </w:r>
      <w:r>
        <w:rPr>
          <w:rFonts w:hint="eastAsia" w:ascii="Times New Roman" w:hAnsi="Times New Roman" w:eastAsia="仿宋_GB2312" w:cs="Times New Roman"/>
          <w:bCs/>
          <w:sz w:val="24"/>
          <w:szCs w:val="24"/>
          <w:highlight w:val="none"/>
        </w:rPr>
        <w:t>缴纳水土保持补偿费</w:t>
      </w:r>
      <w:r>
        <w:rPr>
          <w:rFonts w:hint="eastAsia" w:ascii="Times New Roman" w:hAnsi="Times New Roman" w:eastAsia="仿宋_GB2312" w:cs="Times New Roman"/>
          <w:bCs/>
          <w:sz w:val="24"/>
          <w:szCs w:val="24"/>
          <w:highlight w:val="none"/>
          <w:lang w:eastAsia="zh-CN"/>
        </w:rPr>
        <w:t>，</w:t>
      </w:r>
      <w:r>
        <w:rPr>
          <w:rFonts w:hint="eastAsia" w:ascii="Times New Roman" w:hAnsi="Times New Roman" w:eastAsia="仿宋_GB2312" w:cs="Times New Roman"/>
          <w:bCs/>
          <w:sz w:val="24"/>
          <w:szCs w:val="24"/>
          <w:highlight w:val="none"/>
          <w:lang w:val="en-US" w:eastAsia="zh-CN"/>
        </w:rPr>
        <w:t>切实加强全过程水土保持管理，认真做好水土保持相关工作</w:t>
      </w:r>
      <w:r>
        <w:rPr>
          <w:rFonts w:hint="eastAsia" w:ascii="Times New Roman" w:hAnsi="Times New Roman" w:eastAsia="仿宋_GB2312" w:cs="Times New Roman"/>
          <w:bCs/>
          <w:sz w:val="24"/>
          <w:szCs w:val="24"/>
          <w:highlight w:val="none"/>
          <w:lang w:eastAsia="zh-CN"/>
        </w:rPr>
        <w:t>。</w:t>
      </w:r>
      <w:r>
        <w:rPr>
          <w:rFonts w:hint="eastAsia" w:ascii="Times New Roman" w:hAnsi="Times New Roman" w:eastAsia="仿宋_GB2312" w:cs="Times New Roman"/>
          <w:bCs/>
          <w:sz w:val="24"/>
          <w:szCs w:val="24"/>
          <w:highlight w:val="none"/>
          <w:lang w:val="en-US" w:eastAsia="zh-CN"/>
        </w:rPr>
        <w:t>建设单位在</w:t>
      </w:r>
      <w:r>
        <w:rPr>
          <w:rFonts w:hint="eastAsia" w:ascii="Times New Roman" w:hAnsi="Times New Roman" w:eastAsia="仿宋_GB2312" w:cs="Times New Roman"/>
          <w:bCs/>
          <w:sz w:val="24"/>
          <w:szCs w:val="24"/>
          <w:highlight w:val="none"/>
        </w:rPr>
        <w:t>依据方案落实各项水土保持措施的同时，</w:t>
      </w:r>
      <w:r>
        <w:rPr>
          <w:rFonts w:hint="eastAsia" w:ascii="Times New Roman" w:hAnsi="Times New Roman" w:eastAsia="仿宋_GB2312" w:cs="Times New Roman"/>
          <w:bCs/>
          <w:sz w:val="24"/>
          <w:szCs w:val="24"/>
          <w:highlight w:val="none"/>
          <w:lang w:val="en-US" w:eastAsia="zh-CN"/>
        </w:rPr>
        <w:t>还应</w:t>
      </w:r>
      <w:r>
        <w:rPr>
          <w:rFonts w:hint="eastAsia" w:ascii="Times New Roman" w:hAnsi="Times New Roman" w:eastAsia="仿宋_GB2312" w:cs="Times New Roman"/>
          <w:bCs/>
          <w:sz w:val="24"/>
          <w:szCs w:val="24"/>
          <w:highlight w:val="none"/>
        </w:rPr>
        <w:t>在相关</w:t>
      </w:r>
      <w:r>
        <w:rPr>
          <w:rFonts w:hint="eastAsia" w:ascii="Times New Roman" w:hAnsi="Times New Roman" w:eastAsia="仿宋_GB2312" w:cs="Times New Roman"/>
          <w:bCs/>
          <w:sz w:val="24"/>
          <w:szCs w:val="24"/>
          <w:highlight w:val="none"/>
          <w:lang w:val="en-US" w:eastAsia="zh-CN"/>
        </w:rPr>
        <w:t>行政</w:t>
      </w:r>
      <w:r>
        <w:rPr>
          <w:rFonts w:hint="eastAsia" w:ascii="Times New Roman" w:hAnsi="Times New Roman" w:eastAsia="仿宋_GB2312" w:cs="Times New Roman"/>
          <w:bCs/>
          <w:sz w:val="24"/>
          <w:szCs w:val="24"/>
          <w:highlight w:val="none"/>
        </w:rPr>
        <w:t>部门的监督指导下，按其批准的耕作层土壤剥离实施方案、表土剥离实施方案、土地复垦方案及批复意见，</w:t>
      </w:r>
      <w:r>
        <w:rPr>
          <w:rFonts w:hint="eastAsia" w:ascii="Times New Roman" w:hAnsi="Times New Roman" w:eastAsia="仿宋_GB2312" w:cs="Times New Roman"/>
          <w:bCs/>
          <w:sz w:val="24"/>
          <w:szCs w:val="24"/>
          <w:highlight w:val="none"/>
          <w:lang w:val="en-US" w:eastAsia="zh-CN"/>
        </w:rPr>
        <w:t>切实</w:t>
      </w:r>
      <w:r>
        <w:rPr>
          <w:rFonts w:hint="eastAsia" w:ascii="Times New Roman" w:hAnsi="Times New Roman" w:eastAsia="仿宋_GB2312" w:cs="Times New Roman"/>
          <w:bCs/>
          <w:sz w:val="24"/>
          <w:szCs w:val="24"/>
          <w:highlight w:val="none"/>
        </w:rPr>
        <w:t>做好表土剥离、黑土地保护利用等相关工作，最大限度减少可能造成的水土流失。</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eastAsia" w:eastAsia="仿宋_GB2312" w:cs="Times New Roman"/>
          <w:sz w:val="24"/>
          <w:szCs w:val="24"/>
          <w:highlight w:val="none"/>
          <w:lang w:eastAsia="zh-CN"/>
        </w:rPr>
        <w:t>（</w:t>
      </w:r>
      <w:r>
        <w:rPr>
          <w:rFonts w:hint="eastAsia" w:eastAsia="仿宋_GB2312" w:cs="Times New Roman"/>
          <w:sz w:val="24"/>
          <w:szCs w:val="24"/>
          <w:highlight w:val="none"/>
          <w:lang w:val="en-US" w:eastAsia="zh-CN"/>
        </w:rPr>
        <w:t>2</w:t>
      </w:r>
      <w:r>
        <w:rPr>
          <w:rFonts w:hint="eastAsia"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rPr>
        <w:t>按照本方案对主体工程的水土保持分析评价，优化占地，完善施工组织设计内容</w:t>
      </w:r>
      <w:r>
        <w:rPr>
          <w:rFonts w:hint="eastAsia" w:eastAsia="仿宋_GB2312" w:cs="Times New Roman"/>
          <w:sz w:val="24"/>
          <w:szCs w:val="24"/>
          <w:highlight w:val="none"/>
          <w:lang w:eastAsia="zh-CN"/>
        </w:rPr>
        <w:t>；</w:t>
      </w:r>
      <w:r>
        <w:rPr>
          <w:rFonts w:eastAsia="仿宋_GB2312"/>
          <w:bCs/>
          <w:sz w:val="24"/>
          <w:szCs w:val="24"/>
          <w:highlight w:val="none"/>
        </w:rPr>
        <w:t>在下一阶段应按照</w:t>
      </w:r>
      <w:r>
        <w:rPr>
          <w:rFonts w:hint="eastAsia" w:eastAsia="仿宋_GB2312"/>
          <w:bCs/>
          <w:sz w:val="24"/>
          <w:szCs w:val="24"/>
          <w:highlight w:val="none"/>
          <w:lang w:val="en-US" w:eastAsia="zh-CN"/>
        </w:rPr>
        <w:t>经批准的</w:t>
      </w:r>
      <w:r>
        <w:rPr>
          <w:rFonts w:eastAsia="仿宋_GB2312"/>
          <w:bCs/>
          <w:sz w:val="24"/>
          <w:szCs w:val="24"/>
          <w:highlight w:val="none"/>
        </w:rPr>
        <w:t>方案提出的水</w:t>
      </w:r>
      <w:r>
        <w:rPr>
          <w:rFonts w:eastAsia="仿宋_GB2312"/>
          <w:bCs/>
          <w:sz w:val="24"/>
          <w:szCs w:val="24"/>
        </w:rPr>
        <w:t>土保持措施及有关水土保持工程设计技术要求，结合项目</w:t>
      </w:r>
      <w:r>
        <w:rPr>
          <w:rFonts w:hint="eastAsia" w:eastAsia="仿宋_GB2312"/>
          <w:bCs/>
          <w:sz w:val="24"/>
          <w:szCs w:val="24"/>
          <w:lang w:val="en-US" w:eastAsia="zh-CN"/>
        </w:rPr>
        <w:t>实际</w:t>
      </w:r>
      <w:r>
        <w:rPr>
          <w:rFonts w:hint="eastAsia" w:eastAsia="仿宋_GB2312"/>
          <w:bCs/>
          <w:sz w:val="24"/>
          <w:szCs w:val="24"/>
        </w:rPr>
        <w:t>及时组织开展</w:t>
      </w:r>
      <w:r>
        <w:rPr>
          <w:rFonts w:eastAsia="仿宋_GB2312"/>
          <w:bCs/>
          <w:sz w:val="24"/>
          <w:szCs w:val="24"/>
        </w:rPr>
        <w:t>水土保持后续设计</w:t>
      </w:r>
      <w:r>
        <w:rPr>
          <w:rFonts w:hint="eastAsia" w:eastAsia="仿宋_GB2312"/>
          <w:bCs/>
          <w:sz w:val="24"/>
          <w:szCs w:val="24"/>
          <w:lang w:val="en-US" w:eastAsia="zh-CN"/>
        </w:rPr>
        <w:t>按规定履行报备手续</w:t>
      </w:r>
      <w:r>
        <w:rPr>
          <w:rFonts w:eastAsia="仿宋_GB2312"/>
          <w:bCs/>
          <w:sz w:val="24"/>
          <w:szCs w:val="24"/>
        </w:rPr>
        <w:t>，切实把本方案提出的各项水土保持措施落到实处</w:t>
      </w:r>
      <w:r>
        <w:rPr>
          <w:rFonts w:hint="eastAsia" w:eastAsia="仿宋_GB2312"/>
          <w:bCs/>
          <w:sz w:val="24"/>
          <w:szCs w:val="24"/>
          <w:lang w:eastAsia="zh-CN"/>
        </w:rPr>
        <w:t>；</w:t>
      </w:r>
      <w:r>
        <w:rPr>
          <w:rFonts w:hint="default" w:ascii="Times New Roman" w:hAnsi="Times New Roman" w:eastAsia="仿宋_GB2312" w:cs="Times New Roman"/>
          <w:sz w:val="24"/>
          <w:szCs w:val="24"/>
        </w:rPr>
        <w:t>把水土保持方案投资纳入主体工程下阶段设计中，确保水土保持投资落到实处。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r>
        <w:rPr>
          <w:rFonts w:hint="eastAsia" w:eastAsia="仿宋_GB2312" w:cs="Times New Roman"/>
          <w:sz w:val="24"/>
          <w:szCs w:val="24"/>
          <w:lang w:val="en-US" w:eastAsia="zh-CN"/>
        </w:rPr>
        <w:t>3</w:t>
      </w:r>
      <w:r>
        <w:rPr>
          <w:rFonts w:hint="default" w:ascii="Times New Roman" w:hAnsi="Times New Roman" w:eastAsia="仿宋_GB2312" w:cs="Times New Roman"/>
          <w:sz w:val="24"/>
          <w:szCs w:val="24"/>
        </w:rPr>
        <w:t>）工程建设过程中要落实</w:t>
      </w:r>
      <w:r>
        <w:rPr>
          <w:rFonts w:hint="eastAsia" w:eastAsia="仿宋_GB2312" w:cs="Times New Roman"/>
          <w:sz w:val="24"/>
          <w:szCs w:val="24"/>
          <w:lang w:val="en-US" w:eastAsia="zh-CN"/>
        </w:rPr>
        <w:t>好</w:t>
      </w:r>
      <w:r>
        <w:rPr>
          <w:rFonts w:hint="default" w:ascii="Times New Roman" w:hAnsi="Times New Roman" w:eastAsia="仿宋_GB2312" w:cs="Times New Roman"/>
          <w:sz w:val="24"/>
          <w:szCs w:val="24"/>
        </w:rPr>
        <w:t>水土保持方案和下阶段设计的各项防治措施</w:t>
      </w:r>
      <w:r>
        <w:rPr>
          <w:rFonts w:hint="eastAsia" w:eastAsia="仿宋_GB2312" w:cs="Times New Roman"/>
          <w:sz w:val="24"/>
          <w:szCs w:val="24"/>
          <w:lang w:eastAsia="zh-CN"/>
        </w:rPr>
        <w:t>，</w:t>
      </w:r>
      <w:r>
        <w:rPr>
          <w:rFonts w:hint="eastAsia" w:eastAsia="仿宋_GB2312" w:cs="Times New Roman"/>
          <w:sz w:val="24"/>
          <w:szCs w:val="24"/>
          <w:lang w:val="en-US" w:eastAsia="zh-CN"/>
        </w:rPr>
        <w:t>进一步</w:t>
      </w:r>
      <w:r>
        <w:rPr>
          <w:rFonts w:hint="default" w:ascii="Times New Roman" w:hAnsi="Times New Roman" w:eastAsia="仿宋_GB2312" w:cs="Times New Roman"/>
          <w:sz w:val="24"/>
          <w:szCs w:val="24"/>
        </w:rPr>
        <w:t>优化施工工艺和时序，提高水土资源利用效率，减少地表扰动和植被损坏，及时采取水土保持措施，有效控制可能造成的水土流失。</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r>
        <w:rPr>
          <w:rFonts w:hint="eastAsia" w:eastAsia="仿宋_GB2312" w:cs="Times New Roman"/>
          <w:sz w:val="24"/>
          <w:szCs w:val="24"/>
          <w:lang w:val="en-US" w:eastAsia="zh-CN"/>
        </w:rPr>
        <w:t>4</w:t>
      </w:r>
      <w:r>
        <w:rPr>
          <w:rFonts w:hint="default" w:ascii="Times New Roman" w:hAnsi="Times New Roman" w:eastAsia="仿宋_GB2312" w:cs="Times New Roman"/>
          <w:sz w:val="24"/>
          <w:szCs w:val="24"/>
        </w:rPr>
        <w:t>）施工单位要严格按照招标合同和水土保持方案的要求，</w:t>
      </w:r>
      <w:r>
        <w:rPr>
          <w:rFonts w:hint="eastAsia" w:ascii="仿宋_GB2312" w:hAnsi="仿宋_GB2312" w:eastAsia="仿宋_GB2312" w:cs="仿宋_GB2312"/>
          <w:bCs/>
        </w:rPr>
        <w:t>规范施工行为，严格控制施工扰动范围</w:t>
      </w:r>
      <w:r>
        <w:rPr>
          <w:rFonts w:hint="eastAsia" w:ascii="仿宋_GB2312" w:hAnsi="仿宋_GB2312" w:eastAsia="仿宋_GB2312" w:cs="仿宋_GB2312"/>
        </w:rPr>
        <w:t>，</w:t>
      </w:r>
      <w:r>
        <w:rPr>
          <w:rFonts w:hint="default" w:ascii="Times New Roman" w:hAnsi="Times New Roman" w:eastAsia="仿宋_GB2312" w:cs="Times New Roman"/>
          <w:sz w:val="24"/>
          <w:szCs w:val="24"/>
        </w:rPr>
        <w:t>不得增大水土流失防治责任范围；要认真贯彻执行“先拦后弃”的原则；按照方案的要求做好各项临时防护措施，尽量避开雨天施工，确实无法避开的应采取有效措施控制水土流失。</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lang w:eastAsia="zh-CN"/>
        </w:rPr>
      </w:pPr>
      <w:r>
        <w:rPr>
          <w:rFonts w:hint="default" w:ascii="Times New Roman" w:hAnsi="Times New Roman" w:eastAsia="仿宋_GB2312" w:cs="Times New Roman"/>
          <w:sz w:val="24"/>
          <w:szCs w:val="24"/>
        </w:rPr>
        <w:t>（</w:t>
      </w:r>
      <w:r>
        <w:rPr>
          <w:rFonts w:hint="eastAsia" w:eastAsia="仿宋_GB2312" w:cs="Times New Roman"/>
          <w:sz w:val="24"/>
          <w:szCs w:val="24"/>
          <w:lang w:val="en-US" w:eastAsia="zh-CN"/>
        </w:rPr>
        <w:t>5</w:t>
      </w:r>
      <w:r>
        <w:rPr>
          <w:rFonts w:hint="default" w:ascii="Times New Roman" w:hAnsi="Times New Roman" w:eastAsia="仿宋_GB2312" w:cs="Times New Roman"/>
          <w:sz w:val="24"/>
          <w:szCs w:val="24"/>
        </w:rPr>
        <w:t>）</w:t>
      </w:r>
      <w:r>
        <w:rPr>
          <w:rFonts w:hint="eastAsia" w:eastAsia="仿宋_GB2312" w:cs="Times New Roman"/>
          <w:sz w:val="24"/>
          <w:szCs w:val="24"/>
          <w:lang w:val="en-US" w:eastAsia="zh-CN"/>
        </w:rPr>
        <w:t>坚持落实好水土保持“三同时”制度，水土保持</w:t>
      </w:r>
      <w:r>
        <w:rPr>
          <w:rFonts w:hint="default" w:ascii="Times New Roman" w:hAnsi="Times New Roman" w:eastAsia="仿宋_GB2312" w:cs="Times New Roman"/>
          <w:sz w:val="24"/>
          <w:szCs w:val="24"/>
        </w:rPr>
        <w:t>监理和监测单位要严格按照</w:t>
      </w:r>
      <w:r>
        <w:rPr>
          <w:rFonts w:hint="eastAsia" w:eastAsia="仿宋_GB2312" w:cs="Times New Roman"/>
          <w:sz w:val="24"/>
          <w:szCs w:val="24"/>
          <w:lang w:val="en-US" w:eastAsia="zh-CN"/>
        </w:rPr>
        <w:t>规定开展</w:t>
      </w:r>
      <w:r>
        <w:rPr>
          <w:rFonts w:hint="default" w:ascii="Times New Roman" w:hAnsi="Times New Roman" w:eastAsia="仿宋_GB2312" w:cs="Times New Roman"/>
          <w:sz w:val="24"/>
          <w:szCs w:val="24"/>
        </w:rPr>
        <w:t>监理和监测工作，保障</w:t>
      </w:r>
      <w:r>
        <w:rPr>
          <w:rFonts w:hint="default" w:ascii="Times New Roman" w:hAnsi="Times New Roman" w:eastAsia="仿宋_GB2312" w:cs="Times New Roman"/>
          <w:sz w:val="24"/>
          <w:szCs w:val="24"/>
          <w:lang w:eastAsia="zh-CN"/>
        </w:rPr>
        <w:t>本期工程</w:t>
      </w:r>
      <w:r>
        <w:rPr>
          <w:rFonts w:hint="default" w:ascii="Times New Roman" w:hAnsi="Times New Roman" w:eastAsia="仿宋_GB2312" w:cs="Times New Roman"/>
          <w:sz w:val="24"/>
          <w:szCs w:val="24"/>
        </w:rPr>
        <w:t>水土保持措施的顺利实施</w:t>
      </w:r>
      <w:r>
        <w:rPr>
          <w:rFonts w:hint="eastAsia" w:ascii="Times New Roman" w:hAnsi="Times New Roman" w:eastAsia="仿宋_GB2312" w:cs="Times New Roman"/>
          <w:sz w:val="24"/>
          <w:szCs w:val="24"/>
          <w:lang w:eastAsia="zh-CN"/>
        </w:rPr>
        <w:t>，</w:t>
      </w:r>
      <w:r>
        <w:rPr>
          <w:rFonts w:hint="eastAsia" w:ascii="Times New Roman" w:hAnsi="Times New Roman" w:eastAsia="仿宋_GB2312" w:cs="Times New Roman"/>
          <w:sz w:val="24"/>
          <w:szCs w:val="24"/>
          <w:lang w:val="en-US" w:eastAsia="zh-CN"/>
        </w:rPr>
        <w:t>要严格</w:t>
      </w:r>
      <w:r>
        <w:rPr>
          <w:rFonts w:hint="default" w:ascii="Times New Roman" w:hAnsi="Times New Roman" w:eastAsia="仿宋_GB2312" w:cs="Times New Roman"/>
          <w:sz w:val="24"/>
        </w:rPr>
        <w:t>遵守信用管理规定，分别对其技术成果负责并承担相应责任</w:t>
      </w:r>
      <w:r>
        <w:rPr>
          <w:rFonts w:hint="default" w:ascii="Times New Roman" w:hAnsi="Times New Roman" w:eastAsia="仿宋_GB2312" w:cs="Times New Roman"/>
          <w:sz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w:t>
      </w:r>
      <w:r>
        <w:rPr>
          <w:rFonts w:hint="eastAsia" w:eastAsia="仿宋_GB2312" w:cs="Times New Roman"/>
          <w:sz w:val="24"/>
          <w:szCs w:val="24"/>
          <w:highlight w:val="none"/>
          <w:lang w:val="en-US" w:eastAsia="zh-CN"/>
        </w:rPr>
        <w:t>6</w:t>
      </w:r>
      <w:r>
        <w:rPr>
          <w:rFonts w:hint="default" w:ascii="Times New Roman" w:hAnsi="Times New Roman" w:eastAsia="仿宋_GB2312" w:cs="Times New Roman"/>
          <w:sz w:val="24"/>
          <w:szCs w:val="24"/>
          <w:highlight w:val="none"/>
        </w:rPr>
        <w:t>）工程建成完工后，须开展水土保持设施的验收工作，验收的内容、程序等按《水利部关于加强事中事后监管规范生产建设项目水土保持设施自主验收的通知》（水保〔2017〕365号）和《水利部关于印发生产建设项目水土保持设施自主验收规程（试行）的通知》（办水保〔2018〕133号）要求，水土保持设施验收合格手续作为生产建设项目竣工验收的重要依据之一。根据相关法律法规，对验收不合格的项目，主体工程不得投入运行。建设单位应在水土保持设施验收合格后，及时在其官方网站或者其他公众知悉的网站公示水土保持设施验收材料，公示时间不得少于</w:t>
      </w:r>
      <w:r>
        <w:rPr>
          <w:rFonts w:hint="eastAsia" w:eastAsia="仿宋_GB2312" w:cs="Times New Roman"/>
          <w:sz w:val="24"/>
          <w:szCs w:val="24"/>
          <w:highlight w:val="none"/>
          <w:lang w:val="en-US" w:eastAsia="zh-CN"/>
        </w:rPr>
        <w:t>20</w:t>
      </w:r>
      <w:r>
        <w:rPr>
          <w:rFonts w:hint="default" w:ascii="Times New Roman" w:hAnsi="Times New Roman" w:eastAsia="仿宋_GB2312" w:cs="Times New Roman"/>
          <w:sz w:val="24"/>
          <w:szCs w:val="24"/>
          <w:highlight w:val="none"/>
        </w:rPr>
        <w:t>个工作日。</w:t>
      </w:r>
    </w:p>
    <w:p>
      <w:pPr>
        <w:pStyle w:val="86"/>
        <w:rPr>
          <w:rFonts w:hint="default"/>
          <w:highlight w:val="none"/>
        </w:rPr>
      </w:pPr>
      <w:r>
        <w:rPr>
          <w:rFonts w:hint="eastAsia" w:ascii="Times New Roman" w:hAnsi="Times New Roman" w:eastAsia="仿宋_GB2312" w:cs="Times New Roman"/>
          <w:bCs/>
          <w:sz w:val="24"/>
          <w:szCs w:val="24"/>
          <w:highlight w:val="none"/>
        </w:rPr>
        <w:t>在项目主体工程完工后，</w:t>
      </w:r>
      <w:r>
        <w:rPr>
          <w:rFonts w:hint="eastAsia" w:ascii="Times New Roman" w:hAnsi="Times New Roman" w:eastAsia="仿宋_GB2312" w:cs="Times New Roman"/>
          <w:bCs/>
          <w:sz w:val="24"/>
          <w:szCs w:val="24"/>
          <w:highlight w:val="none"/>
          <w:lang w:val="en-US" w:eastAsia="zh-CN"/>
        </w:rPr>
        <w:t>应当在项目投产使用或者竣工验收前，自主开展水土保持</w:t>
      </w:r>
      <w:r>
        <w:rPr>
          <w:rFonts w:hint="eastAsia" w:ascii="Times New Roman" w:hAnsi="Times New Roman" w:eastAsia="仿宋_GB2312" w:cs="Times New Roman"/>
          <w:bCs/>
          <w:sz w:val="24"/>
          <w:szCs w:val="24"/>
          <w:highlight w:val="none"/>
        </w:rPr>
        <w:t>设施自主验收，</w:t>
      </w:r>
      <w:r>
        <w:rPr>
          <w:rFonts w:hint="eastAsia" w:ascii="Times New Roman" w:hAnsi="Times New Roman" w:eastAsia="仿宋_GB2312" w:cs="Times New Roman"/>
          <w:bCs/>
          <w:sz w:val="24"/>
          <w:szCs w:val="24"/>
          <w:highlight w:val="none"/>
          <w:lang w:val="en-US" w:eastAsia="zh-CN"/>
        </w:rPr>
        <w:t>按规定完成报备，</w:t>
      </w:r>
      <w:r>
        <w:rPr>
          <w:rFonts w:hint="eastAsia" w:ascii="Times New Roman" w:hAnsi="Times New Roman" w:eastAsia="仿宋_GB2312" w:cs="Times New Roman"/>
          <w:bCs/>
          <w:sz w:val="24"/>
          <w:szCs w:val="24"/>
          <w:highlight w:val="none"/>
        </w:rPr>
        <w:t>向</w:t>
      </w:r>
      <w:r>
        <w:rPr>
          <w:rFonts w:hint="eastAsia" w:ascii="Times New Roman" w:hAnsi="Times New Roman" w:eastAsia="仿宋_GB2312" w:cs="Times New Roman"/>
          <w:bCs/>
          <w:sz w:val="24"/>
          <w:szCs w:val="24"/>
          <w:highlight w:val="none"/>
          <w:lang w:val="en-US" w:eastAsia="zh-CN"/>
        </w:rPr>
        <w:t>水行政主管部门履行</w:t>
      </w:r>
      <w:r>
        <w:rPr>
          <w:rFonts w:hint="eastAsia" w:ascii="Times New Roman" w:hAnsi="Times New Roman" w:eastAsia="仿宋_GB2312" w:cs="Times New Roman"/>
          <w:bCs/>
          <w:sz w:val="24"/>
          <w:szCs w:val="24"/>
          <w:highlight w:val="none"/>
        </w:rPr>
        <w:t>报备</w:t>
      </w:r>
      <w:r>
        <w:rPr>
          <w:rFonts w:hint="eastAsia" w:ascii="Times New Roman" w:hAnsi="Times New Roman" w:eastAsia="仿宋_GB2312" w:cs="Times New Roman"/>
          <w:bCs/>
          <w:sz w:val="24"/>
          <w:szCs w:val="24"/>
          <w:highlight w:val="none"/>
          <w:lang w:val="en-US" w:eastAsia="zh-CN"/>
        </w:rPr>
        <w:t>手续并取得回执</w:t>
      </w:r>
      <w:r>
        <w:rPr>
          <w:rFonts w:hint="eastAsia" w:ascii="Times New Roman" w:hAnsi="Times New Roman" w:eastAsia="仿宋_GB2312" w:cs="Times New Roman"/>
          <w:bCs/>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r>
        <w:rPr>
          <w:rFonts w:hint="eastAsia" w:eastAsia="仿宋_GB2312" w:cs="Times New Roman"/>
          <w:sz w:val="24"/>
          <w:szCs w:val="24"/>
          <w:lang w:val="en-US" w:eastAsia="zh-CN"/>
        </w:rPr>
        <w:t>7</w:t>
      </w:r>
      <w:r>
        <w:rPr>
          <w:rFonts w:hint="default" w:ascii="Times New Roman" w:hAnsi="Times New Roman" w:eastAsia="仿宋_GB2312" w:cs="Times New Roman"/>
          <w:sz w:val="24"/>
          <w:szCs w:val="24"/>
        </w:rPr>
        <w:t>）根据</w:t>
      </w:r>
      <w:r>
        <w:rPr>
          <w:rFonts w:hint="default" w:ascii="Times New Roman" w:hAnsi="Times New Roman" w:eastAsia="仿宋_GB2312" w:cs="Times New Roman"/>
          <w:snapToGrid w:val="0"/>
          <w:color w:val="auto"/>
          <w:sz w:val="24"/>
          <w:szCs w:val="24"/>
        </w:rPr>
        <w:t>《生产建设项目水土保持方案管理办法》（水利部令第53号）</w:t>
      </w:r>
      <w:r>
        <w:rPr>
          <w:rFonts w:hint="default" w:ascii="Times New Roman" w:hAnsi="Times New Roman" w:eastAsia="仿宋_GB2312" w:cs="Times New Roman"/>
          <w:sz w:val="24"/>
          <w:szCs w:val="24"/>
        </w:rPr>
        <w:t>，水土保持方案经批准后，当生产建设项目地点、规模发生重大变化，或项目水土保持方案有关内容发生较大变化时，</w:t>
      </w:r>
      <w:r>
        <w:rPr>
          <w:rFonts w:hint="eastAsia" w:eastAsia="仿宋_GB2312" w:cs="Times New Roman"/>
          <w:sz w:val="24"/>
          <w:szCs w:val="24"/>
          <w:lang w:val="en-US" w:eastAsia="zh-CN"/>
        </w:rPr>
        <w:t>应当编制水土保持方案变更，并</w:t>
      </w:r>
      <w:r>
        <w:rPr>
          <w:rFonts w:hint="default" w:ascii="Times New Roman" w:hAnsi="Times New Roman" w:eastAsia="仿宋_GB2312" w:cs="Times New Roman"/>
          <w:sz w:val="24"/>
          <w:szCs w:val="24"/>
        </w:rPr>
        <w:t>及时</w:t>
      </w:r>
      <w:r>
        <w:rPr>
          <w:rFonts w:hint="eastAsia" w:eastAsia="仿宋_GB2312" w:cs="Times New Roman"/>
          <w:sz w:val="24"/>
          <w:szCs w:val="24"/>
          <w:lang w:val="en-US" w:eastAsia="zh-CN"/>
        </w:rPr>
        <w:t>报</w:t>
      </w:r>
      <w:r>
        <w:rPr>
          <w:rFonts w:hint="default" w:ascii="Times New Roman" w:hAnsi="Times New Roman" w:eastAsia="仿宋_GB2312" w:cs="Times New Roman"/>
          <w:sz w:val="24"/>
          <w:szCs w:val="24"/>
        </w:rPr>
        <w:t>原</w:t>
      </w:r>
      <w:r>
        <w:rPr>
          <w:rFonts w:hint="eastAsia" w:eastAsia="仿宋_GB2312" w:cs="Times New Roman"/>
          <w:sz w:val="24"/>
          <w:szCs w:val="24"/>
          <w:lang w:val="en-US" w:eastAsia="zh-CN"/>
        </w:rPr>
        <w:t>方案</w:t>
      </w:r>
      <w:r>
        <w:rPr>
          <w:rFonts w:hint="default" w:ascii="Times New Roman" w:hAnsi="Times New Roman" w:eastAsia="仿宋_GB2312" w:cs="Times New Roman"/>
          <w:sz w:val="24"/>
          <w:szCs w:val="24"/>
        </w:rPr>
        <w:t>审批部门</w:t>
      </w:r>
      <w:r>
        <w:rPr>
          <w:rFonts w:hint="eastAsia" w:eastAsia="仿宋_GB2312" w:cs="Times New Roman"/>
          <w:sz w:val="24"/>
          <w:szCs w:val="24"/>
          <w:lang w:val="en-US" w:eastAsia="zh-CN"/>
        </w:rPr>
        <w:t>审批</w:t>
      </w:r>
      <w:r>
        <w:rPr>
          <w:rFonts w:hint="default" w:ascii="Times New Roman" w:hAnsi="Times New Roman" w:eastAsia="仿宋_GB2312"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rPr>
      </w:pPr>
      <w:r>
        <w:rPr>
          <w:rFonts w:hint="default" w:ascii="Times New Roman" w:hAnsi="Times New Roman" w:eastAsia="仿宋_GB2312" w:cs="Times New Roman"/>
          <w:sz w:val="24"/>
          <w:szCs w:val="24"/>
          <w:lang w:eastAsia="zh-CN"/>
        </w:rPr>
        <w:t>（</w:t>
      </w:r>
      <w:r>
        <w:rPr>
          <w:rFonts w:hint="eastAsia" w:eastAsia="仿宋_GB2312" w:cs="Times New Roman"/>
          <w:sz w:val="24"/>
          <w:szCs w:val="24"/>
          <w:lang w:val="en-US" w:eastAsia="zh-CN"/>
        </w:rPr>
        <w:t>8</w:t>
      </w:r>
      <w:r>
        <w:rPr>
          <w:rFonts w:hint="default" w:ascii="Times New Roman" w:hAnsi="Times New Roman" w:eastAsia="仿宋_GB2312" w:cs="Times New Roman"/>
          <w:sz w:val="24"/>
          <w:szCs w:val="24"/>
          <w:lang w:eastAsia="zh-CN"/>
        </w:rPr>
        <w:t>）</w:t>
      </w:r>
      <w:r>
        <w:rPr>
          <w:rFonts w:hint="eastAsia" w:eastAsia="仿宋_GB2312" w:cs="Times New Roman"/>
          <w:sz w:val="24"/>
          <w:szCs w:val="24"/>
          <w:lang w:val="en-US" w:eastAsia="zh-CN"/>
        </w:rPr>
        <w:t>应当按照水行政主管部门出具的水土保持补偿费征缴通知单，在项目开工建设前一次性足额</w:t>
      </w:r>
      <w:r>
        <w:rPr>
          <w:rFonts w:hint="default" w:ascii="Times New Roman" w:hAnsi="Times New Roman" w:eastAsia="仿宋_GB2312" w:cs="Times New Roman"/>
          <w:sz w:val="24"/>
          <w:szCs w:val="24"/>
          <w:lang w:eastAsia="zh-CN"/>
        </w:rPr>
        <w:t>缴纳水土保持补偿费。</w:t>
      </w:r>
    </w:p>
    <w:p>
      <w:pPr>
        <w:pageBreakBefore w:val="0"/>
        <w:kinsoku/>
        <w:wordWrap/>
        <w:bidi w:val="0"/>
        <w:jc w:val="center"/>
        <w:rPr>
          <w:rFonts w:hint="default" w:ascii="Times New Roman" w:hAnsi="Times New Roman" w:eastAsia="仿宋_GB2312" w:cs="Times New Roman"/>
          <w:b/>
          <w:bCs/>
          <w:sz w:val="24"/>
          <w:highlight w:val="none"/>
        </w:rPr>
      </w:pPr>
    </w:p>
    <w:p>
      <w:pPr>
        <w:pageBreakBefore w:val="0"/>
        <w:kinsoku/>
        <w:wordWrap/>
        <w:bidi w:val="0"/>
        <w:jc w:val="center"/>
        <w:rPr>
          <w:rFonts w:hint="default" w:ascii="Times New Roman" w:hAnsi="Times New Roman" w:eastAsia="仿宋_GB2312" w:cs="Times New Roman"/>
          <w:b/>
          <w:bCs/>
          <w:sz w:val="24"/>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b/>
          <w:bCs/>
          <w:sz w:val="24"/>
          <w:highlight w:val="none"/>
        </w:rPr>
      </w:pPr>
      <w:r>
        <w:rPr>
          <w:rFonts w:hint="default" w:ascii="Times New Roman" w:hAnsi="Times New Roman" w:eastAsia="仿宋_GB2312" w:cs="Times New Roman"/>
          <w:b/>
          <w:bCs/>
          <w:sz w:val="24"/>
          <w:highlight w:val="none"/>
        </w:rPr>
        <w:br w:type="page"/>
      </w:r>
      <w:r>
        <w:rPr>
          <w:rFonts w:hint="default" w:ascii="Times New Roman" w:hAnsi="Times New Roman" w:eastAsia="仿宋_GB2312" w:cs="Times New Roman"/>
          <w:b/>
          <w:bCs/>
          <w:sz w:val="24"/>
          <w:highlight w:val="none"/>
        </w:rPr>
        <w:t>水土保持方案特性表</w:t>
      </w:r>
    </w:p>
    <w:tbl>
      <w:tblPr>
        <w:tblStyle w:val="88"/>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70"/>
        <w:gridCol w:w="350"/>
        <w:gridCol w:w="673"/>
        <w:gridCol w:w="840"/>
        <w:gridCol w:w="1802"/>
        <w:gridCol w:w="947"/>
        <w:gridCol w:w="373"/>
        <w:gridCol w:w="410"/>
        <w:gridCol w:w="304"/>
        <w:gridCol w:w="262"/>
        <w:gridCol w:w="19"/>
        <w:gridCol w:w="614"/>
        <w:gridCol w:w="95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0" w:type="pct"/>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项目名称</w:t>
            </w:r>
          </w:p>
        </w:tc>
        <w:tc>
          <w:tcPr>
            <w:tcW w:w="2125" w:type="pct"/>
            <w:gridSpan w:val="4"/>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lang w:eastAsia="zh-CN"/>
              </w:rPr>
            </w:pPr>
            <w:r>
              <w:rPr>
                <w:rFonts w:hint="eastAsia" w:eastAsia="仿宋_GB2312" w:cs="Times New Roman"/>
                <w:sz w:val="18"/>
                <w:szCs w:val="18"/>
                <w:highlight w:val="none"/>
                <w:lang w:val="en-US" w:eastAsia="zh-CN"/>
              </w:rPr>
              <w:t>长春国际物流经济开发区新兴建材产业园区建设</w:t>
            </w:r>
            <w:r>
              <w:rPr>
                <w:rFonts w:hint="eastAsia" w:eastAsia="仿宋_GB2312" w:cs="Times New Roman"/>
                <w:sz w:val="18"/>
                <w:szCs w:val="18"/>
                <w:highlight w:val="none"/>
                <w:lang w:eastAsia="zh-CN"/>
              </w:rPr>
              <w:t>项目</w:t>
            </w:r>
          </w:p>
        </w:tc>
        <w:tc>
          <w:tcPr>
            <w:tcW w:w="1003" w:type="pct"/>
            <w:gridSpan w:val="3"/>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流域管理机构</w:t>
            </w:r>
          </w:p>
        </w:tc>
        <w:tc>
          <w:tcPr>
            <w:tcW w:w="1250" w:type="pct"/>
            <w:gridSpan w:val="5"/>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水利部松辽水利委员会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23" w:type="pct"/>
            <w:gridSpan w:val="2"/>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涉及省（市、区）</w:t>
            </w:r>
          </w:p>
        </w:tc>
        <w:tc>
          <w:tcPr>
            <w:tcW w:w="877" w:type="pct"/>
            <w:gridSpan w:val="2"/>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吉林省</w:t>
            </w:r>
          </w:p>
        </w:tc>
        <w:tc>
          <w:tcPr>
            <w:tcW w:w="1045" w:type="pct"/>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涉及地市或个数</w:t>
            </w:r>
          </w:p>
        </w:tc>
        <w:tc>
          <w:tcPr>
            <w:tcW w:w="765" w:type="pct"/>
            <w:gridSpan w:val="2"/>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长春市</w:t>
            </w:r>
          </w:p>
        </w:tc>
        <w:tc>
          <w:tcPr>
            <w:tcW w:w="933" w:type="pct"/>
            <w:gridSpan w:val="5"/>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涉及县或个数</w:t>
            </w:r>
          </w:p>
        </w:tc>
        <w:tc>
          <w:tcPr>
            <w:tcW w:w="555" w:type="pct"/>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lang w:eastAsia="zh-CN"/>
              </w:rPr>
            </w:pPr>
            <w:r>
              <w:rPr>
                <w:rFonts w:hint="default" w:ascii="Times New Roman" w:hAnsi="Times New Roman" w:eastAsia="仿宋_GB2312" w:cs="Times New Roman"/>
                <w:sz w:val="18"/>
                <w:szCs w:val="18"/>
                <w:highlight w:val="none"/>
                <w:lang w:eastAsia="zh-CN"/>
              </w:rPr>
              <w:t>二道区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0" w:type="pct"/>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项目规模</w:t>
            </w:r>
          </w:p>
        </w:tc>
        <w:tc>
          <w:tcPr>
            <w:tcW w:w="2125" w:type="pct"/>
            <w:gridSpan w:val="4"/>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lang w:val="en-US" w:eastAsia="zh-CN"/>
              </w:rPr>
              <w:t>本期项目</w:t>
            </w:r>
            <w:r>
              <w:rPr>
                <w:rFonts w:hint="default" w:ascii="Times New Roman" w:hAnsi="Times New Roman" w:eastAsia="仿宋_GB2312" w:cs="Times New Roman"/>
                <w:sz w:val="18"/>
                <w:szCs w:val="18"/>
                <w:highlight w:val="none"/>
                <w:lang w:eastAsia="zh-CN"/>
              </w:rPr>
              <w:t>总建筑面积</w:t>
            </w:r>
            <w:r>
              <w:rPr>
                <w:rFonts w:hint="eastAsia" w:eastAsia="仿宋_GB2312" w:cs="Times New Roman"/>
                <w:color w:val="auto"/>
                <w:sz w:val="18"/>
                <w:szCs w:val="18"/>
                <w:lang w:eastAsia="zh-CN"/>
              </w:rPr>
              <w:t>133523.92</w:t>
            </w:r>
            <w:r>
              <w:rPr>
                <w:rFonts w:hint="default" w:ascii="Times New Roman" w:hAnsi="Times New Roman" w:eastAsia="仿宋_GB2312" w:cs="Times New Roman"/>
                <w:sz w:val="18"/>
                <w:szCs w:val="18"/>
                <w:highlight w:val="none"/>
                <w:lang w:val="en-US" w:eastAsia="zh-CN"/>
              </w:rPr>
              <w:t>m²</w:t>
            </w:r>
            <w:r>
              <w:rPr>
                <w:rFonts w:hint="default" w:ascii="Times New Roman" w:hAnsi="Times New Roman" w:eastAsia="仿宋_GB2312" w:cs="Times New Roman"/>
                <w:sz w:val="18"/>
                <w:szCs w:val="18"/>
                <w:highlight w:val="none"/>
                <w:lang w:eastAsia="zh-CN"/>
              </w:rPr>
              <w:t>，其中地上建筑面积</w:t>
            </w:r>
            <w:r>
              <w:rPr>
                <w:rFonts w:hint="eastAsia" w:eastAsia="仿宋_GB2312" w:cs="Times New Roman"/>
                <w:sz w:val="18"/>
                <w:szCs w:val="18"/>
                <w:highlight w:val="none"/>
                <w:lang w:eastAsia="zh-CN"/>
              </w:rPr>
              <w:t>132784.35</w:t>
            </w:r>
            <w:r>
              <w:rPr>
                <w:rFonts w:hint="default" w:ascii="Times New Roman" w:hAnsi="Times New Roman" w:eastAsia="仿宋_GB2312" w:cs="Times New Roman"/>
                <w:sz w:val="18"/>
                <w:szCs w:val="18"/>
                <w:highlight w:val="none"/>
                <w:lang w:val="en-US" w:eastAsia="zh-CN"/>
              </w:rPr>
              <w:t>m²</w:t>
            </w:r>
            <w:r>
              <w:rPr>
                <w:rFonts w:hint="default" w:ascii="Times New Roman" w:hAnsi="Times New Roman" w:eastAsia="仿宋_GB2312" w:cs="Times New Roman"/>
                <w:sz w:val="18"/>
                <w:szCs w:val="18"/>
                <w:highlight w:val="none"/>
                <w:lang w:eastAsia="zh-CN"/>
              </w:rPr>
              <w:t>，地下建筑面积</w:t>
            </w:r>
            <w:r>
              <w:rPr>
                <w:rFonts w:hint="eastAsia" w:eastAsia="仿宋_GB2312" w:cs="Times New Roman"/>
                <w:sz w:val="18"/>
                <w:szCs w:val="18"/>
                <w:highlight w:val="none"/>
                <w:lang w:eastAsia="zh-CN"/>
              </w:rPr>
              <w:t>739.57</w:t>
            </w:r>
            <w:r>
              <w:rPr>
                <w:rFonts w:hint="default" w:ascii="Times New Roman" w:hAnsi="Times New Roman" w:eastAsia="仿宋_GB2312" w:cs="Times New Roman"/>
                <w:sz w:val="18"/>
                <w:szCs w:val="18"/>
                <w:highlight w:val="none"/>
                <w:lang w:val="en-US" w:eastAsia="zh-CN"/>
              </w:rPr>
              <w:t>m²</w:t>
            </w:r>
            <w:r>
              <w:rPr>
                <w:rFonts w:hint="default" w:ascii="Times New Roman" w:hAnsi="Times New Roman" w:eastAsia="仿宋_GB2312" w:cs="Times New Roman"/>
                <w:sz w:val="18"/>
                <w:szCs w:val="18"/>
                <w:highlight w:val="none"/>
                <w:lang w:eastAsia="zh-CN"/>
              </w:rPr>
              <w:t>。</w:t>
            </w:r>
            <w:r>
              <w:rPr>
                <w:rFonts w:hint="default" w:ascii="Times New Roman" w:hAnsi="Times New Roman" w:eastAsia="仿宋_GB2312" w:cs="Times New Roman"/>
                <w:color w:val="auto"/>
                <w:sz w:val="18"/>
                <w:szCs w:val="18"/>
              </w:rPr>
              <w:t>厂房</w:t>
            </w:r>
            <w:r>
              <w:rPr>
                <w:rFonts w:hint="eastAsia" w:eastAsia="仿宋_GB2312" w:cs="Times New Roman"/>
                <w:color w:val="auto"/>
                <w:sz w:val="18"/>
                <w:szCs w:val="18"/>
                <w:lang w:val="en-US" w:eastAsia="zh-CN"/>
              </w:rPr>
              <w:t>6栋</w:t>
            </w:r>
            <w:r>
              <w:rPr>
                <w:rFonts w:hint="default" w:ascii="Times New Roman" w:hAnsi="Times New Roman" w:eastAsia="仿宋_GB2312" w:cs="Times New Roman"/>
                <w:color w:val="auto"/>
                <w:sz w:val="18"/>
                <w:szCs w:val="18"/>
                <w:lang w:val="en-US" w:eastAsia="zh-CN"/>
              </w:rPr>
              <w:t>面积</w:t>
            </w:r>
            <w:r>
              <w:rPr>
                <w:rFonts w:hint="eastAsia" w:eastAsia="仿宋_GB2312" w:cs="Times New Roman"/>
                <w:color w:val="auto"/>
                <w:sz w:val="18"/>
                <w:szCs w:val="18"/>
                <w:lang w:eastAsia="zh-CN"/>
              </w:rPr>
              <w:t>106815.86</w:t>
            </w:r>
            <w:r>
              <w:rPr>
                <w:rFonts w:hint="default" w:ascii="Times New Roman" w:hAnsi="Times New Roman" w:eastAsia="仿宋_GB2312" w:cs="Times New Roman"/>
                <w:color w:val="auto"/>
                <w:sz w:val="18"/>
                <w:szCs w:val="18"/>
                <w:lang w:eastAsia="zh-CN"/>
              </w:rPr>
              <w:t>m²</w:t>
            </w:r>
            <w:r>
              <w:rPr>
                <w:rFonts w:hint="default" w:ascii="Times New Roman" w:hAnsi="Times New Roman" w:eastAsia="仿宋_GB2312" w:cs="Times New Roman"/>
                <w:color w:val="auto"/>
                <w:sz w:val="18"/>
                <w:szCs w:val="18"/>
              </w:rPr>
              <w:t>、</w:t>
            </w:r>
            <w:r>
              <w:rPr>
                <w:rFonts w:hint="eastAsia" w:eastAsia="仿宋_GB2312" w:cs="Times New Roman"/>
                <w:color w:val="auto"/>
                <w:sz w:val="18"/>
                <w:szCs w:val="18"/>
                <w:lang w:val="en-US" w:eastAsia="zh-CN"/>
              </w:rPr>
              <w:t>办公楼及食堂11063.98</w:t>
            </w:r>
            <w:r>
              <w:rPr>
                <w:rFonts w:hint="default" w:ascii="Times New Roman" w:hAnsi="Times New Roman" w:eastAsia="仿宋_GB2312" w:cs="Times New Roman"/>
                <w:color w:val="auto"/>
                <w:sz w:val="18"/>
                <w:szCs w:val="18"/>
                <w:lang w:eastAsia="zh-CN"/>
              </w:rPr>
              <w:t>m²</w:t>
            </w:r>
            <w:r>
              <w:rPr>
                <w:rFonts w:hint="default" w:ascii="Times New Roman" w:hAnsi="Times New Roman" w:eastAsia="仿宋_GB2312" w:cs="Times New Roman"/>
                <w:color w:val="auto"/>
                <w:sz w:val="18"/>
                <w:szCs w:val="18"/>
              </w:rPr>
              <w:t>、</w:t>
            </w:r>
            <w:r>
              <w:rPr>
                <w:rFonts w:hint="eastAsia" w:eastAsia="仿宋_GB2312" w:cs="Times New Roman"/>
                <w:color w:val="auto"/>
                <w:sz w:val="18"/>
                <w:szCs w:val="18"/>
                <w:lang w:val="en-US" w:eastAsia="zh-CN"/>
              </w:rPr>
              <w:t>宿舍楼1栋面积7716.97</w:t>
            </w:r>
            <w:r>
              <w:rPr>
                <w:rFonts w:hint="default" w:ascii="Times New Roman" w:hAnsi="Times New Roman" w:eastAsia="仿宋_GB2312" w:cs="Times New Roman"/>
                <w:color w:val="auto"/>
                <w:sz w:val="18"/>
                <w:szCs w:val="18"/>
                <w:lang w:eastAsia="zh-CN"/>
              </w:rPr>
              <w:t>m²</w:t>
            </w:r>
            <w:r>
              <w:rPr>
                <w:rFonts w:hint="default" w:ascii="Times New Roman" w:hAnsi="Times New Roman" w:eastAsia="仿宋_GB2312" w:cs="Times New Roman"/>
                <w:color w:val="auto"/>
                <w:sz w:val="18"/>
                <w:szCs w:val="18"/>
              </w:rPr>
              <w:t>、</w:t>
            </w:r>
            <w:r>
              <w:rPr>
                <w:rFonts w:hint="eastAsia" w:eastAsia="仿宋_GB2312" w:cs="Times New Roman"/>
                <w:color w:val="auto"/>
                <w:sz w:val="18"/>
                <w:szCs w:val="18"/>
                <w:lang w:val="en-US" w:eastAsia="zh-CN"/>
              </w:rPr>
              <w:t>实验中心1栋面积3955.97</w:t>
            </w:r>
            <w:r>
              <w:rPr>
                <w:rFonts w:hint="default" w:ascii="Times New Roman" w:hAnsi="Times New Roman" w:eastAsia="仿宋_GB2312" w:cs="Times New Roman"/>
                <w:color w:val="auto"/>
                <w:sz w:val="18"/>
                <w:szCs w:val="18"/>
                <w:lang w:eastAsia="zh-CN"/>
              </w:rPr>
              <w:t>m²</w:t>
            </w:r>
            <w:r>
              <w:rPr>
                <w:rFonts w:hint="default" w:ascii="Times New Roman" w:hAnsi="Times New Roman" w:eastAsia="仿宋_GB2312" w:cs="Times New Roman"/>
                <w:color w:val="auto"/>
                <w:sz w:val="18"/>
                <w:szCs w:val="18"/>
              </w:rPr>
              <w:t>、</w:t>
            </w:r>
            <w:r>
              <w:rPr>
                <w:rFonts w:hint="eastAsia" w:eastAsia="仿宋_GB2312" w:cs="Times New Roman"/>
                <w:color w:val="auto"/>
                <w:sz w:val="18"/>
                <w:szCs w:val="18"/>
                <w:lang w:val="en-US" w:eastAsia="zh-CN"/>
              </w:rPr>
              <w:t>食堂1栋面积2425.71</w:t>
            </w:r>
            <w:r>
              <w:rPr>
                <w:rFonts w:hint="default" w:ascii="Times New Roman" w:hAnsi="Times New Roman" w:eastAsia="仿宋_GB2312" w:cs="Times New Roman"/>
                <w:color w:val="auto"/>
                <w:sz w:val="18"/>
                <w:szCs w:val="18"/>
                <w:lang w:eastAsia="zh-CN"/>
              </w:rPr>
              <w:t>m²</w:t>
            </w:r>
            <w:r>
              <w:rPr>
                <w:rFonts w:hint="default" w:ascii="Times New Roman" w:hAnsi="Times New Roman" w:eastAsia="仿宋_GB2312" w:cs="Times New Roman"/>
                <w:color w:val="auto"/>
                <w:sz w:val="18"/>
                <w:szCs w:val="18"/>
              </w:rPr>
              <w:t>、开闭站、变电所、柴发、锅炉房</w:t>
            </w:r>
            <w:r>
              <w:rPr>
                <w:rFonts w:hint="eastAsia" w:eastAsia="仿宋_GB2312" w:cs="Times New Roman"/>
                <w:color w:val="auto"/>
                <w:sz w:val="18"/>
                <w:szCs w:val="18"/>
                <w:lang w:val="en-US" w:eastAsia="zh-CN"/>
              </w:rPr>
              <w:t>面积722.86</w:t>
            </w:r>
            <w:r>
              <w:rPr>
                <w:rFonts w:hint="default" w:ascii="Times New Roman" w:hAnsi="Times New Roman" w:eastAsia="仿宋_GB2312" w:cs="Times New Roman"/>
                <w:color w:val="auto"/>
                <w:sz w:val="18"/>
                <w:szCs w:val="18"/>
                <w:lang w:eastAsia="zh-CN"/>
              </w:rPr>
              <w:t>m²</w:t>
            </w:r>
            <w:r>
              <w:rPr>
                <w:rFonts w:hint="default" w:ascii="Times New Roman" w:hAnsi="Times New Roman" w:eastAsia="仿宋_GB2312" w:cs="Times New Roman"/>
                <w:color w:val="auto"/>
                <w:sz w:val="18"/>
                <w:szCs w:val="18"/>
              </w:rPr>
              <w:t>、</w:t>
            </w:r>
            <w:r>
              <w:rPr>
                <w:rFonts w:hint="eastAsia" w:eastAsia="仿宋_GB2312" w:cs="Times New Roman"/>
                <w:color w:val="auto"/>
                <w:sz w:val="18"/>
                <w:szCs w:val="18"/>
                <w:lang w:eastAsia="zh-CN"/>
              </w:rPr>
              <w:t>水泵房及水池</w:t>
            </w:r>
            <w:r>
              <w:rPr>
                <w:rFonts w:hint="default" w:ascii="Times New Roman" w:hAnsi="Times New Roman" w:eastAsia="仿宋_GB2312" w:cs="Times New Roman"/>
                <w:color w:val="auto"/>
                <w:sz w:val="18"/>
                <w:szCs w:val="18"/>
                <w:lang w:val="en-US" w:eastAsia="zh-CN"/>
              </w:rPr>
              <w:t>1栋面积</w:t>
            </w:r>
            <w:r>
              <w:rPr>
                <w:rFonts w:hint="eastAsia" w:eastAsia="仿宋_GB2312" w:cs="Times New Roman"/>
                <w:color w:val="auto"/>
                <w:sz w:val="18"/>
                <w:szCs w:val="18"/>
                <w:lang w:eastAsia="zh-CN"/>
              </w:rPr>
              <w:t>729.57</w:t>
            </w:r>
            <w:r>
              <w:rPr>
                <w:rFonts w:hint="default" w:ascii="Times New Roman" w:hAnsi="Times New Roman" w:eastAsia="仿宋_GB2312" w:cs="Times New Roman"/>
                <w:color w:val="auto"/>
                <w:sz w:val="18"/>
                <w:szCs w:val="18"/>
                <w:lang w:eastAsia="zh-CN"/>
              </w:rPr>
              <w:t>m²（</w:t>
            </w:r>
            <w:r>
              <w:rPr>
                <w:rFonts w:hint="default" w:ascii="Times New Roman" w:hAnsi="Times New Roman" w:eastAsia="仿宋_GB2312" w:cs="Times New Roman"/>
                <w:color w:val="auto"/>
                <w:sz w:val="18"/>
                <w:szCs w:val="18"/>
                <w:lang w:val="en-US" w:eastAsia="zh-CN"/>
              </w:rPr>
              <w:t>地上建筑面积</w:t>
            </w:r>
            <w:r>
              <w:rPr>
                <w:rFonts w:hint="eastAsia" w:eastAsia="仿宋_GB2312" w:cs="Times New Roman"/>
                <w:color w:val="auto"/>
                <w:sz w:val="18"/>
                <w:szCs w:val="18"/>
                <w:lang w:val="en-US" w:eastAsia="zh-CN"/>
              </w:rPr>
              <w:t>53</w:t>
            </w:r>
            <w:r>
              <w:rPr>
                <w:rFonts w:hint="default" w:ascii="Times New Roman" w:hAnsi="Times New Roman" w:eastAsia="仿宋_GB2312" w:cs="Times New Roman"/>
                <w:color w:val="auto"/>
                <w:sz w:val="18"/>
                <w:szCs w:val="18"/>
                <w:lang w:eastAsia="zh-CN"/>
              </w:rPr>
              <w:t>m²，</w:t>
            </w:r>
            <w:r>
              <w:rPr>
                <w:rFonts w:hint="default" w:ascii="Times New Roman" w:hAnsi="Times New Roman" w:eastAsia="仿宋_GB2312" w:cs="Times New Roman"/>
                <w:color w:val="auto"/>
                <w:sz w:val="18"/>
                <w:szCs w:val="18"/>
                <w:lang w:val="en-US" w:eastAsia="zh-CN"/>
              </w:rPr>
              <w:t>地下建筑面积</w:t>
            </w:r>
            <w:r>
              <w:rPr>
                <w:rFonts w:hint="eastAsia" w:eastAsia="仿宋_GB2312" w:cs="Times New Roman"/>
                <w:color w:val="auto"/>
                <w:sz w:val="18"/>
                <w:szCs w:val="18"/>
                <w:lang w:val="en-US" w:eastAsia="zh-CN"/>
              </w:rPr>
              <w:t>739.57</w:t>
            </w:r>
            <w:r>
              <w:rPr>
                <w:rFonts w:hint="default" w:ascii="Times New Roman" w:hAnsi="Times New Roman" w:eastAsia="仿宋_GB2312" w:cs="Times New Roman"/>
                <w:color w:val="auto"/>
                <w:sz w:val="18"/>
                <w:szCs w:val="18"/>
                <w:lang w:eastAsia="zh-CN"/>
              </w:rPr>
              <w:t>m²）</w:t>
            </w:r>
            <w:r>
              <w:rPr>
                <w:rFonts w:hint="default" w:ascii="Times New Roman" w:hAnsi="Times New Roman" w:eastAsia="仿宋_GB2312" w:cs="Times New Roman"/>
                <w:color w:val="auto"/>
                <w:sz w:val="18"/>
                <w:szCs w:val="18"/>
              </w:rPr>
              <w:t>、</w:t>
            </w:r>
            <w:r>
              <w:rPr>
                <w:rFonts w:hint="eastAsia" w:eastAsia="仿宋_GB2312" w:cs="Times New Roman"/>
                <w:color w:val="auto"/>
                <w:sz w:val="18"/>
                <w:szCs w:val="18"/>
                <w:lang w:eastAsia="zh-CN"/>
              </w:rPr>
              <w:t>成品岗亭</w:t>
            </w:r>
            <w:r>
              <w:rPr>
                <w:rFonts w:hint="eastAsia" w:eastAsia="仿宋_GB2312" w:cs="Times New Roman"/>
                <w:color w:val="auto"/>
                <w:sz w:val="18"/>
                <w:szCs w:val="18"/>
                <w:lang w:val="en-US" w:eastAsia="zh-CN"/>
              </w:rPr>
              <w:t>5栋</w:t>
            </w:r>
            <w:r>
              <w:rPr>
                <w:rFonts w:hint="default" w:ascii="Times New Roman" w:hAnsi="Times New Roman" w:eastAsia="仿宋_GB2312" w:cs="Times New Roman"/>
                <w:color w:val="auto"/>
                <w:sz w:val="18"/>
                <w:szCs w:val="18"/>
                <w:lang w:val="en-US" w:eastAsia="zh-CN"/>
              </w:rPr>
              <w:t>面积</w:t>
            </w:r>
            <w:r>
              <w:rPr>
                <w:rFonts w:hint="eastAsia" w:eastAsia="仿宋_GB2312" w:cs="Times New Roman"/>
                <w:color w:val="auto"/>
                <w:sz w:val="18"/>
                <w:szCs w:val="18"/>
                <w:lang w:val="en-US" w:eastAsia="zh-CN"/>
              </w:rPr>
              <w:t>30</w:t>
            </w:r>
            <w:r>
              <w:rPr>
                <w:rFonts w:hint="default" w:ascii="Times New Roman" w:hAnsi="Times New Roman" w:eastAsia="仿宋_GB2312" w:cs="Times New Roman"/>
                <w:color w:val="auto"/>
                <w:sz w:val="18"/>
                <w:szCs w:val="18"/>
                <w:lang w:eastAsia="zh-CN"/>
              </w:rPr>
              <w:t>m²</w:t>
            </w:r>
            <w:r>
              <w:rPr>
                <w:rFonts w:hint="default" w:ascii="Times New Roman" w:hAnsi="Times New Roman" w:eastAsia="仿宋_GB2312" w:cs="Times New Roman"/>
                <w:color w:val="auto"/>
                <w:sz w:val="18"/>
                <w:szCs w:val="18"/>
              </w:rPr>
              <w:t>。</w:t>
            </w:r>
            <w:r>
              <w:rPr>
                <w:rFonts w:hint="default" w:ascii="Times New Roman" w:hAnsi="Times New Roman" w:eastAsia="仿宋_GB2312" w:cs="Times New Roman"/>
                <w:color w:val="auto"/>
                <w:sz w:val="18"/>
                <w:szCs w:val="18"/>
                <w:lang w:eastAsia="zh-CN"/>
              </w:rPr>
              <w:t>道路及硬化</w:t>
            </w:r>
            <w:r>
              <w:rPr>
                <w:rFonts w:hint="default" w:ascii="Times New Roman" w:hAnsi="Times New Roman" w:eastAsia="仿宋_GB2312" w:cs="Times New Roman"/>
                <w:color w:val="auto"/>
                <w:sz w:val="18"/>
                <w:szCs w:val="18"/>
              </w:rPr>
              <w:t>面积</w:t>
            </w:r>
            <w:r>
              <w:rPr>
                <w:rFonts w:hint="eastAsia" w:eastAsia="仿宋_GB2312" w:cs="Times New Roman"/>
                <w:color w:val="auto"/>
                <w:sz w:val="18"/>
                <w:szCs w:val="18"/>
                <w:lang w:eastAsia="zh-CN"/>
              </w:rPr>
              <w:t>79857.96</w:t>
            </w:r>
            <w:r>
              <w:rPr>
                <w:rFonts w:hint="default" w:ascii="Times New Roman" w:hAnsi="Times New Roman" w:eastAsia="仿宋_GB2312" w:cs="Times New Roman"/>
                <w:color w:val="auto"/>
                <w:sz w:val="18"/>
                <w:szCs w:val="18"/>
                <w:lang w:eastAsia="zh-CN"/>
              </w:rPr>
              <w:t>m²</w:t>
            </w:r>
            <w:r>
              <w:rPr>
                <w:rFonts w:hint="default" w:ascii="Times New Roman" w:hAnsi="Times New Roman" w:eastAsia="仿宋_GB2312" w:cs="Times New Roman"/>
                <w:color w:val="auto"/>
                <w:sz w:val="18"/>
                <w:szCs w:val="18"/>
              </w:rPr>
              <w:t>；</w:t>
            </w:r>
            <w:r>
              <w:rPr>
                <w:rFonts w:hint="default" w:ascii="Times New Roman" w:hAnsi="Times New Roman" w:eastAsia="仿宋_GB2312" w:cs="Times New Roman"/>
                <w:color w:val="auto"/>
                <w:sz w:val="18"/>
                <w:szCs w:val="18"/>
                <w:lang w:eastAsia="zh-CN"/>
              </w:rPr>
              <w:t>绿化面积</w:t>
            </w:r>
            <w:r>
              <w:rPr>
                <w:rFonts w:hint="eastAsia" w:eastAsia="仿宋_GB2312" w:cs="Times New Roman"/>
                <w:color w:val="auto"/>
                <w:sz w:val="18"/>
                <w:szCs w:val="18"/>
                <w:lang w:val="en-US" w:eastAsia="zh-CN"/>
              </w:rPr>
              <w:t>39933.28</w:t>
            </w:r>
            <w:r>
              <w:rPr>
                <w:rFonts w:hint="default" w:ascii="Times New Roman" w:hAnsi="Times New Roman" w:eastAsia="仿宋_GB2312" w:cs="Times New Roman"/>
                <w:color w:val="auto"/>
                <w:sz w:val="18"/>
                <w:szCs w:val="18"/>
                <w:lang w:val="en-US" w:eastAsia="zh-CN"/>
              </w:rPr>
              <w:t>m²</w:t>
            </w:r>
            <w:r>
              <w:rPr>
                <w:rFonts w:hint="default" w:ascii="Times New Roman" w:hAnsi="Times New Roman" w:eastAsia="仿宋_GB2312" w:cs="Times New Roman"/>
                <w:color w:val="auto"/>
                <w:sz w:val="18"/>
                <w:szCs w:val="18"/>
                <w:lang w:eastAsia="zh-CN"/>
              </w:rPr>
              <w:t>，</w:t>
            </w:r>
            <w:r>
              <w:rPr>
                <w:rFonts w:hint="default" w:ascii="Times New Roman" w:hAnsi="Times New Roman" w:eastAsia="仿宋_GB2312" w:cs="Times New Roman"/>
                <w:color w:val="auto"/>
                <w:sz w:val="18"/>
                <w:szCs w:val="18"/>
              </w:rPr>
              <w:t>配套</w:t>
            </w:r>
            <w:r>
              <w:rPr>
                <w:rFonts w:hint="default" w:ascii="Times New Roman" w:hAnsi="Times New Roman" w:eastAsia="仿宋_GB2312" w:cs="Times New Roman"/>
                <w:color w:val="auto"/>
                <w:sz w:val="18"/>
                <w:szCs w:val="18"/>
                <w:lang w:eastAsia="zh-CN"/>
              </w:rPr>
              <w:t>供水管线和供电工程等基础设施工程</w:t>
            </w:r>
            <w:r>
              <w:rPr>
                <w:rFonts w:hint="default" w:ascii="Times New Roman" w:hAnsi="Times New Roman" w:eastAsia="仿宋_GB2312" w:cs="Times New Roman"/>
                <w:color w:val="auto"/>
                <w:sz w:val="18"/>
                <w:szCs w:val="18"/>
              </w:rPr>
              <w:t>。</w:t>
            </w:r>
          </w:p>
        </w:tc>
        <w:tc>
          <w:tcPr>
            <w:tcW w:w="549" w:type="pct"/>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总投资</w:t>
            </w:r>
          </w:p>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（万元）</w:t>
            </w:r>
          </w:p>
        </w:tc>
        <w:tc>
          <w:tcPr>
            <w:tcW w:w="630" w:type="pct"/>
            <w:gridSpan w:val="3"/>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lang w:eastAsia="zh-CN"/>
              </w:rPr>
            </w:pPr>
            <w:r>
              <w:rPr>
                <w:rFonts w:hint="eastAsia" w:eastAsia="仿宋_GB2312" w:cs="Times New Roman"/>
                <w:sz w:val="18"/>
                <w:szCs w:val="18"/>
                <w:highlight w:val="none"/>
                <w:lang w:eastAsia="zh-CN"/>
              </w:rPr>
              <w:t>103196.83</w:t>
            </w:r>
          </w:p>
        </w:tc>
        <w:tc>
          <w:tcPr>
            <w:tcW w:w="519" w:type="pct"/>
            <w:gridSpan w:val="3"/>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lang w:eastAsia="zh-CN"/>
              </w:rPr>
            </w:pPr>
            <w:r>
              <w:rPr>
                <w:rFonts w:hint="default" w:ascii="Times New Roman" w:hAnsi="Times New Roman" w:eastAsia="仿宋_GB2312" w:cs="Times New Roman"/>
                <w:sz w:val="18"/>
                <w:szCs w:val="18"/>
                <w:highlight w:val="none"/>
                <w:lang w:eastAsia="zh-CN"/>
              </w:rPr>
              <w:t>土建投资（万元）</w:t>
            </w:r>
          </w:p>
        </w:tc>
        <w:tc>
          <w:tcPr>
            <w:tcW w:w="555" w:type="pct"/>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lang w:eastAsia="zh-CN"/>
              </w:rPr>
            </w:pPr>
            <w:r>
              <w:rPr>
                <w:rFonts w:hint="eastAsia" w:eastAsia="仿宋_GB2312" w:cs="Times New Roman"/>
                <w:sz w:val="18"/>
                <w:szCs w:val="18"/>
                <w:highlight w:val="none"/>
                <w:lang w:eastAsia="zh-CN"/>
              </w:rPr>
              <w:t>100173.09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23" w:type="pct"/>
            <w:gridSpan w:val="2"/>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lang w:eastAsia="zh-CN"/>
              </w:rPr>
            </w:pPr>
            <w:r>
              <w:rPr>
                <w:rFonts w:hint="default" w:ascii="Times New Roman" w:hAnsi="Times New Roman" w:eastAsia="仿宋_GB2312" w:cs="Times New Roman"/>
                <w:sz w:val="18"/>
                <w:szCs w:val="18"/>
                <w:highlight w:val="none"/>
              </w:rPr>
              <w:t>动工时间</w:t>
            </w:r>
          </w:p>
        </w:tc>
        <w:tc>
          <w:tcPr>
            <w:tcW w:w="877" w:type="pct"/>
            <w:gridSpan w:val="2"/>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lang w:eastAsia="zh-CN"/>
              </w:rPr>
            </w:pPr>
            <w:r>
              <w:rPr>
                <w:rFonts w:hint="eastAsia" w:eastAsia="仿宋_GB2312" w:cs="Times New Roman"/>
                <w:sz w:val="18"/>
                <w:szCs w:val="18"/>
                <w:highlight w:val="none"/>
                <w:lang w:eastAsia="zh-CN"/>
              </w:rPr>
              <w:t>2023年7月</w:t>
            </w:r>
          </w:p>
        </w:tc>
        <w:tc>
          <w:tcPr>
            <w:tcW w:w="1045" w:type="pct"/>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完工时间</w:t>
            </w:r>
          </w:p>
        </w:tc>
        <w:tc>
          <w:tcPr>
            <w:tcW w:w="765" w:type="pct"/>
            <w:gridSpan w:val="2"/>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lang w:eastAsia="zh-CN"/>
              </w:rPr>
            </w:pPr>
            <w:r>
              <w:rPr>
                <w:rFonts w:hint="eastAsia" w:eastAsia="仿宋_GB2312" w:cs="Times New Roman"/>
                <w:sz w:val="18"/>
                <w:szCs w:val="18"/>
                <w:highlight w:val="none"/>
                <w:lang w:eastAsia="zh-CN"/>
              </w:rPr>
              <w:t>2024年12月</w:t>
            </w:r>
          </w:p>
        </w:tc>
        <w:tc>
          <w:tcPr>
            <w:tcW w:w="933" w:type="pct"/>
            <w:gridSpan w:val="5"/>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设计水平年</w:t>
            </w:r>
          </w:p>
        </w:tc>
        <w:tc>
          <w:tcPr>
            <w:tcW w:w="555" w:type="pct"/>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eastAsia" w:eastAsia="仿宋_GB2312" w:cs="Times New Roman"/>
                <w:sz w:val="18"/>
                <w:szCs w:val="18"/>
                <w:highlight w:val="none"/>
                <w:lang w:val="en-US" w:eastAsia="zh-CN"/>
              </w:rPr>
              <w:t>2025</w:t>
            </w:r>
            <w:r>
              <w:rPr>
                <w:rFonts w:hint="default" w:ascii="Times New Roman" w:hAnsi="Times New Roman" w:eastAsia="仿宋_GB2312" w:cs="Times New Roman"/>
                <w:sz w:val="18"/>
                <w:szCs w:val="18"/>
                <w:highlight w:val="none"/>
              </w:rPr>
              <w:t>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23" w:type="pct"/>
            <w:gridSpan w:val="2"/>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工程占地（</w:t>
            </w:r>
            <w:r>
              <w:rPr>
                <w:rFonts w:hint="default" w:ascii="Times New Roman" w:hAnsi="Times New Roman" w:eastAsia="仿宋_GB2312" w:cs="Times New Roman"/>
                <w:sz w:val="18"/>
                <w:szCs w:val="18"/>
                <w:highlight w:val="none"/>
                <w:lang w:eastAsia="zh-CN"/>
              </w:rPr>
              <w:t>hm²</w:t>
            </w:r>
            <w:r>
              <w:rPr>
                <w:rFonts w:hint="default" w:ascii="Times New Roman" w:hAnsi="Times New Roman" w:eastAsia="仿宋_GB2312" w:cs="Times New Roman"/>
                <w:sz w:val="18"/>
                <w:szCs w:val="18"/>
                <w:highlight w:val="none"/>
              </w:rPr>
              <w:t>）</w:t>
            </w:r>
          </w:p>
        </w:tc>
        <w:tc>
          <w:tcPr>
            <w:tcW w:w="877" w:type="pct"/>
            <w:gridSpan w:val="2"/>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lang w:val="en-US" w:eastAsia="zh-CN"/>
              </w:rPr>
            </w:pPr>
            <w:r>
              <w:rPr>
                <w:rFonts w:hint="eastAsia" w:eastAsia="仿宋_GB2312" w:cs="Times New Roman"/>
                <w:sz w:val="18"/>
                <w:szCs w:val="18"/>
                <w:highlight w:val="none"/>
                <w:lang w:val="en-US" w:eastAsia="zh-CN"/>
              </w:rPr>
              <w:t>19.98</w:t>
            </w:r>
          </w:p>
        </w:tc>
        <w:tc>
          <w:tcPr>
            <w:tcW w:w="1045" w:type="pct"/>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永久征地（</w:t>
            </w:r>
            <w:r>
              <w:rPr>
                <w:rFonts w:hint="default" w:ascii="Times New Roman" w:hAnsi="Times New Roman" w:eastAsia="仿宋_GB2312" w:cs="Times New Roman"/>
                <w:sz w:val="18"/>
                <w:szCs w:val="18"/>
                <w:highlight w:val="none"/>
                <w:lang w:eastAsia="zh-CN"/>
              </w:rPr>
              <w:t>hm²</w:t>
            </w:r>
            <w:r>
              <w:rPr>
                <w:rFonts w:hint="default" w:ascii="Times New Roman" w:hAnsi="Times New Roman" w:eastAsia="仿宋_GB2312" w:cs="Times New Roman"/>
                <w:sz w:val="18"/>
                <w:szCs w:val="18"/>
                <w:highlight w:val="none"/>
              </w:rPr>
              <w:t>）</w:t>
            </w:r>
          </w:p>
        </w:tc>
        <w:tc>
          <w:tcPr>
            <w:tcW w:w="765" w:type="pct"/>
            <w:gridSpan w:val="2"/>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lang w:eastAsia="zh-CN"/>
              </w:rPr>
            </w:pPr>
            <w:r>
              <w:rPr>
                <w:rFonts w:hint="eastAsia" w:eastAsia="仿宋_GB2312" w:cs="Times New Roman"/>
                <w:sz w:val="18"/>
                <w:szCs w:val="18"/>
                <w:highlight w:val="none"/>
                <w:lang w:eastAsia="zh-CN"/>
              </w:rPr>
              <w:t>19.98</w:t>
            </w:r>
          </w:p>
        </w:tc>
        <w:tc>
          <w:tcPr>
            <w:tcW w:w="933" w:type="pct"/>
            <w:gridSpan w:val="5"/>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临时用地（</w:t>
            </w:r>
            <w:r>
              <w:rPr>
                <w:rFonts w:hint="default" w:ascii="Times New Roman" w:hAnsi="Times New Roman" w:eastAsia="仿宋_GB2312" w:cs="Times New Roman"/>
                <w:sz w:val="18"/>
                <w:szCs w:val="18"/>
                <w:highlight w:val="none"/>
                <w:lang w:eastAsia="zh-CN"/>
              </w:rPr>
              <w:t>hm²</w:t>
            </w:r>
            <w:r>
              <w:rPr>
                <w:rFonts w:hint="default" w:ascii="Times New Roman" w:hAnsi="Times New Roman" w:eastAsia="仿宋_GB2312" w:cs="Times New Roman"/>
                <w:sz w:val="18"/>
                <w:szCs w:val="18"/>
                <w:highlight w:val="none"/>
              </w:rPr>
              <w:t>）</w:t>
            </w:r>
          </w:p>
        </w:tc>
        <w:tc>
          <w:tcPr>
            <w:tcW w:w="555" w:type="pct"/>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lang w:val="en-US" w:eastAsia="zh-CN"/>
              </w:rPr>
            </w:pPr>
            <w:r>
              <w:rPr>
                <w:rFonts w:hint="default" w:ascii="Times New Roman" w:hAnsi="Times New Roman" w:eastAsia="仿宋_GB2312" w:cs="Times New Roman"/>
                <w:sz w:val="18"/>
                <w:szCs w:val="18"/>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01" w:type="pct"/>
            <w:gridSpan w:val="4"/>
            <w:vMerge w:val="restart"/>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土石方量（万</w:t>
            </w:r>
            <w:r>
              <w:rPr>
                <w:rFonts w:hint="default" w:ascii="Times New Roman" w:hAnsi="Times New Roman" w:eastAsia="仿宋_GB2312" w:cs="Times New Roman"/>
                <w:sz w:val="18"/>
                <w:szCs w:val="18"/>
                <w:highlight w:val="none"/>
                <w:lang w:eastAsia="zh-CN"/>
              </w:rPr>
              <w:t>m³</w:t>
            </w:r>
            <w:r>
              <w:rPr>
                <w:rFonts w:hint="default" w:ascii="Times New Roman" w:hAnsi="Times New Roman" w:eastAsia="仿宋_GB2312" w:cs="Times New Roman"/>
                <w:sz w:val="18"/>
                <w:szCs w:val="18"/>
                <w:highlight w:val="none"/>
              </w:rPr>
              <w:t>）</w:t>
            </w:r>
          </w:p>
        </w:tc>
        <w:tc>
          <w:tcPr>
            <w:tcW w:w="1045" w:type="pct"/>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挖方</w:t>
            </w:r>
          </w:p>
        </w:tc>
        <w:tc>
          <w:tcPr>
            <w:tcW w:w="765" w:type="pct"/>
            <w:gridSpan w:val="2"/>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填方</w:t>
            </w:r>
          </w:p>
        </w:tc>
        <w:tc>
          <w:tcPr>
            <w:tcW w:w="577" w:type="pct"/>
            <w:gridSpan w:val="4"/>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借方</w:t>
            </w:r>
          </w:p>
        </w:tc>
        <w:tc>
          <w:tcPr>
            <w:tcW w:w="911" w:type="pct"/>
            <w:gridSpan w:val="2"/>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余方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01" w:type="pct"/>
            <w:gridSpan w:val="4"/>
            <w:vMerge w:val="continue"/>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p>
        </w:tc>
        <w:tc>
          <w:tcPr>
            <w:tcW w:w="1045" w:type="pct"/>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21.69</w:t>
            </w:r>
          </w:p>
        </w:tc>
        <w:tc>
          <w:tcPr>
            <w:tcW w:w="765" w:type="pct"/>
            <w:gridSpan w:val="2"/>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22.89</w:t>
            </w:r>
          </w:p>
        </w:tc>
        <w:tc>
          <w:tcPr>
            <w:tcW w:w="577" w:type="pct"/>
            <w:gridSpan w:val="4"/>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lang w:val="en-US" w:eastAsia="zh-CN"/>
              </w:rPr>
            </w:pPr>
            <w:r>
              <w:rPr>
                <w:rFonts w:hint="eastAsia" w:eastAsia="仿宋_GB2312" w:cs="Times New Roman"/>
                <w:sz w:val="18"/>
                <w:szCs w:val="18"/>
                <w:highlight w:val="none"/>
                <w:lang w:val="en-US" w:eastAsia="zh-CN"/>
              </w:rPr>
              <w:t>1.20</w:t>
            </w:r>
          </w:p>
        </w:tc>
        <w:tc>
          <w:tcPr>
            <w:tcW w:w="911" w:type="pct"/>
            <w:gridSpan w:val="2"/>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01" w:type="pct"/>
            <w:gridSpan w:val="4"/>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重点防治区名称</w:t>
            </w:r>
          </w:p>
        </w:tc>
        <w:tc>
          <w:tcPr>
            <w:tcW w:w="3298" w:type="pct"/>
            <w:gridSpan w:val="9"/>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bCs/>
                <w:sz w:val="18"/>
                <w:szCs w:val="18"/>
                <w:highlight w:val="none"/>
              </w:rPr>
            </w:pPr>
            <w:r>
              <w:rPr>
                <w:rFonts w:hint="default" w:ascii="Times New Roman" w:hAnsi="Times New Roman" w:eastAsia="仿宋_GB2312" w:cs="Times New Roman"/>
                <w:bCs/>
                <w:sz w:val="18"/>
                <w:szCs w:val="18"/>
                <w:highlight w:val="none"/>
              </w:rPr>
              <w:t>东北漫川漫岗国家级水土流失重点治理区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01" w:type="pct"/>
            <w:gridSpan w:val="4"/>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地貌类型</w:t>
            </w:r>
          </w:p>
        </w:tc>
        <w:tc>
          <w:tcPr>
            <w:tcW w:w="1045"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bCs/>
                <w:sz w:val="18"/>
                <w:szCs w:val="18"/>
                <w:highlight w:val="none"/>
              </w:rPr>
            </w:pPr>
            <w:r>
              <w:rPr>
                <w:rFonts w:hint="default" w:ascii="Times New Roman" w:hAnsi="Times New Roman" w:eastAsia="仿宋_GB2312" w:cs="Times New Roman"/>
                <w:bCs/>
                <w:sz w:val="18"/>
                <w:szCs w:val="18"/>
                <w:highlight w:val="none"/>
                <w:lang w:val="en-US" w:eastAsia="zh-CN"/>
              </w:rPr>
              <w:t>平原</w:t>
            </w:r>
            <w:r>
              <w:rPr>
                <w:rFonts w:hint="default" w:ascii="Times New Roman" w:hAnsi="Times New Roman" w:eastAsia="仿宋_GB2312" w:cs="Times New Roman"/>
                <w:bCs/>
                <w:sz w:val="18"/>
                <w:szCs w:val="18"/>
                <w:highlight w:val="none"/>
              </w:rPr>
              <w:t>区</w:t>
            </w:r>
          </w:p>
        </w:tc>
        <w:tc>
          <w:tcPr>
            <w:tcW w:w="1331" w:type="pct"/>
            <w:gridSpan w:val="5"/>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bCs/>
                <w:sz w:val="18"/>
                <w:szCs w:val="18"/>
                <w:highlight w:val="none"/>
              </w:rPr>
            </w:pPr>
            <w:r>
              <w:rPr>
                <w:rFonts w:hint="default" w:ascii="Times New Roman" w:hAnsi="Times New Roman" w:eastAsia="仿宋_GB2312" w:cs="Times New Roman"/>
                <w:bCs/>
                <w:sz w:val="18"/>
                <w:szCs w:val="18"/>
                <w:highlight w:val="none"/>
              </w:rPr>
              <w:t>水土保持区划</w:t>
            </w:r>
          </w:p>
        </w:tc>
        <w:tc>
          <w:tcPr>
            <w:tcW w:w="922" w:type="pct"/>
            <w:gridSpan w:val="3"/>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bCs/>
                <w:sz w:val="18"/>
                <w:szCs w:val="18"/>
                <w:highlight w:val="none"/>
              </w:rPr>
            </w:pPr>
            <w:r>
              <w:rPr>
                <w:rFonts w:hint="default" w:ascii="Times New Roman" w:hAnsi="Times New Roman" w:eastAsia="仿宋_GB2312" w:cs="Times New Roman"/>
                <w:bCs/>
                <w:sz w:val="18"/>
                <w:szCs w:val="18"/>
                <w:highlight w:val="none"/>
              </w:rPr>
              <w:t>东北黑土区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01" w:type="pct"/>
            <w:gridSpan w:val="4"/>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土壤侵蚀类型</w:t>
            </w:r>
          </w:p>
        </w:tc>
        <w:tc>
          <w:tcPr>
            <w:tcW w:w="1045"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kern w:val="0"/>
                <w:sz w:val="18"/>
                <w:szCs w:val="18"/>
                <w:highlight w:val="none"/>
              </w:rPr>
            </w:pPr>
            <w:r>
              <w:rPr>
                <w:rFonts w:hint="default" w:ascii="Times New Roman" w:hAnsi="Times New Roman" w:eastAsia="仿宋_GB2312" w:cs="Times New Roman"/>
                <w:kern w:val="0"/>
                <w:sz w:val="18"/>
                <w:szCs w:val="18"/>
                <w:highlight w:val="none"/>
              </w:rPr>
              <w:t>水力侵蚀</w:t>
            </w:r>
          </w:p>
        </w:tc>
        <w:tc>
          <w:tcPr>
            <w:tcW w:w="1331" w:type="pct"/>
            <w:gridSpan w:val="5"/>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kern w:val="0"/>
                <w:sz w:val="18"/>
                <w:szCs w:val="18"/>
                <w:highlight w:val="none"/>
              </w:rPr>
            </w:pPr>
            <w:r>
              <w:rPr>
                <w:rFonts w:hint="default" w:ascii="Times New Roman" w:hAnsi="Times New Roman" w:eastAsia="仿宋_GB2312" w:cs="Times New Roman"/>
                <w:kern w:val="0"/>
                <w:sz w:val="18"/>
                <w:szCs w:val="18"/>
                <w:highlight w:val="none"/>
              </w:rPr>
              <w:t>土壤侵蚀强度</w:t>
            </w:r>
          </w:p>
        </w:tc>
        <w:tc>
          <w:tcPr>
            <w:tcW w:w="922" w:type="pct"/>
            <w:gridSpan w:val="3"/>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kern w:val="0"/>
                <w:sz w:val="18"/>
                <w:szCs w:val="18"/>
                <w:highlight w:val="none"/>
              </w:rPr>
            </w:pPr>
            <w:r>
              <w:rPr>
                <w:rFonts w:hint="default" w:ascii="Times New Roman" w:hAnsi="Times New Roman" w:eastAsia="仿宋_GB2312" w:cs="Times New Roman"/>
                <w:kern w:val="0"/>
                <w:sz w:val="18"/>
                <w:szCs w:val="18"/>
                <w:highlight w:val="none"/>
              </w:rPr>
              <w:t>轻度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01" w:type="pct"/>
            <w:gridSpan w:val="4"/>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防治责任范围面积（</w:t>
            </w:r>
            <w:r>
              <w:rPr>
                <w:rFonts w:hint="default" w:ascii="Times New Roman" w:hAnsi="Times New Roman" w:eastAsia="仿宋_GB2312" w:cs="Times New Roman"/>
                <w:sz w:val="18"/>
                <w:szCs w:val="18"/>
                <w:highlight w:val="none"/>
                <w:lang w:eastAsia="zh-CN"/>
              </w:rPr>
              <w:t>hm²</w:t>
            </w:r>
            <w:r>
              <w:rPr>
                <w:rFonts w:hint="default" w:ascii="Times New Roman" w:hAnsi="Times New Roman" w:eastAsia="仿宋_GB2312" w:cs="Times New Roman"/>
                <w:sz w:val="18"/>
                <w:szCs w:val="18"/>
                <w:highlight w:val="none"/>
              </w:rPr>
              <w:t>）</w:t>
            </w:r>
          </w:p>
        </w:tc>
        <w:tc>
          <w:tcPr>
            <w:tcW w:w="1045" w:type="pct"/>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kern w:val="0"/>
                <w:sz w:val="18"/>
                <w:szCs w:val="18"/>
                <w:highlight w:val="none"/>
                <w:lang w:val="en-US" w:eastAsia="zh-CN"/>
              </w:rPr>
            </w:pPr>
            <w:r>
              <w:rPr>
                <w:rFonts w:hint="eastAsia" w:eastAsia="仿宋_GB2312" w:cs="Times New Roman"/>
                <w:kern w:val="0"/>
                <w:sz w:val="18"/>
                <w:szCs w:val="18"/>
                <w:highlight w:val="none"/>
                <w:lang w:eastAsia="zh-CN"/>
              </w:rPr>
              <w:t>19.98</w:t>
            </w:r>
          </w:p>
        </w:tc>
        <w:tc>
          <w:tcPr>
            <w:tcW w:w="1331" w:type="pct"/>
            <w:gridSpan w:val="5"/>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kern w:val="0"/>
                <w:sz w:val="18"/>
                <w:szCs w:val="18"/>
                <w:highlight w:val="none"/>
              </w:rPr>
            </w:pPr>
            <w:r>
              <w:rPr>
                <w:rFonts w:hint="default" w:ascii="Times New Roman" w:hAnsi="Times New Roman" w:eastAsia="仿宋_GB2312" w:cs="Times New Roman"/>
                <w:kern w:val="0"/>
                <w:sz w:val="18"/>
                <w:szCs w:val="18"/>
                <w:highlight w:val="none"/>
              </w:rPr>
              <w:t>容许土壤流失量[t/（</w:t>
            </w:r>
            <w:r>
              <w:rPr>
                <w:rFonts w:hint="default" w:ascii="Times New Roman" w:hAnsi="Times New Roman" w:eastAsia="仿宋_GB2312" w:cs="Times New Roman"/>
                <w:kern w:val="0"/>
                <w:sz w:val="18"/>
                <w:szCs w:val="18"/>
                <w:highlight w:val="none"/>
                <w:lang w:eastAsia="zh-CN"/>
              </w:rPr>
              <w:t>km²</w:t>
            </w:r>
            <w:r>
              <w:rPr>
                <w:rFonts w:hint="default" w:ascii="Times New Roman" w:hAnsi="Times New Roman" w:eastAsia="仿宋_GB2312" w:cs="Times New Roman"/>
                <w:kern w:val="0"/>
                <w:sz w:val="18"/>
                <w:szCs w:val="18"/>
                <w:highlight w:val="none"/>
              </w:rPr>
              <w:t>.a）]</w:t>
            </w:r>
          </w:p>
        </w:tc>
        <w:tc>
          <w:tcPr>
            <w:tcW w:w="922" w:type="pct"/>
            <w:gridSpan w:val="3"/>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kern w:val="0"/>
                <w:sz w:val="18"/>
                <w:szCs w:val="18"/>
                <w:highlight w:val="none"/>
              </w:rPr>
            </w:pPr>
            <w:r>
              <w:rPr>
                <w:rFonts w:hint="default" w:ascii="Times New Roman" w:hAnsi="Times New Roman" w:eastAsia="仿宋_GB2312" w:cs="Times New Roman"/>
                <w:kern w:val="0"/>
                <w:sz w:val="18"/>
                <w:szCs w:val="18"/>
                <w:highlight w:val="none"/>
              </w:rPr>
              <w:t>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01" w:type="pct"/>
            <w:gridSpan w:val="4"/>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土壤流失预测总量（t）</w:t>
            </w:r>
          </w:p>
        </w:tc>
        <w:tc>
          <w:tcPr>
            <w:tcW w:w="1045" w:type="pct"/>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kern w:val="0"/>
                <w:sz w:val="18"/>
                <w:szCs w:val="18"/>
                <w:highlight w:val="none"/>
                <w:lang w:eastAsia="zh-CN"/>
              </w:rPr>
            </w:pPr>
            <w:r>
              <w:rPr>
                <w:rFonts w:hint="eastAsia" w:eastAsia="仿宋_GB2312" w:cs="Times New Roman"/>
                <w:kern w:val="0"/>
                <w:sz w:val="18"/>
                <w:szCs w:val="18"/>
                <w:highlight w:val="none"/>
                <w:lang w:eastAsia="zh-CN"/>
              </w:rPr>
              <w:t>1434.59</w:t>
            </w:r>
          </w:p>
        </w:tc>
        <w:tc>
          <w:tcPr>
            <w:tcW w:w="1331" w:type="pct"/>
            <w:gridSpan w:val="5"/>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kern w:val="0"/>
                <w:sz w:val="18"/>
                <w:szCs w:val="18"/>
                <w:highlight w:val="none"/>
              </w:rPr>
            </w:pPr>
            <w:r>
              <w:rPr>
                <w:rFonts w:hint="default" w:ascii="Times New Roman" w:hAnsi="Times New Roman" w:eastAsia="仿宋_GB2312" w:cs="Times New Roman"/>
                <w:kern w:val="0"/>
                <w:sz w:val="18"/>
                <w:szCs w:val="18"/>
                <w:highlight w:val="none"/>
              </w:rPr>
              <w:t>新增土壤流失量（t）</w:t>
            </w:r>
          </w:p>
        </w:tc>
        <w:tc>
          <w:tcPr>
            <w:tcW w:w="922" w:type="pct"/>
            <w:gridSpan w:val="3"/>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kern w:val="0"/>
                <w:sz w:val="18"/>
                <w:szCs w:val="18"/>
                <w:highlight w:val="none"/>
                <w:lang w:eastAsia="zh-CN"/>
              </w:rPr>
            </w:pPr>
            <w:r>
              <w:rPr>
                <w:rFonts w:hint="eastAsia" w:eastAsia="仿宋_GB2312" w:cs="Times New Roman"/>
                <w:kern w:val="0"/>
                <w:sz w:val="18"/>
                <w:szCs w:val="18"/>
                <w:highlight w:val="none"/>
                <w:lang w:eastAsia="zh-CN"/>
              </w:rPr>
              <w:t>1270.76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01" w:type="pct"/>
            <w:gridSpan w:val="4"/>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水土流失防治标准执行等级</w:t>
            </w:r>
          </w:p>
        </w:tc>
        <w:tc>
          <w:tcPr>
            <w:tcW w:w="3298" w:type="pct"/>
            <w:gridSpan w:val="9"/>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eastAsia="仿宋_GB2312" w:cs="Times New Roman"/>
                <w:sz w:val="18"/>
                <w:szCs w:val="18"/>
                <w:highlight w:val="none"/>
              </w:rPr>
              <w:t>东北黑土区水土流失防治一级标准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0" w:type="pct"/>
            <w:vMerge w:val="restart"/>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防治指标</w:t>
            </w:r>
          </w:p>
        </w:tc>
        <w:tc>
          <w:tcPr>
            <w:tcW w:w="1080" w:type="pct"/>
            <w:gridSpan w:val="3"/>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kern w:val="0"/>
                <w:sz w:val="18"/>
                <w:szCs w:val="18"/>
                <w:highlight w:val="none"/>
              </w:rPr>
              <w:t>水土流失治理度（%）</w:t>
            </w:r>
          </w:p>
        </w:tc>
        <w:tc>
          <w:tcPr>
            <w:tcW w:w="1045" w:type="pct"/>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97</w:t>
            </w:r>
          </w:p>
        </w:tc>
        <w:tc>
          <w:tcPr>
            <w:tcW w:w="1342" w:type="pct"/>
            <w:gridSpan w:val="6"/>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kern w:val="0"/>
                <w:sz w:val="18"/>
                <w:szCs w:val="18"/>
                <w:highlight w:val="none"/>
              </w:rPr>
            </w:pPr>
            <w:r>
              <w:rPr>
                <w:rFonts w:hint="default" w:ascii="Times New Roman" w:hAnsi="Times New Roman" w:eastAsia="仿宋_GB2312" w:cs="Times New Roman"/>
                <w:sz w:val="18"/>
                <w:szCs w:val="18"/>
                <w:highlight w:val="none"/>
              </w:rPr>
              <w:t>土壤流失控制比</w:t>
            </w:r>
          </w:p>
        </w:tc>
        <w:tc>
          <w:tcPr>
            <w:tcW w:w="911" w:type="pct"/>
            <w:gridSpan w:val="2"/>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0" w:type="pct"/>
            <w:vMerge w:val="continue"/>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p>
        </w:tc>
        <w:tc>
          <w:tcPr>
            <w:tcW w:w="1080" w:type="pct"/>
            <w:gridSpan w:val="3"/>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渣土防护率</w:t>
            </w:r>
            <w:r>
              <w:rPr>
                <w:rFonts w:hint="default" w:ascii="Times New Roman" w:hAnsi="Times New Roman" w:eastAsia="仿宋_GB2312" w:cs="Times New Roman"/>
                <w:kern w:val="0"/>
                <w:sz w:val="18"/>
                <w:szCs w:val="18"/>
                <w:highlight w:val="none"/>
              </w:rPr>
              <w:t>（%）</w:t>
            </w:r>
          </w:p>
        </w:tc>
        <w:tc>
          <w:tcPr>
            <w:tcW w:w="1045" w:type="pct"/>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lang w:val="en-US" w:eastAsia="zh-CN"/>
              </w:rPr>
            </w:pPr>
            <w:r>
              <w:rPr>
                <w:rFonts w:hint="default" w:ascii="Times New Roman" w:hAnsi="Times New Roman" w:eastAsia="仿宋_GB2312" w:cs="Times New Roman"/>
                <w:sz w:val="18"/>
                <w:szCs w:val="18"/>
                <w:highlight w:val="none"/>
                <w:lang w:val="en-US" w:eastAsia="zh-CN"/>
              </w:rPr>
              <w:t>98</w:t>
            </w:r>
          </w:p>
        </w:tc>
        <w:tc>
          <w:tcPr>
            <w:tcW w:w="1342" w:type="pct"/>
            <w:gridSpan w:val="6"/>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kern w:val="0"/>
                <w:sz w:val="18"/>
                <w:szCs w:val="18"/>
                <w:highlight w:val="none"/>
              </w:rPr>
            </w:pPr>
            <w:r>
              <w:rPr>
                <w:rFonts w:hint="default" w:ascii="Times New Roman" w:hAnsi="Times New Roman" w:eastAsia="仿宋_GB2312" w:cs="Times New Roman"/>
                <w:kern w:val="0"/>
                <w:sz w:val="18"/>
                <w:szCs w:val="18"/>
                <w:highlight w:val="none"/>
              </w:rPr>
              <w:t>表土保护率（%）</w:t>
            </w:r>
          </w:p>
        </w:tc>
        <w:tc>
          <w:tcPr>
            <w:tcW w:w="911" w:type="pct"/>
            <w:gridSpan w:val="2"/>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0" w:type="pct"/>
            <w:vMerge w:val="continue"/>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p>
        </w:tc>
        <w:tc>
          <w:tcPr>
            <w:tcW w:w="1080" w:type="pct"/>
            <w:gridSpan w:val="3"/>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林草植被恢复率（%）</w:t>
            </w:r>
          </w:p>
        </w:tc>
        <w:tc>
          <w:tcPr>
            <w:tcW w:w="1045" w:type="pct"/>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97</w:t>
            </w:r>
          </w:p>
        </w:tc>
        <w:tc>
          <w:tcPr>
            <w:tcW w:w="1342" w:type="pct"/>
            <w:gridSpan w:val="6"/>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kern w:val="0"/>
                <w:sz w:val="18"/>
                <w:szCs w:val="18"/>
                <w:highlight w:val="none"/>
              </w:rPr>
            </w:pPr>
            <w:r>
              <w:rPr>
                <w:rFonts w:hint="default" w:ascii="Times New Roman" w:hAnsi="Times New Roman" w:eastAsia="仿宋_GB2312" w:cs="Times New Roman"/>
                <w:kern w:val="0"/>
                <w:sz w:val="18"/>
                <w:szCs w:val="18"/>
                <w:highlight w:val="none"/>
              </w:rPr>
              <w:t>林草覆盖率（%）</w:t>
            </w:r>
          </w:p>
        </w:tc>
        <w:tc>
          <w:tcPr>
            <w:tcW w:w="911" w:type="pct"/>
            <w:gridSpan w:val="2"/>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lang w:val="en-US" w:eastAsia="zh-CN"/>
              </w:rPr>
            </w:pPr>
            <w:r>
              <w:rPr>
                <w:rFonts w:hint="default" w:ascii="Times New Roman" w:hAnsi="Times New Roman" w:eastAsia="仿宋_GB2312" w:cs="Times New Roman"/>
                <w:sz w:val="18"/>
                <w:szCs w:val="18"/>
                <w:highlight w:val="none"/>
                <w:lang w:val="en-US" w:eastAsia="zh-CN"/>
              </w:rPr>
              <w:t>19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0" w:type="pct"/>
            <w:vMerge w:val="restart"/>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防治措施</w:t>
            </w:r>
          </w:p>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及工程量</w:t>
            </w:r>
          </w:p>
        </w:tc>
        <w:tc>
          <w:tcPr>
            <w:tcW w:w="2125" w:type="pct"/>
            <w:gridSpan w:val="4"/>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kern w:val="0"/>
                <w:sz w:val="18"/>
                <w:szCs w:val="18"/>
                <w:highlight w:val="none"/>
              </w:rPr>
            </w:pPr>
            <w:r>
              <w:rPr>
                <w:rFonts w:hint="default" w:ascii="Times New Roman" w:hAnsi="Times New Roman" w:eastAsia="仿宋_GB2312" w:cs="Times New Roman"/>
                <w:kern w:val="0"/>
                <w:sz w:val="18"/>
                <w:szCs w:val="18"/>
                <w:highlight w:val="none"/>
              </w:rPr>
              <w:t>工程措施</w:t>
            </w:r>
          </w:p>
        </w:tc>
        <w:tc>
          <w:tcPr>
            <w:tcW w:w="1342" w:type="pct"/>
            <w:gridSpan w:val="6"/>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kern w:val="0"/>
                <w:sz w:val="18"/>
                <w:szCs w:val="18"/>
                <w:highlight w:val="none"/>
              </w:rPr>
            </w:pPr>
            <w:r>
              <w:rPr>
                <w:rFonts w:hint="default" w:ascii="Times New Roman" w:hAnsi="Times New Roman" w:eastAsia="仿宋_GB2312" w:cs="Times New Roman"/>
                <w:kern w:val="0"/>
                <w:sz w:val="18"/>
                <w:szCs w:val="18"/>
                <w:highlight w:val="none"/>
              </w:rPr>
              <w:t>植物措施</w:t>
            </w:r>
          </w:p>
        </w:tc>
        <w:tc>
          <w:tcPr>
            <w:tcW w:w="911" w:type="pct"/>
            <w:gridSpan w:val="2"/>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kern w:val="0"/>
                <w:sz w:val="18"/>
                <w:szCs w:val="18"/>
                <w:highlight w:val="none"/>
              </w:rPr>
            </w:pPr>
            <w:r>
              <w:rPr>
                <w:rFonts w:hint="default" w:ascii="Times New Roman" w:hAnsi="Times New Roman" w:eastAsia="仿宋_GB2312" w:cs="Times New Roman"/>
                <w:kern w:val="0"/>
                <w:sz w:val="18"/>
                <w:szCs w:val="18"/>
                <w:highlight w:val="none"/>
              </w:rPr>
              <w:t>临时措施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0" w:type="pct"/>
            <w:vMerge w:val="continue"/>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p>
        </w:tc>
        <w:tc>
          <w:tcPr>
            <w:tcW w:w="2125" w:type="pct"/>
            <w:gridSpan w:val="4"/>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z w:val="18"/>
                <w:szCs w:val="18"/>
                <w:lang w:eastAsia="zh-CN"/>
              </w:rPr>
            </w:pPr>
            <w:r>
              <w:rPr>
                <w:rFonts w:hint="default" w:ascii="Times New Roman" w:hAnsi="Times New Roman" w:eastAsia="仿宋" w:cs="Times New Roman"/>
                <w:sz w:val="18"/>
                <w:szCs w:val="18"/>
              </w:rPr>
              <w:t>雨水管线</w:t>
            </w:r>
            <w:r>
              <w:rPr>
                <w:rFonts w:hint="eastAsia" w:eastAsia="仿宋" w:cs="Times New Roman"/>
                <w:sz w:val="18"/>
                <w:szCs w:val="18"/>
                <w:lang w:val="en-US" w:eastAsia="zh-CN"/>
              </w:rPr>
              <w:t>2600m</w:t>
            </w:r>
            <w:r>
              <w:rPr>
                <w:rFonts w:hint="default" w:ascii="Times New Roman" w:hAnsi="Times New Roman" w:eastAsia="仿宋" w:cs="Times New Roman"/>
                <w:sz w:val="18"/>
                <w:szCs w:val="18"/>
              </w:rPr>
              <w:t>，</w:t>
            </w:r>
            <w:r>
              <w:rPr>
                <w:rFonts w:hint="eastAsia" w:eastAsia="仿宋" w:cs="Times New Roman"/>
                <w:sz w:val="18"/>
                <w:szCs w:val="18"/>
                <w:lang w:eastAsia="zh-CN"/>
              </w:rPr>
              <w:t>雨水口</w:t>
            </w:r>
            <w:r>
              <w:rPr>
                <w:rFonts w:hint="eastAsia" w:eastAsia="仿宋" w:cs="Times New Roman"/>
                <w:sz w:val="18"/>
                <w:szCs w:val="18"/>
                <w:lang w:val="en-US" w:eastAsia="zh-CN"/>
              </w:rPr>
              <w:t>260</w:t>
            </w:r>
            <w:r>
              <w:rPr>
                <w:rFonts w:hint="default" w:ascii="Times New Roman" w:hAnsi="Times New Roman" w:eastAsia="仿宋" w:cs="Times New Roman"/>
                <w:sz w:val="18"/>
                <w:szCs w:val="18"/>
              </w:rPr>
              <w:t>个、绿化土回覆</w:t>
            </w:r>
            <w:r>
              <w:rPr>
                <w:rFonts w:hint="eastAsia" w:eastAsia="仿宋" w:cs="Times New Roman"/>
                <w:sz w:val="18"/>
                <w:szCs w:val="18"/>
                <w:lang w:val="en-US" w:eastAsia="zh-CN"/>
              </w:rPr>
              <w:t>1.20</w:t>
            </w:r>
            <w:r>
              <w:rPr>
                <w:rFonts w:hint="default" w:ascii="Times New Roman" w:hAnsi="Times New Roman" w:eastAsia="仿宋" w:cs="Times New Roman"/>
                <w:sz w:val="18"/>
                <w:szCs w:val="18"/>
                <w:lang w:val="en-US" w:eastAsia="zh-CN"/>
              </w:rPr>
              <w:t>万</w:t>
            </w:r>
            <w:r>
              <w:rPr>
                <w:rFonts w:hint="default" w:ascii="Times New Roman" w:hAnsi="Times New Roman" w:eastAsia="仿宋" w:cs="Times New Roman"/>
                <w:sz w:val="18"/>
                <w:szCs w:val="18"/>
                <w:lang w:eastAsia="zh-CN"/>
              </w:rPr>
              <w:t>m³</w:t>
            </w:r>
            <w:r>
              <w:rPr>
                <w:rFonts w:hint="default" w:ascii="Times New Roman" w:hAnsi="Times New Roman" w:eastAsia="仿宋" w:cs="Times New Roman"/>
                <w:sz w:val="18"/>
                <w:szCs w:val="18"/>
              </w:rPr>
              <w:t>、全面整地</w:t>
            </w:r>
            <w:r>
              <w:rPr>
                <w:rFonts w:hint="eastAsia" w:eastAsia="仿宋" w:cs="Times New Roman"/>
                <w:sz w:val="18"/>
                <w:szCs w:val="18"/>
                <w:lang w:val="en-US" w:eastAsia="zh-CN"/>
              </w:rPr>
              <w:t>3.99</w:t>
            </w:r>
            <w:r>
              <w:rPr>
                <w:rFonts w:hint="default" w:ascii="Times New Roman" w:hAnsi="Times New Roman" w:eastAsia="仿宋" w:cs="Times New Roman"/>
                <w:sz w:val="18"/>
                <w:szCs w:val="18"/>
                <w:lang w:eastAsia="zh-CN"/>
              </w:rPr>
              <w:t>hm²</w:t>
            </w:r>
          </w:p>
        </w:tc>
        <w:tc>
          <w:tcPr>
            <w:tcW w:w="1342" w:type="pct"/>
            <w:gridSpan w:val="6"/>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z w:val="18"/>
                <w:szCs w:val="18"/>
                <w:lang w:val="en-US" w:eastAsia="zh-CN"/>
              </w:rPr>
            </w:pPr>
            <w:r>
              <w:rPr>
                <w:rFonts w:hint="default" w:ascii="Times New Roman" w:hAnsi="Times New Roman" w:eastAsia="仿宋" w:cs="Times New Roman"/>
                <w:sz w:val="18"/>
                <w:szCs w:val="18"/>
                <w:lang w:val="en-US" w:eastAsia="zh-CN"/>
              </w:rPr>
              <w:t>绿化</w:t>
            </w:r>
            <w:r>
              <w:rPr>
                <w:rFonts w:hint="eastAsia" w:eastAsia="仿宋" w:cs="Times New Roman"/>
                <w:sz w:val="18"/>
                <w:szCs w:val="18"/>
                <w:lang w:val="en-US" w:eastAsia="zh-CN"/>
              </w:rPr>
              <w:t>39933.28</w:t>
            </w:r>
            <w:r>
              <w:rPr>
                <w:rFonts w:hint="default" w:ascii="Times New Roman" w:hAnsi="Times New Roman" w:eastAsia="仿宋" w:cs="Times New Roman"/>
                <w:sz w:val="18"/>
                <w:szCs w:val="18"/>
                <w:lang w:eastAsia="zh-CN"/>
              </w:rPr>
              <w:t>m²</w:t>
            </w:r>
          </w:p>
        </w:tc>
        <w:tc>
          <w:tcPr>
            <w:tcW w:w="911" w:type="pct"/>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z w:val="18"/>
                <w:szCs w:val="18"/>
                <w:lang w:eastAsia="zh-CN"/>
              </w:rPr>
            </w:pPr>
            <w:r>
              <w:rPr>
                <w:rFonts w:hint="default" w:ascii="Times New Roman" w:hAnsi="Times New Roman" w:eastAsia="仿宋" w:cs="Times New Roman"/>
                <w:sz w:val="18"/>
                <w:szCs w:val="18"/>
                <w:highlight w:val="none"/>
                <w:shd w:val="clear"/>
                <w:lang w:eastAsia="zh-CN"/>
              </w:rPr>
              <w:t>密目网苫盖</w:t>
            </w:r>
            <w:r>
              <w:rPr>
                <w:rFonts w:hint="eastAsia" w:eastAsia="仿宋" w:cs="Times New Roman"/>
                <w:sz w:val="18"/>
                <w:szCs w:val="18"/>
                <w:highlight w:val="none"/>
                <w:shd w:val="clear"/>
                <w:lang w:val="en-US" w:eastAsia="zh-CN"/>
              </w:rPr>
              <w:t>2965</w:t>
            </w:r>
            <w:r>
              <w:rPr>
                <w:rFonts w:hint="default" w:ascii="Times New Roman" w:hAnsi="Times New Roman" w:eastAsia="仿宋" w:cs="Times New Roman"/>
                <w:sz w:val="18"/>
                <w:szCs w:val="18"/>
                <w:highlight w:val="none"/>
                <w:shd w:val="clear"/>
                <w:lang w:eastAsia="zh-CN"/>
              </w:rPr>
              <w:t>m²</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13" w:type="pct"/>
            <w:gridSpan w:val="3"/>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投资（万元）</w:t>
            </w:r>
          </w:p>
        </w:tc>
        <w:tc>
          <w:tcPr>
            <w:tcW w:w="1532" w:type="pct"/>
            <w:gridSpan w:val="2"/>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lang w:eastAsia="zh-CN"/>
              </w:rPr>
            </w:pPr>
            <w:r>
              <w:rPr>
                <w:rFonts w:hint="eastAsia" w:eastAsia="仿宋_GB2312" w:cs="Times New Roman"/>
                <w:sz w:val="18"/>
                <w:szCs w:val="18"/>
                <w:highlight w:val="none"/>
                <w:lang w:eastAsia="zh-CN"/>
              </w:rPr>
              <w:t>285.61</w:t>
            </w:r>
          </w:p>
        </w:tc>
        <w:tc>
          <w:tcPr>
            <w:tcW w:w="1342" w:type="pct"/>
            <w:gridSpan w:val="6"/>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lang w:eastAsia="zh-CN"/>
              </w:rPr>
            </w:pPr>
            <w:r>
              <w:rPr>
                <w:rFonts w:hint="eastAsia" w:eastAsia="仿宋_GB2312" w:cs="Times New Roman"/>
                <w:sz w:val="18"/>
                <w:szCs w:val="18"/>
                <w:highlight w:val="none"/>
                <w:lang w:eastAsia="zh-CN"/>
              </w:rPr>
              <w:t>479.20</w:t>
            </w:r>
          </w:p>
        </w:tc>
        <w:tc>
          <w:tcPr>
            <w:tcW w:w="911" w:type="pct"/>
            <w:gridSpan w:val="2"/>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lang w:val="en-US" w:eastAsia="zh-CN"/>
              </w:rPr>
            </w:pPr>
            <w:r>
              <w:rPr>
                <w:rFonts w:hint="eastAsia" w:eastAsia="仿宋_GB2312" w:cs="Times New Roman"/>
                <w:sz w:val="18"/>
                <w:szCs w:val="18"/>
                <w:highlight w:val="none"/>
                <w:lang w:val="en-US" w:eastAsia="zh-CN"/>
              </w:rPr>
              <w:t>3.34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13" w:type="pct"/>
            <w:gridSpan w:val="3"/>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水土保持总投资（万元）</w:t>
            </w:r>
          </w:p>
        </w:tc>
        <w:tc>
          <w:tcPr>
            <w:tcW w:w="1532" w:type="pct"/>
            <w:gridSpan w:val="2"/>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lang w:eastAsia="zh-CN"/>
              </w:rPr>
            </w:pPr>
            <w:r>
              <w:rPr>
                <w:rFonts w:hint="eastAsia" w:eastAsia="仿宋_GB2312" w:cs="Times New Roman"/>
                <w:sz w:val="18"/>
                <w:szCs w:val="18"/>
                <w:highlight w:val="none"/>
                <w:lang w:eastAsia="zh-CN"/>
              </w:rPr>
              <w:t>842.14</w:t>
            </w:r>
          </w:p>
        </w:tc>
        <w:tc>
          <w:tcPr>
            <w:tcW w:w="1342" w:type="pct"/>
            <w:gridSpan w:val="6"/>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独立费用（万元）</w:t>
            </w:r>
          </w:p>
        </w:tc>
        <w:tc>
          <w:tcPr>
            <w:tcW w:w="911" w:type="pct"/>
            <w:gridSpan w:val="2"/>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lang w:val="en-US" w:eastAsia="zh-CN"/>
              </w:rPr>
            </w:pPr>
            <w:r>
              <w:rPr>
                <w:rFonts w:hint="eastAsia" w:eastAsia="仿宋_GB2312" w:cs="Times New Roman"/>
                <w:sz w:val="18"/>
                <w:szCs w:val="18"/>
                <w:highlight w:val="none"/>
                <w:lang w:val="en-US" w:eastAsia="zh-CN"/>
              </w:rPr>
              <w:t>69.67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13" w:type="pct"/>
            <w:gridSpan w:val="3"/>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监理费（万元）</w:t>
            </w:r>
          </w:p>
        </w:tc>
        <w:tc>
          <w:tcPr>
            <w:tcW w:w="487" w:type="pct"/>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lang w:val="en-US" w:eastAsia="zh-CN"/>
              </w:rPr>
            </w:pPr>
            <w:r>
              <w:rPr>
                <w:rFonts w:hint="eastAsia" w:eastAsia="仿宋_GB2312" w:cs="Times New Roman"/>
                <w:sz w:val="18"/>
                <w:szCs w:val="18"/>
                <w:highlight w:val="none"/>
                <w:lang w:val="en-US" w:eastAsia="zh-CN"/>
              </w:rPr>
              <w:t>16</w:t>
            </w:r>
          </w:p>
        </w:tc>
        <w:tc>
          <w:tcPr>
            <w:tcW w:w="1045" w:type="pct"/>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监测费（万元）</w:t>
            </w:r>
          </w:p>
        </w:tc>
        <w:tc>
          <w:tcPr>
            <w:tcW w:w="765" w:type="pct"/>
            <w:gridSpan w:val="2"/>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lang w:val="en-US" w:eastAsia="zh-CN"/>
              </w:rPr>
            </w:pPr>
            <w:r>
              <w:rPr>
                <w:rFonts w:hint="eastAsia" w:eastAsia="仿宋_GB2312" w:cs="Times New Roman"/>
                <w:sz w:val="18"/>
                <w:szCs w:val="18"/>
                <w:highlight w:val="none"/>
                <w:lang w:val="en-US" w:eastAsia="zh-CN"/>
              </w:rPr>
              <w:t>15.62</w:t>
            </w:r>
          </w:p>
        </w:tc>
        <w:tc>
          <w:tcPr>
            <w:tcW w:w="933" w:type="pct"/>
            <w:gridSpan w:val="5"/>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补偿费（万元）</w:t>
            </w:r>
          </w:p>
        </w:tc>
        <w:tc>
          <w:tcPr>
            <w:tcW w:w="555" w:type="pct"/>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lang w:val="en-US" w:eastAsia="zh-CN"/>
              </w:rPr>
            </w:pPr>
            <w:r>
              <w:rPr>
                <w:rFonts w:hint="eastAsia" w:eastAsia="仿宋_GB2312" w:cs="Times New Roman"/>
                <w:sz w:val="18"/>
                <w:szCs w:val="18"/>
                <w:highlight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13" w:type="pct"/>
            <w:gridSpan w:val="3"/>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z w:val="18"/>
                <w:szCs w:val="18"/>
                <w:highlight w:val="none"/>
              </w:rPr>
            </w:pPr>
            <w:r>
              <w:rPr>
                <w:rFonts w:hint="default" w:ascii="Times New Roman" w:hAnsi="Times New Roman" w:eastAsia="仿宋" w:cs="Times New Roman"/>
                <w:sz w:val="18"/>
                <w:szCs w:val="18"/>
                <w:highlight w:val="none"/>
              </w:rPr>
              <w:t>方案编制单位</w:t>
            </w:r>
          </w:p>
        </w:tc>
        <w:tc>
          <w:tcPr>
            <w:tcW w:w="1532" w:type="pct"/>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z w:val="18"/>
                <w:szCs w:val="18"/>
                <w:highlight w:val="none"/>
                <w:lang w:eastAsia="zh-CN"/>
              </w:rPr>
            </w:pPr>
            <w:r>
              <w:rPr>
                <w:rFonts w:hint="eastAsia" w:eastAsia="仿宋" w:cs="Times New Roman"/>
                <w:sz w:val="18"/>
                <w:szCs w:val="18"/>
                <w:highlight w:val="none"/>
                <w:lang w:eastAsia="zh-CN"/>
              </w:rPr>
              <w:t>吉林省晟元工程咨询有限公司</w:t>
            </w:r>
          </w:p>
        </w:tc>
        <w:tc>
          <w:tcPr>
            <w:tcW w:w="765" w:type="pct"/>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z w:val="18"/>
                <w:szCs w:val="18"/>
                <w:highlight w:val="none"/>
              </w:rPr>
            </w:pPr>
            <w:r>
              <w:rPr>
                <w:rFonts w:hint="default" w:ascii="Times New Roman" w:hAnsi="Times New Roman" w:eastAsia="仿宋" w:cs="Times New Roman"/>
                <w:sz w:val="18"/>
                <w:szCs w:val="18"/>
                <w:highlight w:val="none"/>
              </w:rPr>
              <w:t>建设单位</w:t>
            </w:r>
          </w:p>
        </w:tc>
        <w:tc>
          <w:tcPr>
            <w:tcW w:w="1488" w:type="pct"/>
            <w:gridSpan w:val="6"/>
            <w:noWrap w:val="0"/>
            <w:vAlign w:val="center"/>
          </w:tcPr>
          <w:p>
            <w:pPr>
              <w:pStyle w:val="4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z w:val="18"/>
                <w:szCs w:val="18"/>
                <w:highlight w:val="none"/>
                <w:lang w:eastAsia="zh-CN"/>
              </w:rPr>
            </w:pPr>
            <w:r>
              <w:rPr>
                <w:rFonts w:hint="default" w:ascii="Times New Roman" w:hAnsi="Times New Roman" w:eastAsia="仿宋" w:cs="Times New Roman"/>
                <w:snapToGrid w:val="0"/>
                <w:kern w:val="0"/>
                <w:sz w:val="18"/>
                <w:szCs w:val="18"/>
                <w:highlight w:val="none"/>
                <w:lang w:eastAsia="zh-CN"/>
              </w:rPr>
              <w:t>长春市瑞通投资有限公司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13" w:type="pct"/>
            <w:gridSpan w:val="3"/>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z w:val="18"/>
                <w:szCs w:val="18"/>
                <w:highlight w:val="none"/>
              </w:rPr>
            </w:pPr>
            <w:r>
              <w:rPr>
                <w:rFonts w:hint="default" w:ascii="Times New Roman" w:hAnsi="Times New Roman" w:eastAsia="仿宋" w:cs="Times New Roman"/>
                <w:sz w:val="18"/>
                <w:szCs w:val="18"/>
                <w:highlight w:val="none"/>
              </w:rPr>
              <w:t>法定代表人</w:t>
            </w:r>
          </w:p>
        </w:tc>
        <w:tc>
          <w:tcPr>
            <w:tcW w:w="1532" w:type="pct"/>
            <w:gridSpan w:val="2"/>
            <w:noWrap w:val="0"/>
            <w:vAlign w:val="center"/>
          </w:tcPr>
          <w:p>
            <w:pPr>
              <w:pStyle w:val="4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z w:val="18"/>
                <w:szCs w:val="18"/>
                <w:highlight w:val="none"/>
                <w:lang w:eastAsia="zh-CN"/>
              </w:rPr>
            </w:pPr>
            <w:r>
              <w:rPr>
                <w:rFonts w:hint="eastAsia" w:ascii="Times New Roman" w:hAnsi="Times New Roman" w:eastAsia="仿宋" w:cs="Times New Roman"/>
                <w:sz w:val="18"/>
                <w:szCs w:val="18"/>
                <w:highlight w:val="none"/>
                <w:lang w:eastAsia="zh-CN"/>
              </w:rPr>
              <w:t>刘伟明</w:t>
            </w:r>
          </w:p>
        </w:tc>
        <w:tc>
          <w:tcPr>
            <w:tcW w:w="765" w:type="pct"/>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z w:val="18"/>
                <w:szCs w:val="18"/>
                <w:highlight w:val="none"/>
              </w:rPr>
            </w:pPr>
            <w:r>
              <w:rPr>
                <w:rFonts w:hint="default" w:ascii="Times New Roman" w:hAnsi="Times New Roman" w:eastAsia="仿宋" w:cs="Times New Roman"/>
                <w:sz w:val="18"/>
                <w:szCs w:val="18"/>
                <w:highlight w:val="none"/>
              </w:rPr>
              <w:t>法定代表人</w:t>
            </w:r>
          </w:p>
        </w:tc>
        <w:tc>
          <w:tcPr>
            <w:tcW w:w="1488" w:type="pct"/>
            <w:gridSpan w:val="6"/>
            <w:noWrap w:val="0"/>
            <w:vAlign w:val="center"/>
          </w:tcPr>
          <w:p>
            <w:pPr>
              <w:pStyle w:val="4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z w:val="18"/>
                <w:szCs w:val="18"/>
                <w:highlight w:val="none"/>
                <w:lang w:eastAsia="zh-CN"/>
              </w:rPr>
            </w:pPr>
            <w:r>
              <w:rPr>
                <w:rFonts w:hint="default" w:ascii="Times New Roman" w:hAnsi="Times New Roman" w:eastAsia="仿宋" w:cs="Times New Roman"/>
                <w:snapToGrid w:val="0"/>
                <w:kern w:val="0"/>
                <w:sz w:val="18"/>
                <w:szCs w:val="18"/>
                <w:highlight w:val="none"/>
                <w:lang w:eastAsia="zh-CN"/>
              </w:rPr>
              <w:t>李延宾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13" w:type="pct"/>
            <w:gridSpan w:val="3"/>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z w:val="18"/>
                <w:szCs w:val="18"/>
                <w:highlight w:val="none"/>
              </w:rPr>
            </w:pPr>
            <w:r>
              <w:rPr>
                <w:rFonts w:hint="default" w:ascii="Times New Roman" w:hAnsi="Times New Roman" w:eastAsia="仿宋" w:cs="Times New Roman"/>
                <w:sz w:val="18"/>
                <w:szCs w:val="18"/>
                <w:highlight w:val="none"/>
              </w:rPr>
              <w:t>地址</w:t>
            </w:r>
          </w:p>
        </w:tc>
        <w:tc>
          <w:tcPr>
            <w:tcW w:w="1532" w:type="pct"/>
            <w:gridSpan w:val="2"/>
            <w:noWrap w:val="0"/>
            <w:vAlign w:val="center"/>
          </w:tcPr>
          <w:p>
            <w:pPr>
              <w:pStyle w:val="4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z w:val="18"/>
                <w:szCs w:val="18"/>
                <w:highlight w:val="none"/>
                <w:lang w:eastAsia="zh-CN"/>
              </w:rPr>
            </w:pPr>
            <w:r>
              <w:rPr>
                <w:rFonts w:hint="eastAsia" w:ascii="Times New Roman" w:hAnsi="Times New Roman" w:eastAsia="仿宋" w:cs="Times New Roman"/>
                <w:sz w:val="18"/>
                <w:szCs w:val="18"/>
                <w:highlight w:val="none"/>
                <w:lang w:eastAsia="zh-CN"/>
              </w:rPr>
              <w:t>长春市经济开发区会展大街以西，北海路以南北海丽景一期工程15#楼1003号</w:t>
            </w:r>
          </w:p>
        </w:tc>
        <w:tc>
          <w:tcPr>
            <w:tcW w:w="765" w:type="pct"/>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z w:val="18"/>
                <w:szCs w:val="18"/>
                <w:highlight w:val="none"/>
              </w:rPr>
            </w:pPr>
            <w:r>
              <w:rPr>
                <w:rFonts w:hint="default" w:ascii="Times New Roman" w:hAnsi="Times New Roman" w:eastAsia="仿宋" w:cs="Times New Roman"/>
                <w:sz w:val="18"/>
                <w:szCs w:val="18"/>
                <w:highlight w:val="none"/>
              </w:rPr>
              <w:t>地址</w:t>
            </w:r>
          </w:p>
        </w:tc>
        <w:tc>
          <w:tcPr>
            <w:tcW w:w="1488" w:type="pct"/>
            <w:gridSpan w:val="6"/>
            <w:noWrap w:val="0"/>
            <w:vAlign w:val="center"/>
          </w:tcPr>
          <w:p>
            <w:pPr>
              <w:pStyle w:val="4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z w:val="18"/>
                <w:szCs w:val="18"/>
                <w:highlight w:val="none"/>
              </w:rPr>
            </w:pPr>
            <w:r>
              <w:rPr>
                <w:rFonts w:hint="default" w:ascii="Times New Roman" w:hAnsi="Times New Roman" w:eastAsia="仿宋" w:cs="Times New Roman"/>
                <w:spacing w:val="14"/>
                <w:sz w:val="18"/>
                <w:szCs w:val="18"/>
              </w:rPr>
              <w:t>长</w:t>
            </w:r>
            <w:r>
              <w:rPr>
                <w:rFonts w:hint="default" w:ascii="Times New Roman" w:hAnsi="Times New Roman" w:eastAsia="仿宋" w:cs="Times New Roman"/>
                <w:spacing w:val="8"/>
                <w:sz w:val="18"/>
                <w:szCs w:val="18"/>
              </w:rPr>
              <w:t>春市二道区广德街</w:t>
            </w:r>
            <w:r>
              <w:rPr>
                <w:rFonts w:hint="default" w:ascii="Times New Roman" w:hAnsi="Times New Roman" w:eastAsia="仿宋" w:cs="Times New Roman"/>
                <w:spacing w:val="1"/>
                <w:sz w:val="18"/>
                <w:szCs w:val="18"/>
              </w:rPr>
              <w:t>1128号</w:t>
            </w:r>
            <w:r>
              <w:rPr>
                <w:rFonts w:hint="default" w:ascii="Times New Roman" w:hAnsi="Times New Roman" w:eastAsia="仿宋" w:cs="Times New Roman"/>
                <w:sz w:val="18"/>
                <w:szCs w:val="18"/>
              </w:rPr>
              <w:t>303室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13" w:type="pct"/>
            <w:gridSpan w:val="3"/>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z w:val="18"/>
                <w:szCs w:val="18"/>
                <w:highlight w:val="none"/>
              </w:rPr>
            </w:pPr>
            <w:r>
              <w:rPr>
                <w:rFonts w:hint="default" w:ascii="Times New Roman" w:hAnsi="Times New Roman" w:eastAsia="仿宋" w:cs="Times New Roman"/>
                <w:sz w:val="18"/>
                <w:szCs w:val="18"/>
                <w:highlight w:val="none"/>
              </w:rPr>
              <w:t>邮编</w:t>
            </w:r>
          </w:p>
        </w:tc>
        <w:tc>
          <w:tcPr>
            <w:tcW w:w="1532" w:type="pct"/>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z w:val="18"/>
                <w:szCs w:val="18"/>
                <w:highlight w:val="none"/>
              </w:rPr>
            </w:pPr>
            <w:r>
              <w:rPr>
                <w:rFonts w:hint="default" w:ascii="Times New Roman" w:hAnsi="Times New Roman" w:eastAsia="仿宋" w:cs="Times New Roman"/>
                <w:sz w:val="18"/>
                <w:szCs w:val="18"/>
                <w:highlight w:val="none"/>
              </w:rPr>
              <w:t>130022</w:t>
            </w:r>
          </w:p>
        </w:tc>
        <w:tc>
          <w:tcPr>
            <w:tcW w:w="765" w:type="pct"/>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z w:val="18"/>
                <w:szCs w:val="18"/>
                <w:highlight w:val="none"/>
              </w:rPr>
            </w:pPr>
            <w:r>
              <w:rPr>
                <w:rFonts w:hint="default" w:ascii="Times New Roman" w:hAnsi="Times New Roman" w:eastAsia="仿宋" w:cs="Times New Roman"/>
                <w:sz w:val="18"/>
                <w:szCs w:val="18"/>
                <w:highlight w:val="none"/>
              </w:rPr>
              <w:t>邮编</w:t>
            </w:r>
          </w:p>
        </w:tc>
        <w:tc>
          <w:tcPr>
            <w:tcW w:w="1488" w:type="pct"/>
            <w:gridSpan w:val="6"/>
            <w:noWrap w:val="0"/>
            <w:vAlign w:val="center"/>
          </w:tcPr>
          <w:p>
            <w:pPr>
              <w:pStyle w:val="4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z w:val="18"/>
                <w:szCs w:val="18"/>
                <w:highlight w:val="none"/>
              </w:rPr>
            </w:pPr>
            <w:r>
              <w:rPr>
                <w:rFonts w:hint="default" w:ascii="Times New Roman" w:hAnsi="Times New Roman" w:eastAsia="仿宋" w:cs="Times New Roman"/>
                <w:i w:val="0"/>
                <w:iCs w:val="0"/>
                <w:caps w:val="0"/>
                <w:color w:val="333333"/>
                <w:spacing w:val="0"/>
                <w:sz w:val="18"/>
                <w:szCs w:val="18"/>
                <w:shd w:val="clear" w:color="auto" w:fill="FFFFFF"/>
              </w:rPr>
              <w:t>130031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13" w:type="pct"/>
            <w:gridSpan w:val="3"/>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z w:val="18"/>
                <w:szCs w:val="18"/>
                <w:highlight w:val="none"/>
              </w:rPr>
            </w:pPr>
            <w:r>
              <w:rPr>
                <w:rFonts w:hint="default" w:ascii="Times New Roman" w:hAnsi="Times New Roman" w:eastAsia="仿宋" w:cs="Times New Roman"/>
                <w:sz w:val="18"/>
                <w:szCs w:val="18"/>
                <w:highlight w:val="none"/>
              </w:rPr>
              <w:t>联系人及电话</w:t>
            </w:r>
          </w:p>
        </w:tc>
        <w:tc>
          <w:tcPr>
            <w:tcW w:w="1532" w:type="pct"/>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z w:val="18"/>
                <w:szCs w:val="18"/>
                <w:highlight w:val="none"/>
                <w:lang w:eastAsia="zh-CN"/>
              </w:rPr>
            </w:pPr>
            <w:r>
              <w:rPr>
                <w:rFonts w:hint="eastAsia" w:eastAsia="仿宋" w:cs="Times New Roman"/>
                <w:sz w:val="18"/>
                <w:szCs w:val="18"/>
                <w:highlight w:val="none"/>
                <w:lang w:val="en-US" w:eastAsia="zh-CN"/>
              </w:rPr>
              <w:t>张聪</w:t>
            </w:r>
            <w:r>
              <w:rPr>
                <w:rFonts w:hint="default" w:ascii="Times New Roman" w:hAnsi="Times New Roman" w:eastAsia="仿宋" w:cs="Times New Roman"/>
                <w:sz w:val="18"/>
                <w:szCs w:val="18"/>
                <w:highlight w:val="none"/>
                <w:lang w:val="en-US" w:eastAsia="zh-CN"/>
              </w:rPr>
              <w:t>/</w:t>
            </w:r>
            <w:r>
              <w:rPr>
                <w:rFonts w:hint="eastAsia" w:eastAsia="仿宋" w:cs="Times New Roman"/>
                <w:sz w:val="18"/>
                <w:szCs w:val="18"/>
                <w:highlight w:val="none"/>
                <w:lang w:eastAsia="zh-CN"/>
              </w:rPr>
              <w:t>17707777117</w:t>
            </w:r>
          </w:p>
        </w:tc>
        <w:tc>
          <w:tcPr>
            <w:tcW w:w="765" w:type="pct"/>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z w:val="18"/>
                <w:szCs w:val="18"/>
                <w:highlight w:val="none"/>
              </w:rPr>
            </w:pPr>
            <w:r>
              <w:rPr>
                <w:rFonts w:hint="default" w:ascii="Times New Roman" w:hAnsi="Times New Roman" w:eastAsia="仿宋" w:cs="Times New Roman"/>
                <w:sz w:val="18"/>
                <w:szCs w:val="18"/>
                <w:highlight w:val="none"/>
              </w:rPr>
              <w:t>联系人及电话</w:t>
            </w:r>
          </w:p>
        </w:tc>
        <w:tc>
          <w:tcPr>
            <w:tcW w:w="1488" w:type="pct"/>
            <w:gridSpan w:val="6"/>
            <w:noWrap w:val="0"/>
            <w:vAlign w:val="center"/>
          </w:tcPr>
          <w:p>
            <w:pPr>
              <w:pStyle w:val="4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z w:val="18"/>
                <w:szCs w:val="18"/>
                <w:highlight w:val="none"/>
              </w:rPr>
            </w:pPr>
            <w:r>
              <w:rPr>
                <w:rFonts w:hint="default" w:ascii="Times New Roman" w:hAnsi="Times New Roman" w:eastAsia="仿宋" w:cs="Times New Roman"/>
                <w:snapToGrid w:val="0"/>
                <w:kern w:val="0"/>
                <w:sz w:val="18"/>
                <w:szCs w:val="18"/>
                <w:highlight w:val="none"/>
                <w:lang w:val="en-US" w:eastAsia="zh-CN"/>
              </w:rPr>
              <w:t>田文超</w:t>
            </w:r>
            <w:r>
              <w:rPr>
                <w:rFonts w:hint="default" w:ascii="Times New Roman" w:hAnsi="Times New Roman" w:eastAsia="仿宋" w:cs="Times New Roman"/>
                <w:snapToGrid w:val="0"/>
                <w:kern w:val="0"/>
                <w:sz w:val="18"/>
                <w:szCs w:val="18"/>
                <w:highlight w:val="none"/>
              </w:rPr>
              <w:t>/15044021478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13" w:type="pct"/>
            <w:gridSpan w:val="3"/>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z w:val="18"/>
                <w:szCs w:val="18"/>
                <w:highlight w:val="none"/>
              </w:rPr>
            </w:pPr>
            <w:r>
              <w:rPr>
                <w:rFonts w:hint="default" w:ascii="Times New Roman" w:hAnsi="Times New Roman" w:eastAsia="仿宋" w:cs="Times New Roman"/>
                <w:sz w:val="18"/>
                <w:szCs w:val="18"/>
                <w:highlight w:val="none"/>
              </w:rPr>
              <w:t>电子信箱</w:t>
            </w:r>
          </w:p>
        </w:tc>
        <w:tc>
          <w:tcPr>
            <w:tcW w:w="1532" w:type="pct"/>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z w:val="18"/>
                <w:szCs w:val="18"/>
                <w:highlight w:val="none"/>
                <w:lang w:val="en-US" w:eastAsia="zh-CN"/>
              </w:rPr>
            </w:pPr>
            <w:r>
              <w:rPr>
                <w:rFonts w:hint="eastAsia" w:ascii="Times New Roman" w:hAnsi="Times New Roman" w:eastAsia="仿宋_GB2312" w:cs="Times New Roman"/>
                <w:snapToGrid w:val="0"/>
                <w:color w:val="000000"/>
                <w:kern w:val="0"/>
                <w:sz w:val="18"/>
                <w:szCs w:val="18"/>
                <w:highlight w:val="none"/>
                <w:lang w:eastAsia="zh-CN"/>
              </w:rPr>
              <w:t>842858755</w:t>
            </w:r>
            <w:r>
              <w:rPr>
                <w:rFonts w:hint="default" w:ascii="Times New Roman" w:hAnsi="Times New Roman" w:eastAsia="仿宋_GB2312" w:cs="Times New Roman"/>
                <w:snapToGrid w:val="0"/>
                <w:color w:val="000000"/>
                <w:kern w:val="0"/>
                <w:sz w:val="18"/>
                <w:szCs w:val="18"/>
                <w:highlight w:val="none"/>
              </w:rPr>
              <w:t>@qq.com</w:t>
            </w:r>
          </w:p>
        </w:tc>
        <w:tc>
          <w:tcPr>
            <w:tcW w:w="765" w:type="pct"/>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z w:val="18"/>
                <w:szCs w:val="18"/>
                <w:highlight w:val="none"/>
              </w:rPr>
            </w:pPr>
            <w:r>
              <w:rPr>
                <w:rFonts w:hint="default" w:ascii="Times New Roman" w:hAnsi="Times New Roman" w:eastAsia="仿宋" w:cs="Times New Roman"/>
                <w:sz w:val="18"/>
                <w:szCs w:val="18"/>
                <w:highlight w:val="none"/>
              </w:rPr>
              <w:t>电子信箱</w:t>
            </w:r>
          </w:p>
        </w:tc>
        <w:tc>
          <w:tcPr>
            <w:tcW w:w="1488" w:type="pct"/>
            <w:gridSpan w:val="6"/>
            <w:noWrap w:val="0"/>
            <w:vAlign w:val="center"/>
          </w:tcPr>
          <w:p>
            <w:pPr>
              <w:pStyle w:val="4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z w:val="18"/>
                <w:szCs w:val="18"/>
                <w:highlight w:val="none"/>
              </w:rPr>
            </w:pPr>
            <w:r>
              <w:rPr>
                <w:rFonts w:hint="default" w:ascii="Times New Roman" w:hAnsi="Times New Roman" w:eastAsia="仿宋" w:cs="Times New Roman"/>
                <w:snapToGrid w:val="0"/>
                <w:kern w:val="0"/>
                <w:sz w:val="18"/>
                <w:szCs w:val="18"/>
                <w:highlight w:val="none"/>
              </w:rPr>
              <w:t>523927267@qq.com</w:t>
            </w:r>
          </w:p>
        </w:tc>
      </w:tr>
    </w:tbl>
    <w:p>
      <w:pPr>
        <w:pageBreakBefore w:val="0"/>
        <w:kinsoku/>
        <w:wordWrap/>
        <w:bidi w:val="0"/>
        <w:spacing w:line="360" w:lineRule="auto"/>
        <w:jc w:val="center"/>
        <w:outlineLvl w:val="0"/>
        <w:rPr>
          <w:rFonts w:hint="default" w:ascii="Times New Roman" w:hAnsi="Times New Roman" w:eastAsia="仿宋_GB2312" w:cs="Times New Roman"/>
          <w:b/>
          <w:bCs/>
          <w:snapToGrid w:val="0"/>
          <w:highlight w:val="none"/>
        </w:rPr>
        <w:sectPr>
          <w:headerReference r:id="rId7" w:type="default"/>
          <w:footerReference r:id="rId8" w:type="default"/>
          <w:pgSz w:w="11906" w:h="16838"/>
          <w:pgMar w:top="1440" w:right="1701" w:bottom="1440" w:left="1797"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bookmarkStart w:id="45" w:name="_1_总_则"/>
      <w:bookmarkEnd w:id="45"/>
      <w:bookmarkStart w:id="46" w:name="_Toc63846061"/>
      <w:bookmarkStart w:id="47" w:name="_Toc70670608"/>
      <w:bookmarkStart w:id="48" w:name="_Toc93562109"/>
      <w:bookmarkStart w:id="49" w:name="_Toc85681893"/>
      <w:bookmarkStart w:id="50" w:name="_Toc84903249"/>
      <w:bookmarkStart w:id="51" w:name="_Toc71019203"/>
      <w:bookmarkStart w:id="52" w:name="_Toc70480564"/>
      <w:bookmarkStart w:id="53" w:name="_Toc72119346"/>
      <w:bookmarkStart w:id="54" w:name="_Toc85905435"/>
      <w:bookmarkStart w:id="55" w:name="_Toc84902355"/>
      <w:bookmarkStart w:id="56" w:name="_Toc85683198"/>
      <w:bookmarkStart w:id="57" w:name="_Toc72031765"/>
      <w:bookmarkStart w:id="58" w:name="_Toc85682055"/>
      <w:bookmarkStart w:id="59" w:name="_Toc84902750"/>
      <w:bookmarkStart w:id="60" w:name="_Toc84903305"/>
      <w:bookmarkStart w:id="61" w:name="_Toc71770229"/>
      <w:bookmarkStart w:id="62" w:name="_Toc71019311"/>
      <w:bookmarkStart w:id="63" w:name="_Toc85681655"/>
      <w:bookmarkStart w:id="64" w:name="_Toc71963285"/>
      <w:bookmarkStart w:id="65" w:name="_Toc72112396"/>
      <w:bookmarkStart w:id="66" w:name="_Toc84903103"/>
      <w:bookmarkStart w:id="67" w:name="_Toc63847022"/>
      <w:bookmarkStart w:id="68" w:name="_Toc85905597"/>
      <w:bookmarkStart w:id="69" w:name="_Toc70480666"/>
      <w:bookmarkStart w:id="70" w:name="_Toc93231886"/>
      <w:bookmarkStart w:id="71" w:name="_Toc93231741"/>
    </w:p>
    <w:p>
      <w:pPr>
        <w:pageBreakBefore w:val="0"/>
        <w:kinsoku/>
        <w:wordWrap/>
        <w:bidi w:val="0"/>
        <w:spacing w:line="360" w:lineRule="auto"/>
        <w:ind w:firstLine="480" w:firstLineChars="200"/>
        <w:rPr>
          <w:rFonts w:hint="default" w:ascii="Times New Roman" w:hAnsi="Times New Roman" w:eastAsia="仿宋_GB2312" w:cs="Times New Roman"/>
          <w:sz w:val="24"/>
          <w:highlight w:val="none"/>
        </w:rPr>
        <w:sectPr>
          <w:headerReference r:id="rId9" w:type="default"/>
          <w:footerReference r:id="rId10" w:type="default"/>
          <w:type w:val="continuous"/>
          <w:pgSz w:w="11906" w:h="16838"/>
          <w:pgMar w:top="1440" w:right="1701" w:bottom="1440" w:left="1797" w:header="851" w:footer="992" w:gutter="0"/>
          <w:pgBorders>
            <w:top w:val="none" w:sz="0" w:space="0"/>
            <w:left w:val="none" w:sz="0" w:space="0"/>
            <w:bottom w:val="none" w:sz="0" w:space="0"/>
            <w:right w:val="none" w:sz="0" w:space="0"/>
          </w:pgBorders>
          <w:pgNumType w:fmt="decimal"/>
          <w:cols w:space="720" w:num="1"/>
          <w:docGrid w:type="lines" w:linePitch="312" w:charSpace="0"/>
        </w:sectPr>
      </w:pPr>
    </w:p>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Pr>
        <w:pStyle w:val="4"/>
        <w:bidi w:val="0"/>
        <w:rPr>
          <w:rFonts w:hint="default" w:ascii="Times New Roman" w:hAnsi="Times New Roman" w:cs="Times New Roman"/>
        </w:rPr>
      </w:pPr>
      <w:bookmarkStart w:id="437" w:name="_GoBack"/>
      <w:bookmarkEnd w:id="437"/>
      <w:bookmarkStart w:id="72" w:name="_Toc85681664"/>
      <w:bookmarkStart w:id="73" w:name="_Toc71019315"/>
      <w:bookmarkStart w:id="74" w:name="_Toc85682059"/>
      <w:bookmarkStart w:id="75" w:name="_Toc84902759"/>
      <w:bookmarkStart w:id="76" w:name="_Toc84903253"/>
      <w:bookmarkStart w:id="77" w:name="_Toc70480568"/>
      <w:bookmarkStart w:id="78" w:name="_Toc71019207"/>
      <w:bookmarkStart w:id="79" w:name="_Toc71770233"/>
      <w:bookmarkStart w:id="80" w:name="_Toc84903112"/>
      <w:bookmarkStart w:id="81" w:name="_Toc3288"/>
      <w:bookmarkStart w:id="82" w:name="_Toc8216"/>
      <w:bookmarkStart w:id="83" w:name="_Toc93231890"/>
      <w:bookmarkStart w:id="84" w:name="_Toc30909"/>
      <w:bookmarkStart w:id="85" w:name="_Toc85681902"/>
      <w:bookmarkStart w:id="86" w:name="_Toc71963289"/>
      <w:bookmarkStart w:id="87" w:name="_Toc72031769"/>
      <w:bookmarkStart w:id="88" w:name="_Toc70670612"/>
      <w:bookmarkStart w:id="89" w:name="_Toc84903309"/>
      <w:bookmarkStart w:id="90" w:name="_Toc93562113"/>
      <w:bookmarkStart w:id="91" w:name="_Toc72119350"/>
      <w:bookmarkStart w:id="92" w:name="_Toc70480670"/>
      <w:bookmarkStart w:id="93" w:name="_Toc85683202"/>
      <w:bookmarkStart w:id="94" w:name="_Toc84902364"/>
      <w:bookmarkStart w:id="95" w:name="_Toc72112400"/>
      <w:bookmarkStart w:id="96" w:name="_Toc63847025"/>
      <w:bookmarkStart w:id="97" w:name="_Toc85905444"/>
      <w:bookmarkStart w:id="98" w:name="_Toc93231750"/>
      <w:bookmarkStart w:id="99" w:name="_Toc85905601"/>
      <w:r>
        <w:rPr>
          <w:rFonts w:hint="default" w:ascii="Times New Roman" w:hAnsi="Times New Roman" w:cs="Times New Roman"/>
        </w:rPr>
        <w:t>2项目概况</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pPr>
        <w:pStyle w:val="5"/>
        <w:bidi w:val="0"/>
        <w:rPr>
          <w:rFonts w:hint="default" w:ascii="Times New Roman" w:hAnsi="Times New Roman" w:cs="Times New Roman"/>
        </w:rPr>
      </w:pPr>
      <w:bookmarkStart w:id="100" w:name="_Toc29618"/>
      <w:bookmarkStart w:id="101" w:name="_Toc13039"/>
      <w:bookmarkStart w:id="102" w:name="_Toc19823"/>
      <w:bookmarkStart w:id="103" w:name="_Toc71770235"/>
      <w:bookmarkStart w:id="104" w:name="_Toc84903311"/>
      <w:bookmarkStart w:id="105" w:name="_Toc93231752"/>
      <w:bookmarkStart w:id="106" w:name="_Toc85681666"/>
      <w:bookmarkStart w:id="107" w:name="_Toc93231892"/>
      <w:bookmarkStart w:id="108" w:name="_Toc84902366"/>
      <w:bookmarkStart w:id="109" w:name="_Toc72031771"/>
      <w:bookmarkStart w:id="110" w:name="_Toc63847026"/>
      <w:bookmarkStart w:id="111" w:name="_Toc63846064"/>
      <w:bookmarkStart w:id="112" w:name="_Toc70480570"/>
      <w:bookmarkStart w:id="113" w:name="_Toc84903255"/>
      <w:bookmarkStart w:id="114" w:name="_Toc85905603"/>
      <w:bookmarkStart w:id="115" w:name="_Toc84902761"/>
      <w:bookmarkStart w:id="116" w:name="_Toc70480672"/>
      <w:bookmarkStart w:id="117" w:name="_Toc85681904"/>
      <w:bookmarkStart w:id="118" w:name="_Toc71963291"/>
      <w:bookmarkStart w:id="119" w:name="_Toc85682061"/>
      <w:bookmarkStart w:id="120" w:name="_Toc70670614"/>
      <w:bookmarkStart w:id="121" w:name="_Toc71019209"/>
      <w:bookmarkStart w:id="122" w:name="_Toc85905446"/>
      <w:bookmarkStart w:id="123" w:name="_Toc72119352"/>
      <w:bookmarkStart w:id="124" w:name="_Toc93562115"/>
      <w:bookmarkStart w:id="125" w:name="_Toc84903114"/>
      <w:bookmarkStart w:id="126" w:name="_Toc72112402"/>
      <w:bookmarkStart w:id="127" w:name="_Toc71019317"/>
      <w:bookmarkStart w:id="128" w:name="_Toc85683204"/>
      <w:r>
        <w:rPr>
          <w:rFonts w:hint="default" w:ascii="Times New Roman" w:hAnsi="Times New Roman" w:cs="Times New Roman"/>
        </w:rPr>
        <w:t>2.1项目组成及工程布置</w:t>
      </w:r>
      <w:bookmarkEnd w:id="100"/>
      <w:bookmarkEnd w:id="101"/>
      <w:bookmarkEnd w:id="102"/>
    </w:p>
    <w:p>
      <w:pPr>
        <w:pStyle w:val="6"/>
        <w:bidi w:val="0"/>
        <w:rPr>
          <w:rFonts w:hint="default" w:ascii="Times New Roman" w:hAnsi="Times New Roman" w:cs="Times New Roman"/>
        </w:rPr>
      </w:pPr>
      <w:r>
        <w:rPr>
          <w:rFonts w:hint="default" w:ascii="Times New Roman" w:hAnsi="Times New Roman" w:cs="Times New Roman"/>
        </w:rPr>
        <w:t>2.1.1项目基本情况</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仿宋_GB2312" w:cs="Times New Roman"/>
          <w:sz w:val="24"/>
          <w:szCs w:val="24"/>
          <w:lang w:eastAsia="zh-CN"/>
        </w:rPr>
      </w:pPr>
      <w:bookmarkStart w:id="129" w:name="_Toc251240158"/>
      <w:r>
        <w:rPr>
          <w:rFonts w:hint="default" w:ascii="Times New Roman" w:hAnsi="Times New Roman" w:eastAsia="仿宋_GB2312" w:cs="Times New Roman"/>
          <w:b/>
          <w:bCs/>
          <w:sz w:val="24"/>
          <w:szCs w:val="24"/>
        </w:rPr>
        <w:t>项目名称：</w:t>
      </w:r>
      <w:r>
        <w:rPr>
          <w:rFonts w:hint="default" w:ascii="Times New Roman" w:hAnsi="Times New Roman" w:eastAsia="仿宋_GB2312" w:cs="Times New Roman"/>
          <w:sz w:val="24"/>
          <w:szCs w:val="24"/>
          <w:lang w:val="en-US" w:eastAsia="zh-CN"/>
        </w:rPr>
        <w:t>长春国际物流经济开发区新兴建材产业园区建设</w:t>
      </w:r>
      <w:r>
        <w:rPr>
          <w:rFonts w:hint="eastAsia" w:ascii="Times New Roman" w:hAnsi="Times New Roman" w:eastAsia="仿宋_GB2312" w:cs="Times New Roman"/>
          <w:sz w:val="24"/>
          <w:szCs w:val="24"/>
          <w:lang w:eastAsia="zh-CN"/>
        </w:rPr>
        <w:t>项</w:t>
      </w:r>
      <w:r>
        <w:rPr>
          <w:rFonts w:hint="eastAsia" w:eastAsia="仿宋_GB2312" w:cs="Times New Roman"/>
          <w:sz w:val="24"/>
          <w:szCs w:val="24"/>
          <w:lang w:eastAsia="zh-CN"/>
        </w:rPr>
        <w:t>目</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b/>
          <w:bCs/>
          <w:sz w:val="24"/>
          <w:szCs w:val="24"/>
        </w:rPr>
        <w:t>建设单位：</w:t>
      </w:r>
      <w:r>
        <w:rPr>
          <w:rFonts w:hint="default" w:ascii="Times New Roman" w:hAnsi="Times New Roman" w:eastAsia="仿宋_GB2312" w:cs="Times New Roman"/>
          <w:sz w:val="24"/>
          <w:szCs w:val="24"/>
          <w:lang w:eastAsia="zh-CN"/>
        </w:rPr>
        <w:t>长春市瑞通投资有限公司</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b/>
          <w:bCs/>
          <w:sz w:val="24"/>
          <w:szCs w:val="24"/>
        </w:rPr>
        <w:t>建设性质：</w:t>
      </w:r>
      <w:r>
        <w:rPr>
          <w:rFonts w:hint="default" w:ascii="Times New Roman" w:hAnsi="Times New Roman" w:eastAsia="仿宋_GB2312" w:cs="Times New Roman"/>
          <w:sz w:val="24"/>
          <w:szCs w:val="24"/>
        </w:rPr>
        <w:t>新建建设类项目</w:t>
      </w:r>
    </w:p>
    <w:bookmarkEnd w:id="129"/>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仿宋_GB2312" w:cs="Times New Roman"/>
          <w:sz w:val="24"/>
          <w:szCs w:val="24"/>
          <w:highlight w:val="none"/>
        </w:rPr>
      </w:pPr>
      <w:bookmarkStart w:id="130" w:name="_Toc251240159"/>
      <w:r>
        <w:rPr>
          <w:rFonts w:hint="default" w:ascii="Times New Roman" w:hAnsi="Times New Roman" w:eastAsia="仿宋_GB2312" w:cs="Times New Roman"/>
          <w:b/>
          <w:bCs/>
          <w:sz w:val="24"/>
          <w:szCs w:val="24"/>
          <w:lang w:val="en-US" w:eastAsia="zh-CN"/>
        </w:rPr>
        <w:t>地理位置：</w:t>
      </w:r>
      <w:r>
        <w:rPr>
          <w:rFonts w:hint="default" w:ascii="Times New Roman" w:hAnsi="Times New Roman" w:eastAsia="仿宋_GB2312" w:cs="Times New Roman"/>
          <w:sz w:val="24"/>
          <w:szCs w:val="24"/>
          <w:lang w:val="en-US" w:eastAsia="zh-CN"/>
        </w:rPr>
        <w:t>长春国际物流经济开发区新兴建材产业园区建设</w:t>
      </w:r>
      <w:r>
        <w:rPr>
          <w:rFonts w:hint="eastAsia" w:eastAsia="仿宋_GB2312" w:cs="Times New Roman"/>
          <w:sz w:val="24"/>
          <w:szCs w:val="24"/>
          <w:lang w:eastAsia="zh-CN"/>
        </w:rPr>
        <w:t>项目</w:t>
      </w:r>
      <w:r>
        <w:rPr>
          <w:rFonts w:hint="default" w:ascii="Times New Roman" w:hAnsi="Times New Roman" w:eastAsia="仿宋_GB2312" w:cs="Times New Roman"/>
          <w:sz w:val="24"/>
          <w:szCs w:val="24"/>
        </w:rPr>
        <w:t>位于</w:t>
      </w:r>
      <w:r>
        <w:rPr>
          <w:rFonts w:hint="default" w:ascii="Times New Roman" w:hAnsi="Times New Roman" w:eastAsia="仿宋_GB2312" w:cs="Times New Roman"/>
          <w:sz w:val="24"/>
          <w:szCs w:val="24"/>
          <w:lang w:eastAsia="zh-CN"/>
        </w:rPr>
        <w:t>长春二道经济开发区（</w:t>
      </w:r>
      <w:r>
        <w:rPr>
          <w:rFonts w:hint="default" w:ascii="Times New Roman" w:hAnsi="Times New Roman" w:eastAsia="仿宋_GB2312" w:cs="Times New Roman"/>
          <w:sz w:val="24"/>
          <w:szCs w:val="24"/>
        </w:rPr>
        <w:t>行政隶属长春市二道区</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系省级开发区</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w:t>
      </w:r>
      <w:bookmarkEnd w:id="130"/>
      <w:r>
        <w:rPr>
          <w:rFonts w:hint="default" w:ascii="Times New Roman" w:hAnsi="Times New Roman" w:eastAsia="仿宋_GB2312" w:cs="Times New Roman"/>
          <w:sz w:val="24"/>
          <w:szCs w:val="24"/>
          <w:lang w:val="en-US" w:eastAsia="zh-CN"/>
        </w:rPr>
        <w:t>坐落于</w:t>
      </w:r>
      <w:r>
        <w:rPr>
          <w:rFonts w:hint="eastAsia" w:eastAsia="仿宋_GB2312" w:cs="Times New Roman"/>
          <w:sz w:val="24"/>
          <w:szCs w:val="24"/>
          <w:lang w:val="en-US" w:eastAsia="zh-CN"/>
        </w:rPr>
        <w:t>常德路以北、英俊东街以东、英凯大街以西</w:t>
      </w:r>
      <w:r>
        <w:rPr>
          <w:rFonts w:hint="default" w:ascii="Times New Roman" w:hAnsi="Times New Roman" w:eastAsia="仿宋_GB2312" w:cs="Times New Roman"/>
          <w:sz w:val="24"/>
          <w:szCs w:val="24"/>
          <w:lang w:val="en-US" w:eastAsia="zh-CN"/>
        </w:rPr>
        <w:t>。</w:t>
      </w:r>
      <w:r>
        <w:rPr>
          <w:rFonts w:hint="default" w:ascii="Times New Roman" w:hAnsi="Times New Roman" w:eastAsia="仿宋_GB2312" w:cs="Times New Roman"/>
          <w:sz w:val="24"/>
          <w:szCs w:val="24"/>
          <w:highlight w:val="none"/>
        </w:rPr>
        <w:t>中心点坐标为东经125°28′</w:t>
      </w:r>
      <w:r>
        <w:rPr>
          <w:rFonts w:hint="default" w:ascii="Times New Roman" w:hAnsi="Times New Roman" w:eastAsia="仿宋_GB2312" w:cs="Times New Roman"/>
          <w:sz w:val="24"/>
          <w:szCs w:val="24"/>
          <w:highlight w:val="none"/>
          <w:lang w:val="en-US" w:eastAsia="zh-CN"/>
        </w:rPr>
        <w:t>10.6221</w:t>
      </w:r>
      <w:r>
        <w:rPr>
          <w:rFonts w:hint="default" w:ascii="Times New Roman" w:hAnsi="Times New Roman" w:eastAsia="仿宋_GB2312" w:cs="Times New Roman"/>
          <w:sz w:val="24"/>
          <w:szCs w:val="24"/>
          <w:highlight w:val="none"/>
        </w:rPr>
        <w:t>″，北纬43°55′0.</w:t>
      </w:r>
      <w:r>
        <w:rPr>
          <w:rFonts w:hint="default" w:ascii="Times New Roman" w:hAnsi="Times New Roman" w:eastAsia="仿宋_GB2312" w:cs="Times New Roman"/>
          <w:sz w:val="24"/>
          <w:szCs w:val="24"/>
          <w:highlight w:val="none"/>
          <w:lang w:val="en-US" w:eastAsia="zh-CN"/>
        </w:rPr>
        <w:t>6132</w:t>
      </w:r>
      <w:r>
        <w:rPr>
          <w:rFonts w:hint="default" w:ascii="Times New Roman" w:hAnsi="Times New Roman" w:eastAsia="仿宋_GB2312" w:cs="Times New Roman"/>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highlight w:val="none"/>
        </w:rPr>
      </w:pPr>
      <w:r>
        <w:rPr>
          <w:rFonts w:hint="default" w:ascii="Times New Roman" w:hAnsi="Times New Roman" w:eastAsia="仿宋_GB2312" w:cs="Times New Roman"/>
          <w:b/>
          <w:bCs/>
          <w:sz w:val="24"/>
          <w:szCs w:val="24"/>
          <w:lang w:val="en-US" w:eastAsia="zh-CN"/>
        </w:rPr>
        <w:t>建设内容</w:t>
      </w:r>
      <w:r>
        <w:rPr>
          <w:rFonts w:hint="default" w:ascii="Times New Roman" w:hAnsi="Times New Roman" w:eastAsia="仿宋_GB2312" w:cs="Times New Roman"/>
          <w:b/>
          <w:bCs/>
          <w:sz w:val="24"/>
          <w:szCs w:val="24"/>
          <w:highlight w:val="none"/>
          <w:lang w:val="en-US" w:eastAsia="zh-CN"/>
        </w:rPr>
        <w:t>：</w:t>
      </w:r>
      <w:r>
        <w:rPr>
          <w:rFonts w:hint="default" w:ascii="Times New Roman" w:hAnsi="Times New Roman" w:eastAsia="仿宋_GB2312" w:cs="Times New Roman"/>
          <w:b w:val="0"/>
          <w:bCs w:val="0"/>
          <w:sz w:val="24"/>
          <w:szCs w:val="24"/>
          <w:highlight w:val="none"/>
          <w:lang w:val="en-US" w:eastAsia="zh-CN"/>
        </w:rPr>
        <w:t>本期</w:t>
      </w:r>
      <w:r>
        <w:rPr>
          <w:rFonts w:hint="default" w:ascii="Times New Roman" w:hAnsi="Times New Roman" w:eastAsia="仿宋_GB2312" w:cs="Times New Roman"/>
          <w:color w:val="auto"/>
          <w:sz w:val="24"/>
          <w:szCs w:val="24"/>
          <w:highlight w:val="none"/>
        </w:rPr>
        <w:t>项目总用地面积</w:t>
      </w:r>
      <w:r>
        <w:rPr>
          <w:rFonts w:hint="eastAsia" w:eastAsia="仿宋_GB2312" w:cs="Times New Roman"/>
          <w:color w:val="auto"/>
          <w:sz w:val="24"/>
          <w:szCs w:val="24"/>
          <w:highlight w:val="none"/>
          <w:lang w:eastAsia="zh-CN"/>
        </w:rPr>
        <w:t>199833</w:t>
      </w:r>
      <w:r>
        <w:rPr>
          <w:rFonts w:hint="default" w:ascii="Times New Roman" w:hAnsi="Times New Roman" w:eastAsia="仿宋_GB2312" w:cs="Times New Roman"/>
          <w:color w:val="auto"/>
          <w:sz w:val="24"/>
          <w:szCs w:val="24"/>
          <w:highlight w:val="none"/>
          <w:lang w:eastAsia="zh-CN"/>
        </w:rPr>
        <w:t>m²</w:t>
      </w:r>
      <w:r>
        <w:rPr>
          <w:rFonts w:hint="default" w:ascii="Times New Roman" w:hAnsi="Times New Roman" w:eastAsia="仿宋_GB2312" w:cs="Times New Roman"/>
          <w:color w:val="auto"/>
          <w:sz w:val="24"/>
          <w:szCs w:val="24"/>
          <w:highlight w:val="none"/>
        </w:rPr>
        <w:t>，规划总建筑面积</w:t>
      </w:r>
      <w:r>
        <w:rPr>
          <w:rFonts w:hint="eastAsia" w:eastAsia="仿宋_GB2312" w:cs="Times New Roman"/>
          <w:color w:val="auto"/>
          <w:sz w:val="24"/>
          <w:szCs w:val="24"/>
          <w:highlight w:val="none"/>
          <w:lang w:eastAsia="zh-CN"/>
        </w:rPr>
        <w:t>133523.92</w:t>
      </w:r>
      <w:r>
        <w:rPr>
          <w:rFonts w:hint="default" w:ascii="Times New Roman" w:hAnsi="Times New Roman" w:eastAsia="仿宋_GB2312" w:cs="Times New Roman"/>
          <w:color w:val="auto"/>
          <w:sz w:val="24"/>
          <w:szCs w:val="24"/>
          <w:highlight w:val="none"/>
          <w:lang w:eastAsia="zh-CN"/>
        </w:rPr>
        <w:t>m²，</w:t>
      </w:r>
      <w:r>
        <w:rPr>
          <w:rFonts w:hint="default" w:ascii="Times New Roman" w:hAnsi="Times New Roman" w:eastAsia="仿宋_GB2312" w:cs="Times New Roman"/>
          <w:color w:val="auto"/>
          <w:sz w:val="24"/>
          <w:szCs w:val="24"/>
          <w:highlight w:val="none"/>
        </w:rPr>
        <w:t>其中地上建筑面积</w:t>
      </w:r>
      <w:r>
        <w:rPr>
          <w:rFonts w:hint="eastAsia" w:eastAsia="仿宋_GB2312" w:cs="Times New Roman"/>
          <w:color w:val="auto"/>
          <w:sz w:val="24"/>
          <w:szCs w:val="24"/>
          <w:highlight w:val="none"/>
          <w:lang w:eastAsia="zh-CN"/>
        </w:rPr>
        <w:t>132784.35</w:t>
      </w:r>
      <w:r>
        <w:rPr>
          <w:rFonts w:hint="default" w:ascii="Times New Roman" w:hAnsi="Times New Roman" w:eastAsia="仿宋_GB2312" w:cs="Times New Roman"/>
          <w:color w:val="auto"/>
          <w:sz w:val="24"/>
          <w:szCs w:val="24"/>
          <w:highlight w:val="none"/>
          <w:lang w:eastAsia="zh-CN"/>
        </w:rPr>
        <w:t>m²</w:t>
      </w:r>
      <w:r>
        <w:rPr>
          <w:rFonts w:hint="default" w:ascii="Times New Roman" w:hAnsi="Times New Roman" w:eastAsia="仿宋_GB2312" w:cs="Times New Roman"/>
          <w:color w:val="auto"/>
          <w:sz w:val="24"/>
          <w:szCs w:val="24"/>
          <w:highlight w:val="none"/>
        </w:rPr>
        <w:t>，地下建筑面积</w:t>
      </w:r>
      <w:r>
        <w:rPr>
          <w:rFonts w:hint="eastAsia" w:eastAsia="仿宋_GB2312" w:cs="Times New Roman"/>
          <w:color w:val="auto"/>
          <w:sz w:val="24"/>
          <w:szCs w:val="24"/>
          <w:highlight w:val="none"/>
          <w:lang w:eastAsia="zh-CN"/>
        </w:rPr>
        <w:t>739.57</w:t>
      </w:r>
      <w:r>
        <w:rPr>
          <w:rFonts w:hint="default" w:ascii="Times New Roman" w:hAnsi="Times New Roman" w:eastAsia="仿宋_GB2312" w:cs="Times New Roman"/>
          <w:color w:val="auto"/>
          <w:sz w:val="24"/>
          <w:szCs w:val="24"/>
          <w:highlight w:val="none"/>
          <w:lang w:eastAsia="zh-CN"/>
        </w:rPr>
        <w:t>m²，</w:t>
      </w:r>
      <w:r>
        <w:rPr>
          <w:rFonts w:hint="default" w:ascii="Times New Roman" w:hAnsi="Times New Roman" w:eastAsia="仿宋_GB2312" w:cs="Times New Roman"/>
          <w:color w:val="auto"/>
          <w:sz w:val="24"/>
          <w:szCs w:val="24"/>
        </w:rPr>
        <w:t>厂房</w:t>
      </w:r>
      <w:r>
        <w:rPr>
          <w:rFonts w:hint="eastAsia" w:eastAsia="仿宋_GB2312" w:cs="Times New Roman"/>
          <w:color w:val="auto"/>
          <w:sz w:val="24"/>
          <w:szCs w:val="24"/>
          <w:lang w:val="en-US" w:eastAsia="zh-CN"/>
        </w:rPr>
        <w:t>6栋</w:t>
      </w:r>
      <w:r>
        <w:rPr>
          <w:rFonts w:hint="default" w:ascii="Times New Roman" w:hAnsi="Times New Roman" w:eastAsia="仿宋_GB2312" w:cs="Times New Roman"/>
          <w:color w:val="auto"/>
          <w:sz w:val="24"/>
          <w:szCs w:val="24"/>
          <w:lang w:val="en-US" w:eastAsia="zh-CN"/>
        </w:rPr>
        <w:t>面积</w:t>
      </w:r>
      <w:r>
        <w:rPr>
          <w:rFonts w:hint="eastAsia" w:eastAsia="仿宋_GB2312" w:cs="Times New Roman"/>
          <w:color w:val="auto"/>
          <w:sz w:val="24"/>
          <w:szCs w:val="24"/>
          <w:lang w:eastAsia="zh-CN"/>
        </w:rPr>
        <w:t>106815.86</w:t>
      </w:r>
      <w:r>
        <w:rPr>
          <w:rFonts w:hint="default" w:ascii="Times New Roman" w:hAnsi="Times New Roman" w:eastAsia="仿宋_GB2312" w:cs="Times New Roman"/>
          <w:color w:val="auto"/>
          <w:sz w:val="24"/>
          <w:szCs w:val="24"/>
          <w:lang w:eastAsia="zh-CN"/>
        </w:rPr>
        <w:t>m²</w:t>
      </w:r>
      <w:r>
        <w:rPr>
          <w:rFonts w:hint="default" w:ascii="Times New Roman" w:hAnsi="Times New Roman" w:eastAsia="仿宋_GB2312" w:cs="Times New Roman"/>
          <w:color w:val="auto"/>
          <w:sz w:val="24"/>
          <w:szCs w:val="24"/>
        </w:rPr>
        <w:t>、</w:t>
      </w:r>
      <w:r>
        <w:rPr>
          <w:rFonts w:hint="eastAsia" w:eastAsia="仿宋_GB2312" w:cs="Times New Roman"/>
          <w:color w:val="auto"/>
          <w:sz w:val="24"/>
          <w:szCs w:val="24"/>
          <w:lang w:val="en-US" w:eastAsia="zh-CN"/>
        </w:rPr>
        <w:t>办公楼及食堂11063.98</w:t>
      </w:r>
      <w:r>
        <w:rPr>
          <w:rFonts w:hint="default" w:ascii="Times New Roman" w:hAnsi="Times New Roman" w:eastAsia="仿宋_GB2312" w:cs="Times New Roman"/>
          <w:color w:val="auto"/>
          <w:sz w:val="24"/>
          <w:szCs w:val="24"/>
          <w:lang w:eastAsia="zh-CN"/>
        </w:rPr>
        <w:t>m²</w:t>
      </w:r>
      <w:r>
        <w:rPr>
          <w:rFonts w:hint="default" w:ascii="Times New Roman" w:hAnsi="Times New Roman" w:eastAsia="仿宋_GB2312" w:cs="Times New Roman"/>
          <w:color w:val="auto"/>
          <w:sz w:val="24"/>
          <w:szCs w:val="24"/>
        </w:rPr>
        <w:t>、</w:t>
      </w:r>
      <w:r>
        <w:rPr>
          <w:rFonts w:hint="eastAsia" w:eastAsia="仿宋_GB2312" w:cs="Times New Roman"/>
          <w:color w:val="auto"/>
          <w:sz w:val="24"/>
          <w:szCs w:val="24"/>
          <w:lang w:val="en-US" w:eastAsia="zh-CN"/>
        </w:rPr>
        <w:t>宿舍楼1栋面积7716.97</w:t>
      </w:r>
      <w:r>
        <w:rPr>
          <w:rFonts w:hint="default" w:ascii="Times New Roman" w:hAnsi="Times New Roman" w:eastAsia="仿宋_GB2312" w:cs="Times New Roman"/>
          <w:color w:val="auto"/>
          <w:sz w:val="24"/>
          <w:szCs w:val="24"/>
          <w:lang w:eastAsia="zh-CN"/>
        </w:rPr>
        <w:t>m²</w:t>
      </w:r>
      <w:r>
        <w:rPr>
          <w:rFonts w:hint="default" w:ascii="Times New Roman" w:hAnsi="Times New Roman" w:eastAsia="仿宋_GB2312" w:cs="Times New Roman"/>
          <w:color w:val="auto"/>
          <w:sz w:val="24"/>
          <w:szCs w:val="24"/>
        </w:rPr>
        <w:t>、</w:t>
      </w:r>
      <w:r>
        <w:rPr>
          <w:rFonts w:hint="eastAsia" w:eastAsia="仿宋_GB2312" w:cs="Times New Roman"/>
          <w:color w:val="auto"/>
          <w:sz w:val="24"/>
          <w:szCs w:val="24"/>
          <w:lang w:val="en-US" w:eastAsia="zh-CN"/>
        </w:rPr>
        <w:t>实验中心1栋面积3955.97</w:t>
      </w:r>
      <w:r>
        <w:rPr>
          <w:rFonts w:hint="default" w:ascii="Times New Roman" w:hAnsi="Times New Roman" w:eastAsia="仿宋_GB2312" w:cs="Times New Roman"/>
          <w:color w:val="auto"/>
          <w:sz w:val="24"/>
          <w:szCs w:val="24"/>
          <w:lang w:eastAsia="zh-CN"/>
        </w:rPr>
        <w:t>m²</w:t>
      </w:r>
      <w:r>
        <w:rPr>
          <w:rFonts w:hint="default" w:ascii="Times New Roman" w:hAnsi="Times New Roman" w:eastAsia="仿宋_GB2312" w:cs="Times New Roman"/>
          <w:color w:val="auto"/>
          <w:sz w:val="24"/>
          <w:szCs w:val="24"/>
        </w:rPr>
        <w:t>、</w:t>
      </w:r>
      <w:r>
        <w:rPr>
          <w:rFonts w:hint="eastAsia" w:eastAsia="仿宋_GB2312" w:cs="Times New Roman"/>
          <w:color w:val="auto"/>
          <w:sz w:val="24"/>
          <w:szCs w:val="24"/>
          <w:lang w:val="en-US" w:eastAsia="zh-CN"/>
        </w:rPr>
        <w:t>食堂1栋面积2425.71</w:t>
      </w:r>
      <w:r>
        <w:rPr>
          <w:rFonts w:hint="default" w:ascii="Times New Roman" w:hAnsi="Times New Roman" w:eastAsia="仿宋_GB2312" w:cs="Times New Roman"/>
          <w:color w:val="auto"/>
          <w:sz w:val="24"/>
          <w:szCs w:val="24"/>
          <w:lang w:eastAsia="zh-CN"/>
        </w:rPr>
        <w:t>m²</w:t>
      </w:r>
      <w:r>
        <w:rPr>
          <w:rFonts w:hint="default" w:ascii="Times New Roman" w:hAnsi="Times New Roman" w:eastAsia="仿宋_GB2312" w:cs="Times New Roman"/>
          <w:color w:val="auto"/>
          <w:sz w:val="24"/>
          <w:szCs w:val="24"/>
        </w:rPr>
        <w:t>、开闭站、变电所、柴发、锅炉房</w:t>
      </w:r>
      <w:r>
        <w:rPr>
          <w:rFonts w:hint="eastAsia" w:eastAsia="仿宋_GB2312" w:cs="Times New Roman"/>
          <w:color w:val="auto"/>
          <w:sz w:val="24"/>
          <w:szCs w:val="24"/>
          <w:lang w:val="en-US" w:eastAsia="zh-CN"/>
        </w:rPr>
        <w:t>面积722.86</w:t>
      </w:r>
      <w:r>
        <w:rPr>
          <w:rFonts w:hint="default" w:ascii="Times New Roman" w:hAnsi="Times New Roman" w:eastAsia="仿宋_GB2312" w:cs="Times New Roman"/>
          <w:color w:val="auto"/>
          <w:sz w:val="24"/>
          <w:szCs w:val="24"/>
          <w:lang w:eastAsia="zh-CN"/>
        </w:rPr>
        <w:t>m²</w:t>
      </w:r>
      <w:r>
        <w:rPr>
          <w:rFonts w:hint="default" w:ascii="Times New Roman" w:hAnsi="Times New Roman" w:eastAsia="仿宋_GB2312" w:cs="Times New Roman"/>
          <w:color w:val="auto"/>
          <w:sz w:val="24"/>
          <w:szCs w:val="24"/>
        </w:rPr>
        <w:t>、</w:t>
      </w:r>
      <w:r>
        <w:rPr>
          <w:rFonts w:hint="eastAsia" w:eastAsia="仿宋_GB2312" w:cs="Times New Roman"/>
          <w:color w:val="auto"/>
          <w:sz w:val="24"/>
          <w:szCs w:val="24"/>
          <w:lang w:eastAsia="zh-CN"/>
        </w:rPr>
        <w:t>水泵房及水池</w:t>
      </w:r>
      <w:r>
        <w:rPr>
          <w:rFonts w:hint="default" w:ascii="Times New Roman" w:hAnsi="Times New Roman" w:eastAsia="仿宋_GB2312" w:cs="Times New Roman"/>
          <w:color w:val="auto"/>
          <w:sz w:val="24"/>
          <w:szCs w:val="24"/>
          <w:lang w:val="en-US" w:eastAsia="zh-CN"/>
        </w:rPr>
        <w:t>1栋面积</w:t>
      </w:r>
      <w:r>
        <w:rPr>
          <w:rFonts w:hint="eastAsia" w:eastAsia="仿宋_GB2312" w:cs="Times New Roman"/>
          <w:color w:val="auto"/>
          <w:sz w:val="24"/>
          <w:szCs w:val="24"/>
          <w:lang w:eastAsia="zh-CN"/>
        </w:rPr>
        <w:t>729.57</w:t>
      </w:r>
      <w:r>
        <w:rPr>
          <w:rFonts w:hint="default" w:ascii="Times New Roman" w:hAnsi="Times New Roman" w:eastAsia="仿宋_GB2312" w:cs="Times New Roman"/>
          <w:color w:val="auto"/>
          <w:sz w:val="24"/>
          <w:szCs w:val="24"/>
          <w:lang w:eastAsia="zh-CN"/>
        </w:rPr>
        <w:t>m²（</w:t>
      </w:r>
      <w:r>
        <w:rPr>
          <w:rFonts w:hint="default" w:ascii="Times New Roman" w:hAnsi="Times New Roman" w:eastAsia="仿宋_GB2312" w:cs="Times New Roman"/>
          <w:color w:val="auto"/>
          <w:sz w:val="24"/>
          <w:szCs w:val="24"/>
          <w:lang w:val="en-US" w:eastAsia="zh-CN"/>
        </w:rPr>
        <w:t>地上建筑面积</w:t>
      </w:r>
      <w:r>
        <w:rPr>
          <w:rFonts w:hint="eastAsia" w:eastAsia="仿宋_GB2312" w:cs="Times New Roman"/>
          <w:color w:val="auto"/>
          <w:sz w:val="24"/>
          <w:szCs w:val="24"/>
          <w:lang w:val="en-US" w:eastAsia="zh-CN"/>
        </w:rPr>
        <w:t>53</w:t>
      </w:r>
      <w:r>
        <w:rPr>
          <w:rFonts w:hint="default" w:ascii="Times New Roman" w:hAnsi="Times New Roman" w:eastAsia="仿宋_GB2312" w:cs="Times New Roman"/>
          <w:color w:val="auto"/>
          <w:sz w:val="24"/>
          <w:szCs w:val="24"/>
          <w:lang w:eastAsia="zh-CN"/>
        </w:rPr>
        <w:t>m²，</w:t>
      </w:r>
      <w:r>
        <w:rPr>
          <w:rFonts w:hint="default" w:ascii="Times New Roman" w:hAnsi="Times New Roman" w:eastAsia="仿宋_GB2312" w:cs="Times New Roman"/>
          <w:color w:val="auto"/>
          <w:sz w:val="24"/>
          <w:szCs w:val="24"/>
          <w:lang w:val="en-US" w:eastAsia="zh-CN"/>
        </w:rPr>
        <w:t>地下建筑面积</w:t>
      </w:r>
      <w:r>
        <w:rPr>
          <w:rFonts w:hint="eastAsia" w:eastAsia="仿宋_GB2312" w:cs="Times New Roman"/>
          <w:color w:val="auto"/>
          <w:sz w:val="24"/>
          <w:szCs w:val="24"/>
          <w:lang w:val="en-US" w:eastAsia="zh-CN"/>
        </w:rPr>
        <w:t>739.57</w:t>
      </w:r>
      <w:r>
        <w:rPr>
          <w:rFonts w:hint="default" w:ascii="Times New Roman" w:hAnsi="Times New Roman" w:eastAsia="仿宋_GB2312" w:cs="Times New Roman"/>
          <w:color w:val="auto"/>
          <w:sz w:val="24"/>
          <w:szCs w:val="24"/>
          <w:lang w:eastAsia="zh-CN"/>
        </w:rPr>
        <w:t>m²）</w:t>
      </w:r>
      <w:r>
        <w:rPr>
          <w:rFonts w:hint="default" w:ascii="Times New Roman" w:hAnsi="Times New Roman" w:eastAsia="仿宋_GB2312" w:cs="Times New Roman"/>
          <w:color w:val="auto"/>
          <w:sz w:val="24"/>
          <w:szCs w:val="24"/>
        </w:rPr>
        <w:t>、</w:t>
      </w:r>
      <w:r>
        <w:rPr>
          <w:rFonts w:hint="eastAsia" w:eastAsia="仿宋_GB2312" w:cs="Times New Roman"/>
          <w:color w:val="auto"/>
          <w:sz w:val="24"/>
          <w:szCs w:val="24"/>
          <w:lang w:eastAsia="zh-CN"/>
        </w:rPr>
        <w:t>成品岗亭</w:t>
      </w:r>
      <w:r>
        <w:rPr>
          <w:rFonts w:hint="eastAsia" w:eastAsia="仿宋_GB2312" w:cs="Times New Roman"/>
          <w:color w:val="auto"/>
          <w:sz w:val="24"/>
          <w:szCs w:val="24"/>
          <w:lang w:val="en-US" w:eastAsia="zh-CN"/>
        </w:rPr>
        <w:t>5栋</w:t>
      </w:r>
      <w:r>
        <w:rPr>
          <w:rFonts w:hint="default" w:ascii="Times New Roman" w:hAnsi="Times New Roman" w:eastAsia="仿宋_GB2312" w:cs="Times New Roman"/>
          <w:color w:val="auto"/>
          <w:sz w:val="24"/>
          <w:szCs w:val="24"/>
          <w:lang w:val="en-US" w:eastAsia="zh-CN"/>
        </w:rPr>
        <w:t>面积</w:t>
      </w:r>
      <w:r>
        <w:rPr>
          <w:rFonts w:hint="eastAsia" w:eastAsia="仿宋_GB2312" w:cs="Times New Roman"/>
          <w:color w:val="auto"/>
          <w:sz w:val="24"/>
          <w:szCs w:val="24"/>
          <w:lang w:val="en-US" w:eastAsia="zh-CN"/>
        </w:rPr>
        <w:t>30</w:t>
      </w:r>
      <w:r>
        <w:rPr>
          <w:rFonts w:hint="default" w:ascii="Times New Roman" w:hAnsi="Times New Roman" w:eastAsia="仿宋_GB2312" w:cs="Times New Roman"/>
          <w:color w:val="auto"/>
          <w:sz w:val="24"/>
          <w:szCs w:val="24"/>
          <w:lang w:eastAsia="zh-CN"/>
        </w:rPr>
        <w:t>m²</w:t>
      </w:r>
      <w:r>
        <w:rPr>
          <w:rFonts w:hint="default" w:ascii="Times New Roman" w:hAnsi="Times New Roman" w:eastAsia="仿宋_GB2312" w:cs="Times New Roman"/>
          <w:color w:val="auto"/>
          <w:sz w:val="24"/>
          <w:szCs w:val="24"/>
        </w:rPr>
        <w:t>。</w:t>
      </w:r>
      <w:r>
        <w:rPr>
          <w:rFonts w:hint="default" w:ascii="Times New Roman" w:hAnsi="Times New Roman" w:eastAsia="仿宋_GB2312" w:cs="Times New Roman"/>
          <w:color w:val="auto"/>
          <w:sz w:val="24"/>
          <w:szCs w:val="24"/>
          <w:lang w:eastAsia="zh-CN"/>
        </w:rPr>
        <w:t>道路及硬化</w:t>
      </w:r>
      <w:r>
        <w:rPr>
          <w:rFonts w:hint="default" w:ascii="Times New Roman" w:hAnsi="Times New Roman" w:eastAsia="仿宋_GB2312" w:cs="Times New Roman"/>
          <w:color w:val="auto"/>
          <w:sz w:val="24"/>
          <w:szCs w:val="24"/>
        </w:rPr>
        <w:t>面积</w:t>
      </w:r>
      <w:r>
        <w:rPr>
          <w:rFonts w:hint="eastAsia" w:eastAsia="仿宋_GB2312" w:cs="Times New Roman"/>
          <w:color w:val="auto"/>
          <w:sz w:val="24"/>
          <w:szCs w:val="24"/>
          <w:lang w:eastAsia="zh-CN"/>
        </w:rPr>
        <w:t>79857.96</w:t>
      </w:r>
      <w:r>
        <w:rPr>
          <w:rFonts w:hint="default" w:ascii="Times New Roman" w:hAnsi="Times New Roman" w:eastAsia="仿宋_GB2312" w:cs="Times New Roman"/>
          <w:color w:val="auto"/>
          <w:sz w:val="24"/>
          <w:szCs w:val="24"/>
          <w:lang w:eastAsia="zh-CN"/>
        </w:rPr>
        <w:t>m²</w:t>
      </w:r>
      <w:r>
        <w:rPr>
          <w:rFonts w:hint="default" w:ascii="Times New Roman" w:hAnsi="Times New Roman" w:eastAsia="仿宋_GB2312" w:cs="Times New Roman"/>
          <w:color w:val="auto"/>
          <w:sz w:val="24"/>
          <w:szCs w:val="24"/>
        </w:rPr>
        <w:t>；</w:t>
      </w:r>
      <w:r>
        <w:rPr>
          <w:rFonts w:hint="default" w:ascii="Times New Roman" w:hAnsi="Times New Roman" w:eastAsia="仿宋_GB2312" w:cs="Times New Roman"/>
          <w:color w:val="auto"/>
          <w:sz w:val="24"/>
          <w:szCs w:val="24"/>
          <w:lang w:eastAsia="zh-CN"/>
        </w:rPr>
        <w:t>绿化面积</w:t>
      </w:r>
      <w:r>
        <w:rPr>
          <w:rFonts w:hint="eastAsia" w:eastAsia="仿宋_GB2312" w:cs="Times New Roman"/>
          <w:color w:val="auto"/>
          <w:sz w:val="24"/>
          <w:szCs w:val="24"/>
          <w:lang w:val="en-US" w:eastAsia="zh-CN"/>
        </w:rPr>
        <w:t>39933.28</w:t>
      </w:r>
      <w:r>
        <w:rPr>
          <w:rFonts w:hint="default" w:ascii="Times New Roman" w:hAnsi="Times New Roman" w:eastAsia="仿宋_GB2312" w:cs="Times New Roman"/>
          <w:color w:val="auto"/>
          <w:sz w:val="24"/>
          <w:szCs w:val="24"/>
          <w:lang w:val="en-US" w:eastAsia="zh-CN"/>
        </w:rPr>
        <w:t>m²</w:t>
      </w:r>
      <w:r>
        <w:rPr>
          <w:rFonts w:hint="default"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rPr>
        <w:t>配套</w:t>
      </w:r>
      <w:r>
        <w:rPr>
          <w:rFonts w:hint="default" w:ascii="Times New Roman" w:hAnsi="Times New Roman" w:eastAsia="仿宋_GB2312" w:cs="Times New Roman"/>
          <w:color w:val="auto"/>
          <w:sz w:val="24"/>
          <w:lang w:eastAsia="zh-CN"/>
        </w:rPr>
        <w:t>供水管线和供电工程等基础设施工程</w:t>
      </w:r>
      <w:r>
        <w:rPr>
          <w:rFonts w:hint="default" w:ascii="Times New Roman" w:hAnsi="Times New Roman" w:eastAsia="仿宋_GB2312" w:cs="Times New Roman"/>
          <w:color w:val="auto"/>
          <w:sz w:val="24"/>
          <w:highlight w:val="none"/>
        </w:rPr>
        <w:t>。</w:t>
      </w:r>
      <w:r>
        <w:rPr>
          <w:rFonts w:hint="default" w:ascii="Times New Roman" w:hAnsi="Times New Roman" w:eastAsia="仿宋_GB2312" w:cs="Times New Roman"/>
          <w:color w:val="auto"/>
          <w:sz w:val="24"/>
          <w:szCs w:val="24"/>
          <w:highlight w:val="none"/>
        </w:rPr>
        <w:t>项目建成后容积率为</w:t>
      </w:r>
      <w:r>
        <w:rPr>
          <w:rFonts w:hint="eastAsia" w:eastAsia="仿宋_GB2312" w:cs="Times New Roman"/>
          <w:color w:val="auto"/>
          <w:sz w:val="24"/>
          <w:szCs w:val="24"/>
          <w:highlight w:val="none"/>
          <w:lang w:eastAsia="zh-CN"/>
        </w:rPr>
        <w:t>0.94</w:t>
      </w:r>
      <w:r>
        <w:rPr>
          <w:rFonts w:hint="default" w:ascii="Times New Roman" w:hAnsi="Times New Roman" w:eastAsia="仿宋_GB2312" w:cs="Times New Roman"/>
          <w:color w:val="auto"/>
          <w:sz w:val="24"/>
          <w:szCs w:val="24"/>
          <w:highlight w:val="none"/>
        </w:rPr>
        <w:t>，绿化率为</w:t>
      </w:r>
      <w:r>
        <w:rPr>
          <w:rFonts w:hint="eastAsia" w:eastAsia="仿宋_GB2312" w:cs="Times New Roman"/>
          <w:color w:val="auto"/>
          <w:sz w:val="24"/>
          <w:szCs w:val="24"/>
          <w:highlight w:val="none"/>
          <w:lang w:val="en-US" w:eastAsia="zh-CN"/>
        </w:rPr>
        <w:t>19.98</w:t>
      </w:r>
      <w:r>
        <w:rPr>
          <w:rFonts w:hint="default" w:ascii="Times New Roman" w:hAnsi="Times New Roman" w:eastAsia="仿宋_GB2312" w:cs="Times New Roman"/>
          <w:color w:val="auto"/>
          <w:sz w:val="24"/>
          <w:szCs w:val="24"/>
          <w:highlight w:val="none"/>
        </w:rPr>
        <w:t>%，建筑密度为</w:t>
      </w:r>
      <w:r>
        <w:rPr>
          <w:rFonts w:hint="eastAsia" w:eastAsia="仿宋_GB2312" w:cs="Times New Roman"/>
          <w:color w:val="auto"/>
          <w:sz w:val="24"/>
          <w:szCs w:val="24"/>
          <w:highlight w:val="none"/>
          <w:lang w:eastAsia="zh-CN"/>
        </w:rPr>
        <w:t>40.05</w:t>
      </w:r>
      <w:r>
        <w:rPr>
          <w:rFonts w:hint="default" w:ascii="Times New Roman" w:hAnsi="Times New Roman" w:eastAsia="仿宋_GB2312"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b/>
          <w:bCs/>
          <w:sz w:val="24"/>
          <w:szCs w:val="24"/>
          <w:highlight w:val="none"/>
          <w:lang w:val="en-US" w:eastAsia="zh-CN"/>
        </w:rPr>
        <w:t>项目投资：</w:t>
      </w:r>
      <w:r>
        <w:rPr>
          <w:rFonts w:hint="default" w:ascii="Times New Roman" w:hAnsi="Times New Roman" w:eastAsia="仿宋_GB2312" w:cs="Times New Roman"/>
          <w:sz w:val="24"/>
          <w:szCs w:val="24"/>
          <w:highlight w:val="none"/>
        </w:rPr>
        <w:t>项目总投资为</w:t>
      </w:r>
      <w:r>
        <w:rPr>
          <w:rFonts w:hint="eastAsia" w:eastAsia="仿宋_GB2312" w:cs="Times New Roman"/>
          <w:sz w:val="24"/>
          <w:szCs w:val="24"/>
          <w:highlight w:val="none"/>
          <w:lang w:eastAsia="zh-CN"/>
        </w:rPr>
        <w:t>103196.83</w:t>
      </w:r>
      <w:r>
        <w:rPr>
          <w:rFonts w:hint="default" w:ascii="Times New Roman" w:hAnsi="Times New Roman" w:eastAsia="仿宋_GB2312" w:cs="Times New Roman"/>
          <w:sz w:val="24"/>
          <w:szCs w:val="24"/>
          <w:highlight w:val="none"/>
        </w:rPr>
        <w:t>万元，其中土建投资</w:t>
      </w:r>
      <w:r>
        <w:rPr>
          <w:rFonts w:hint="default" w:ascii="Times New Roman" w:hAnsi="Times New Roman" w:eastAsia="仿宋_GB2312" w:cs="Times New Roman"/>
          <w:sz w:val="24"/>
          <w:szCs w:val="24"/>
          <w:highlight w:val="none"/>
          <w:lang w:eastAsia="zh-CN"/>
        </w:rPr>
        <w:t>为</w:t>
      </w:r>
      <w:r>
        <w:rPr>
          <w:rFonts w:hint="eastAsia" w:eastAsia="仿宋_GB2312" w:cs="Times New Roman"/>
          <w:sz w:val="24"/>
          <w:szCs w:val="24"/>
          <w:highlight w:val="none"/>
          <w:lang w:eastAsia="zh-CN"/>
        </w:rPr>
        <w:t>100173.09</w:t>
      </w:r>
      <w:r>
        <w:rPr>
          <w:rFonts w:hint="default" w:ascii="Times New Roman" w:hAnsi="Times New Roman" w:eastAsia="仿宋_GB2312" w:cs="Times New Roman"/>
          <w:sz w:val="24"/>
          <w:szCs w:val="24"/>
          <w:highlight w:val="none"/>
          <w:lang w:eastAsia="zh-CN"/>
        </w:rPr>
        <w:t>万</w:t>
      </w:r>
      <w:r>
        <w:rPr>
          <w:rFonts w:hint="default" w:ascii="Times New Roman" w:hAnsi="Times New Roman" w:eastAsia="仿宋_GB2312" w:cs="Times New Roman"/>
          <w:sz w:val="24"/>
          <w:szCs w:val="24"/>
          <w:highlight w:val="none"/>
        </w:rPr>
        <w:t>元，工程建设资金采取区财政和申请地方专项债券共同解决。</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b/>
          <w:bCs/>
          <w:sz w:val="24"/>
          <w:szCs w:val="24"/>
          <w:lang w:val="en-US" w:eastAsia="zh-CN"/>
        </w:rPr>
        <w:t>建设工期：</w:t>
      </w:r>
      <w:r>
        <w:rPr>
          <w:rFonts w:hint="default" w:ascii="Times New Roman" w:hAnsi="Times New Roman" w:eastAsia="仿宋_GB2312" w:cs="Times New Roman"/>
          <w:sz w:val="24"/>
          <w:szCs w:val="24"/>
          <w:lang w:eastAsia="zh-CN"/>
        </w:rPr>
        <w:t>本期项目</w:t>
      </w:r>
      <w:r>
        <w:rPr>
          <w:rFonts w:hint="eastAsia" w:eastAsia="仿宋_GB2312" w:cs="Times New Roman"/>
          <w:sz w:val="24"/>
          <w:szCs w:val="24"/>
          <w:lang w:val="en-US" w:eastAsia="zh-CN"/>
        </w:rPr>
        <w:t>计划</w:t>
      </w:r>
      <w:r>
        <w:rPr>
          <w:rFonts w:hint="default" w:ascii="Times New Roman" w:hAnsi="Times New Roman" w:eastAsia="仿宋_GB2312" w:cs="Times New Roman"/>
          <w:sz w:val="24"/>
          <w:szCs w:val="24"/>
        </w:rPr>
        <w:t>于</w:t>
      </w:r>
      <w:r>
        <w:rPr>
          <w:rFonts w:hint="eastAsia" w:eastAsia="仿宋_GB2312" w:cs="Times New Roman"/>
          <w:sz w:val="24"/>
          <w:szCs w:val="24"/>
          <w:lang w:eastAsia="zh-CN"/>
        </w:rPr>
        <w:t>2023年7月</w:t>
      </w:r>
      <w:r>
        <w:rPr>
          <w:rFonts w:hint="default" w:ascii="Times New Roman" w:hAnsi="Times New Roman" w:eastAsia="仿宋_GB2312" w:cs="Times New Roman"/>
          <w:sz w:val="24"/>
          <w:szCs w:val="24"/>
        </w:rPr>
        <w:t>开工，</w:t>
      </w:r>
      <w:r>
        <w:rPr>
          <w:rFonts w:hint="eastAsia" w:eastAsia="仿宋_GB2312" w:cs="Times New Roman"/>
          <w:sz w:val="24"/>
          <w:szCs w:val="24"/>
          <w:lang w:eastAsia="zh-CN"/>
        </w:rPr>
        <w:t>2024年12月</w:t>
      </w:r>
      <w:r>
        <w:rPr>
          <w:rFonts w:hint="default" w:ascii="Times New Roman" w:hAnsi="Times New Roman" w:eastAsia="仿宋_GB2312" w:cs="Times New Roman"/>
          <w:sz w:val="24"/>
          <w:szCs w:val="24"/>
        </w:rPr>
        <w:t>完工，总工期为</w:t>
      </w:r>
      <w:r>
        <w:rPr>
          <w:rFonts w:hint="eastAsia" w:eastAsia="仿宋_GB2312" w:cs="Times New Roman"/>
          <w:sz w:val="24"/>
          <w:szCs w:val="24"/>
          <w:lang w:val="en-US" w:eastAsia="zh-CN"/>
        </w:rPr>
        <w:t>18个</w:t>
      </w:r>
      <w:r>
        <w:rPr>
          <w:rFonts w:hint="default" w:ascii="Times New Roman" w:hAnsi="Times New Roman" w:eastAsia="仿宋_GB2312" w:cs="Times New Roman"/>
          <w:sz w:val="24"/>
          <w:szCs w:val="24"/>
        </w:rPr>
        <w:t>月。</w:t>
      </w:r>
    </w:p>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textAlignment w:val="auto"/>
        <w:rPr>
          <w:rFonts w:hint="eastAsia" w:ascii="Times New Roman" w:hAnsi="Times New Roman" w:eastAsia="仿宋_GB2312" w:cs="Times New Roman"/>
          <w:b/>
          <w:bCs/>
          <w:color w:val="auto"/>
          <w:kern w:val="2"/>
          <w:sz w:val="24"/>
          <w:szCs w:val="28"/>
          <w:lang w:val="en-US" w:eastAsia="zh-CN" w:bidi="ar-SA"/>
        </w:rPr>
      </w:pPr>
      <w:r>
        <w:rPr>
          <w:rFonts w:hint="eastAsia" w:ascii="Times New Roman" w:hAnsi="Times New Roman" w:eastAsia="仿宋_GB2312" w:cs="Times New Roman"/>
          <w:b/>
          <w:bCs/>
          <w:color w:val="auto"/>
          <w:kern w:val="2"/>
          <w:sz w:val="24"/>
          <w:szCs w:val="28"/>
          <w:lang w:val="en-US" w:eastAsia="zh-CN" w:bidi="ar-SA"/>
        </w:rPr>
        <w:t>2.1.2项目现状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eastAsia="仿宋_GB2312" w:cs="Times New Roman"/>
          <w:sz w:val="24"/>
          <w:szCs w:val="24"/>
          <w:lang w:val="en-US" w:eastAsia="zh-CN"/>
        </w:rPr>
      </w:pPr>
      <w:r>
        <w:rPr>
          <w:rFonts w:hint="default" w:ascii="Times New Roman" w:hAnsi="Times New Roman" w:eastAsia="仿宋_GB2312" w:cs="Times New Roman"/>
          <w:color w:val="auto"/>
          <w:kern w:val="0"/>
          <w:sz w:val="24"/>
          <w:szCs w:val="24"/>
          <w:lang w:eastAsia="zh-CN"/>
        </w:rPr>
        <w:t>长春国际物流经济开发区新兴建材产业园区建设项目</w:t>
      </w:r>
      <w:r>
        <w:rPr>
          <w:rFonts w:hint="eastAsia" w:ascii="Times New Roman" w:hAnsi="Times New Roman" w:eastAsia="仿宋_GB2312" w:cs="Times New Roman"/>
          <w:color w:val="auto"/>
          <w:kern w:val="0"/>
          <w:sz w:val="24"/>
          <w:szCs w:val="24"/>
          <w:lang w:val="en-US" w:eastAsia="zh-CN"/>
        </w:rPr>
        <w:t>A地块已经开工，目前已经完成厂房和管网建设。</w:t>
      </w:r>
      <w:r>
        <w:rPr>
          <w:rFonts w:hint="default" w:ascii="Times New Roman" w:hAnsi="Times New Roman" w:eastAsia="仿宋_GB2312" w:cs="Times New Roman"/>
          <w:sz w:val="24"/>
          <w:szCs w:val="24"/>
          <w:lang w:val="en-US" w:eastAsia="zh-CN"/>
        </w:rPr>
        <w:t>项目区现状见图2-1</w:t>
      </w:r>
      <w:r>
        <w:rPr>
          <w:rFonts w:hint="eastAsia" w:eastAsia="仿宋_GB2312" w:cs="Times New Roman"/>
          <w:sz w:val="24"/>
          <w:szCs w:val="24"/>
          <w:lang w:val="en-US" w:eastAsia="zh-CN"/>
        </w:rPr>
        <w:t>。</w:t>
      </w:r>
    </w:p>
    <w:p>
      <w:pPr>
        <w:pStyle w:val="2"/>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rPr>
          <w:rFonts w:hint="default"/>
          <w:lang w:val="en-US" w:eastAsia="zh-CN"/>
        </w:rPr>
      </w:pPr>
      <w:r>
        <w:rPr>
          <w:rFonts w:hint="default"/>
          <w:lang w:val="en-US" w:eastAsia="zh-CN"/>
        </w:rPr>
        <w:drawing>
          <wp:inline distT="0" distB="0" distL="114300" distR="114300">
            <wp:extent cx="5338445" cy="4003675"/>
            <wp:effectExtent l="0" t="0" r="14605" b="15875"/>
            <wp:docPr id="17" name="图片 17" descr="微信图片_20230731223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30731223547"/>
                    <pic:cNvPicPr>
                      <a:picLocks noChangeAspect="1"/>
                    </pic:cNvPicPr>
                  </pic:nvPicPr>
                  <pic:blipFill>
                    <a:blip r:embed="rId41"/>
                    <a:stretch>
                      <a:fillRect/>
                    </a:stretch>
                  </pic:blipFill>
                  <pic:spPr>
                    <a:xfrm>
                      <a:off x="0" y="0"/>
                      <a:ext cx="5338445" cy="4003675"/>
                    </a:xfrm>
                    <a:prstGeom prst="rect">
                      <a:avLst/>
                    </a:prstGeom>
                  </pic:spPr>
                </pic:pic>
              </a:graphicData>
            </a:graphic>
          </wp:inline>
        </w:drawing>
      </w:r>
      <w:r>
        <w:rPr>
          <w:rFonts w:hint="default"/>
          <w:lang w:val="en-US" w:eastAsia="zh-CN"/>
        </w:rPr>
        <w:drawing>
          <wp:inline distT="0" distB="0" distL="114300" distR="114300">
            <wp:extent cx="5338445" cy="4003675"/>
            <wp:effectExtent l="0" t="0" r="14605" b="15875"/>
            <wp:docPr id="18" name="图片 18" descr="微信图片_20230731223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30731223542"/>
                    <pic:cNvPicPr>
                      <a:picLocks noChangeAspect="1"/>
                    </pic:cNvPicPr>
                  </pic:nvPicPr>
                  <pic:blipFill>
                    <a:blip r:embed="rId42"/>
                    <a:stretch>
                      <a:fillRect/>
                    </a:stretch>
                  </pic:blipFill>
                  <pic:spPr>
                    <a:xfrm>
                      <a:off x="0" y="0"/>
                      <a:ext cx="5338445" cy="40036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val="0"/>
          <w:spacing w:val="-8"/>
          <w:sz w:val="21"/>
          <w:szCs w:val="21"/>
          <w:lang w:val="en-US" w:eastAsia="zh-CN"/>
        </w:rPr>
      </w:pPr>
      <w:r>
        <w:rPr>
          <w:rFonts w:hint="eastAsia" w:ascii="Times New Roman" w:hAnsi="Times New Roman" w:eastAsia="微软雅黑" w:cs="Times New Roman"/>
          <w:b w:val="0"/>
          <w:bCs w:val="0"/>
          <w:spacing w:val="-8"/>
          <w:sz w:val="21"/>
          <w:szCs w:val="21"/>
          <w:lang w:val="en-US" w:eastAsia="zh-CN"/>
        </w:rPr>
        <w:t>项目现状（A地块）</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drawing>
          <wp:inline distT="0" distB="0" distL="114300" distR="114300">
            <wp:extent cx="5321935" cy="2993390"/>
            <wp:effectExtent l="0" t="0" r="12065" b="16510"/>
            <wp:docPr id="9" name="图片 9" descr="微信图片_20230607225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306072251136"/>
                    <pic:cNvPicPr>
                      <a:picLocks noChangeAspect="1"/>
                    </pic:cNvPicPr>
                  </pic:nvPicPr>
                  <pic:blipFill>
                    <a:blip r:embed="rId43"/>
                    <a:stretch>
                      <a:fillRect/>
                    </a:stretch>
                  </pic:blipFill>
                  <pic:spPr>
                    <a:xfrm>
                      <a:off x="0" y="0"/>
                      <a:ext cx="5321935" cy="2993390"/>
                    </a:xfrm>
                    <a:prstGeom prst="rect">
                      <a:avLst/>
                    </a:prstGeom>
                  </pic:spPr>
                </pic:pic>
              </a:graphicData>
            </a:graphic>
          </wp:inline>
        </w:drawing>
      </w:r>
      <w:r>
        <w:rPr>
          <w:rFonts w:hint="default" w:ascii="Times New Roman" w:hAnsi="Times New Roman" w:eastAsia="仿宋_GB2312" w:cs="Times New Roman"/>
          <w:sz w:val="24"/>
          <w:szCs w:val="24"/>
          <w:lang w:val="en-US" w:eastAsia="zh-CN"/>
        </w:rPr>
        <w:drawing>
          <wp:inline distT="0" distB="0" distL="114300" distR="114300">
            <wp:extent cx="5321935" cy="2993390"/>
            <wp:effectExtent l="0" t="0" r="12065" b="16510"/>
            <wp:docPr id="19" name="图片 19" descr="微信图片_20230607225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306072251135"/>
                    <pic:cNvPicPr>
                      <a:picLocks noChangeAspect="1"/>
                    </pic:cNvPicPr>
                  </pic:nvPicPr>
                  <pic:blipFill>
                    <a:blip r:embed="rId44"/>
                    <a:stretch>
                      <a:fillRect/>
                    </a:stretch>
                  </pic:blipFill>
                  <pic:spPr>
                    <a:xfrm>
                      <a:off x="0" y="0"/>
                      <a:ext cx="5321935" cy="29933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val="0"/>
          <w:spacing w:val="-8"/>
          <w:sz w:val="21"/>
          <w:szCs w:val="21"/>
          <w:lang w:val="en-US" w:eastAsia="zh-CN"/>
        </w:rPr>
      </w:pPr>
      <w:r>
        <w:rPr>
          <w:rFonts w:hint="eastAsia" w:ascii="Times New Roman" w:hAnsi="Times New Roman" w:eastAsia="微软雅黑" w:cs="Times New Roman"/>
          <w:b w:val="0"/>
          <w:bCs w:val="0"/>
          <w:spacing w:val="-8"/>
          <w:sz w:val="21"/>
          <w:szCs w:val="21"/>
          <w:lang w:val="en-US" w:eastAsia="zh-CN"/>
        </w:rPr>
        <w:t xml:space="preserve">图2-1  </w:t>
      </w:r>
      <w:r>
        <w:rPr>
          <w:rFonts w:hint="eastAsia" w:eastAsia="微软雅黑" w:cs="Times New Roman"/>
          <w:b w:val="0"/>
          <w:bCs w:val="0"/>
          <w:spacing w:val="-8"/>
          <w:sz w:val="21"/>
          <w:szCs w:val="21"/>
          <w:lang w:val="en-US" w:eastAsia="zh-CN"/>
        </w:rPr>
        <w:t>项目现状（B地块）</w:t>
      </w:r>
      <w:r>
        <w:rPr>
          <w:rFonts w:hint="eastAsia" w:ascii="Times New Roman" w:hAnsi="Times New Roman" w:eastAsia="微软雅黑" w:cs="Times New Roman"/>
          <w:b w:val="0"/>
          <w:bCs w:val="0"/>
          <w:spacing w:val="-8"/>
          <w:sz w:val="21"/>
          <w:szCs w:val="21"/>
          <w:lang w:val="en-US" w:eastAsia="zh-CN"/>
        </w:rPr>
        <w:t>（拍摄时间2023.6.2）</w:t>
      </w:r>
    </w:p>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Pr>
        <w:pageBreakBefore w:val="0"/>
        <w:kinsoku/>
        <w:wordWrap/>
        <w:bidi w:val="0"/>
        <w:spacing w:line="360" w:lineRule="auto"/>
        <w:jc w:val="center"/>
        <w:rPr>
          <w:rFonts w:hint="default" w:ascii="Times New Roman" w:hAnsi="Times New Roman" w:eastAsia="微软雅黑" w:cs="Times New Roman"/>
          <w:b w:val="0"/>
          <w:bCs w:val="0"/>
          <w:spacing w:val="-8"/>
          <w:sz w:val="21"/>
          <w:szCs w:val="21"/>
        </w:rPr>
      </w:pPr>
      <w:bookmarkStart w:id="131" w:name="_Toc179700855"/>
      <w:bookmarkStart w:id="132" w:name="_Toc179700773"/>
      <w:bookmarkStart w:id="133" w:name="_Toc277836145"/>
      <w:bookmarkStart w:id="134" w:name="_Toc179706244"/>
      <w:bookmarkStart w:id="135" w:name="_Toc179600161"/>
      <w:bookmarkStart w:id="136" w:name="_Toc290366643"/>
      <w:bookmarkStart w:id="137" w:name="_Toc192302543"/>
      <w:bookmarkStart w:id="138" w:name="_Toc175629990"/>
      <w:bookmarkStart w:id="139" w:name="_Toc175714796"/>
      <w:bookmarkStart w:id="140" w:name="_Toc72112408"/>
      <w:bookmarkStart w:id="141" w:name="_Toc70480576"/>
      <w:bookmarkStart w:id="142" w:name="_Toc72031777"/>
      <w:bookmarkStart w:id="143" w:name="_Toc63847031"/>
      <w:bookmarkStart w:id="144" w:name="_Toc84903135"/>
      <w:bookmarkStart w:id="145" w:name="_Toc85905609"/>
      <w:bookmarkStart w:id="146" w:name="_Toc85682067"/>
      <w:bookmarkStart w:id="147" w:name="_Toc84903317"/>
      <w:bookmarkStart w:id="148" w:name="_Toc93231775"/>
      <w:bookmarkStart w:id="149" w:name="_Toc71019216"/>
      <w:bookmarkStart w:id="150" w:name="_Toc71770241"/>
      <w:bookmarkStart w:id="151" w:name="_Toc84903261"/>
      <w:bookmarkStart w:id="152" w:name="_Toc85905468"/>
      <w:bookmarkStart w:id="153" w:name="_Toc70670621"/>
      <w:bookmarkStart w:id="154" w:name="_Toc84902387"/>
      <w:bookmarkStart w:id="155" w:name="_Toc93562121"/>
      <w:bookmarkStart w:id="156" w:name="_Toc71963297"/>
      <w:bookmarkStart w:id="157" w:name="_Toc71019324"/>
      <w:bookmarkStart w:id="158" w:name="_Toc85683210"/>
      <w:bookmarkStart w:id="159" w:name="_Toc85681688"/>
      <w:bookmarkStart w:id="160" w:name="_Toc70480678"/>
      <w:bookmarkStart w:id="161" w:name="_Toc72119358"/>
      <w:bookmarkStart w:id="162" w:name="_Toc85681926"/>
      <w:bookmarkStart w:id="163" w:name="_Toc63846069"/>
      <w:bookmarkStart w:id="164" w:name="_Toc84902782"/>
      <w:bookmarkStart w:id="165" w:name="_Toc93231897"/>
      <w:r>
        <w:rPr>
          <w:rFonts w:hint="default" w:ascii="Times New Roman" w:hAnsi="Times New Roman" w:eastAsia="微软雅黑" w:cs="Times New Roman"/>
          <w:b w:val="0"/>
          <w:bCs w:val="0"/>
          <w:spacing w:val="-8"/>
          <w:sz w:val="21"/>
          <w:szCs w:val="21"/>
        </w:rPr>
        <w:t>表2-</w:t>
      </w:r>
      <w:r>
        <w:rPr>
          <w:rFonts w:hint="default" w:ascii="Times New Roman" w:hAnsi="Times New Roman" w:eastAsia="微软雅黑" w:cs="Times New Roman"/>
          <w:b w:val="0"/>
          <w:bCs w:val="0"/>
          <w:spacing w:val="-8"/>
          <w:sz w:val="21"/>
          <w:szCs w:val="21"/>
          <w:lang w:val="en-US" w:eastAsia="zh-CN"/>
        </w:rPr>
        <w:t xml:space="preserve">1  </w:t>
      </w:r>
      <w:r>
        <w:rPr>
          <w:rFonts w:hint="default" w:ascii="Times New Roman" w:hAnsi="Times New Roman" w:eastAsia="微软雅黑" w:cs="Times New Roman"/>
          <w:b w:val="0"/>
          <w:bCs w:val="0"/>
          <w:spacing w:val="-8"/>
          <w:sz w:val="21"/>
          <w:szCs w:val="21"/>
        </w:rPr>
        <w:t>项目组成及主要技术指标表</w:t>
      </w:r>
    </w:p>
    <w:tbl>
      <w:tblPr>
        <w:tblStyle w:val="556"/>
        <w:tblW w:w="83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86"/>
        <w:gridCol w:w="990"/>
        <w:gridCol w:w="988"/>
        <w:gridCol w:w="846"/>
        <w:gridCol w:w="283"/>
        <w:gridCol w:w="855"/>
        <w:gridCol w:w="840"/>
        <w:gridCol w:w="1129"/>
        <w:gridCol w:w="8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345" w:type="dxa"/>
            <w:gridSpan w:val="9"/>
            <w:tcBorders>
              <w:left w:val="single" w:color="000000" w:sz="10" w:space="0"/>
              <w:right w:val="single" w:color="000000" w:sz="10"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b/>
                <w:bCs/>
                <w:spacing w:val="8"/>
                <w:sz w:val="20"/>
                <w:szCs w:val="20"/>
              </w:rPr>
              <w:t>一、项目的基本情</w:t>
            </w:r>
            <w:r>
              <w:rPr>
                <w:rFonts w:hint="default" w:ascii="Times New Roman" w:hAnsi="Times New Roman" w:eastAsia="仿宋_GB2312" w:cs="Times New Roman"/>
                <w:b/>
                <w:bCs/>
                <w:spacing w:val="7"/>
                <w:sz w:val="20"/>
                <w:szCs w:val="20"/>
              </w:rPr>
              <w:t>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586" w:type="dxa"/>
            <w:tcBorders>
              <w:left w:val="single" w:color="000000" w:sz="10"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8"/>
                <w:sz w:val="20"/>
                <w:szCs w:val="20"/>
              </w:rPr>
              <w:t>项</w:t>
            </w:r>
            <w:r>
              <w:rPr>
                <w:rFonts w:hint="default" w:ascii="Times New Roman" w:hAnsi="Times New Roman" w:eastAsia="仿宋_GB2312" w:cs="Times New Roman"/>
                <w:spacing w:val="5"/>
                <w:sz w:val="20"/>
                <w:szCs w:val="20"/>
              </w:rPr>
              <w:t>目名称</w:t>
            </w:r>
          </w:p>
        </w:tc>
        <w:tc>
          <w:tcPr>
            <w:tcW w:w="282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_GB2312" w:cs="Times New Roman"/>
                <w:sz w:val="20"/>
                <w:szCs w:val="20"/>
                <w:lang w:eastAsia="zh-CN"/>
              </w:rPr>
            </w:pPr>
            <w:r>
              <w:rPr>
                <w:rFonts w:hint="eastAsia" w:eastAsia="仿宋_GB2312" w:cs="Times New Roman"/>
                <w:spacing w:val="15"/>
                <w:sz w:val="20"/>
                <w:szCs w:val="20"/>
                <w:lang w:val="en-US" w:eastAsia="zh-CN"/>
              </w:rPr>
              <w:t>长春国际物流经济开发区新兴建材产业园区建设</w:t>
            </w:r>
            <w:r>
              <w:rPr>
                <w:rFonts w:hint="eastAsia" w:eastAsia="仿宋_GB2312" w:cs="Times New Roman"/>
                <w:spacing w:val="15"/>
                <w:sz w:val="20"/>
                <w:szCs w:val="20"/>
                <w:lang w:eastAsia="zh-CN"/>
              </w:rPr>
              <w:t>项目</w:t>
            </w:r>
          </w:p>
        </w:tc>
        <w:tc>
          <w:tcPr>
            <w:tcW w:w="1138"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_GB2312" w:cs="Times New Roman"/>
                <w:spacing w:val="15"/>
                <w:sz w:val="20"/>
                <w:szCs w:val="20"/>
              </w:rPr>
            </w:pPr>
            <w:r>
              <w:rPr>
                <w:rFonts w:hint="default" w:ascii="Times New Roman" w:hAnsi="Times New Roman" w:eastAsia="仿宋_GB2312" w:cs="Times New Roman"/>
                <w:spacing w:val="15"/>
                <w:sz w:val="20"/>
                <w:szCs w:val="20"/>
              </w:rPr>
              <w:t>建设地点</w:t>
            </w:r>
          </w:p>
        </w:tc>
        <w:tc>
          <w:tcPr>
            <w:tcW w:w="2797" w:type="dxa"/>
            <w:gridSpan w:val="3"/>
            <w:tcBorders>
              <w:right w:val="single" w:color="000000" w:sz="10"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_GB2312" w:cs="Times New Roman"/>
                <w:spacing w:val="15"/>
                <w:sz w:val="20"/>
                <w:szCs w:val="20"/>
                <w:lang w:eastAsia="zh-CN"/>
              </w:rPr>
            </w:pPr>
            <w:r>
              <w:rPr>
                <w:rFonts w:hint="default" w:ascii="Times New Roman" w:hAnsi="Times New Roman" w:eastAsia="仿宋_GB2312" w:cs="Times New Roman"/>
                <w:spacing w:val="15"/>
                <w:sz w:val="20"/>
                <w:szCs w:val="20"/>
                <w:lang w:eastAsia="zh-CN"/>
              </w:rPr>
              <w:t>长春二道经济开发</w:t>
            </w:r>
            <w:r>
              <w:rPr>
                <w:rFonts w:hint="default" w:ascii="Times New Roman" w:hAnsi="Times New Roman" w:eastAsia="仿宋_GB2312" w:cs="Times New Roman"/>
                <w:spacing w:val="15"/>
                <w:sz w:val="20"/>
                <w:szCs w:val="20"/>
              </w:rPr>
              <w:t>，</w:t>
            </w:r>
            <w:r>
              <w:rPr>
                <w:rFonts w:hint="default" w:ascii="Times New Roman" w:hAnsi="Times New Roman" w:eastAsia="仿宋_GB2312" w:cs="Times New Roman"/>
                <w:spacing w:val="15"/>
                <w:sz w:val="20"/>
                <w:szCs w:val="20"/>
                <w:lang w:val="en-US" w:eastAsia="zh-CN"/>
              </w:rPr>
              <w:t>坐落于</w:t>
            </w:r>
            <w:r>
              <w:rPr>
                <w:rFonts w:hint="eastAsia" w:eastAsia="仿宋_GB2312" w:cs="Times New Roman"/>
                <w:spacing w:val="15"/>
                <w:sz w:val="20"/>
                <w:szCs w:val="20"/>
                <w:lang w:val="en-US" w:eastAsia="zh-CN"/>
              </w:rPr>
              <w:t>常德路以北、英俊东街以东、英凯大街以西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586" w:type="dxa"/>
            <w:tcBorders>
              <w:left w:val="single" w:color="000000" w:sz="10"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6"/>
                <w:sz w:val="20"/>
                <w:szCs w:val="20"/>
              </w:rPr>
              <w:t>建设单</w:t>
            </w:r>
            <w:r>
              <w:rPr>
                <w:rFonts w:hint="default" w:ascii="Times New Roman" w:hAnsi="Times New Roman" w:eastAsia="仿宋_GB2312" w:cs="Times New Roman"/>
                <w:spacing w:val="5"/>
                <w:sz w:val="20"/>
                <w:szCs w:val="20"/>
              </w:rPr>
              <w:t>位</w:t>
            </w:r>
          </w:p>
        </w:tc>
        <w:tc>
          <w:tcPr>
            <w:tcW w:w="282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15"/>
                <w:sz w:val="20"/>
                <w:szCs w:val="20"/>
              </w:rPr>
              <w:t>长</w:t>
            </w:r>
            <w:r>
              <w:rPr>
                <w:rFonts w:hint="default" w:ascii="Times New Roman" w:hAnsi="Times New Roman" w:eastAsia="仿宋_GB2312" w:cs="Times New Roman"/>
                <w:spacing w:val="8"/>
                <w:sz w:val="20"/>
                <w:szCs w:val="20"/>
              </w:rPr>
              <w:t>春市瑞通投资有限公司</w:t>
            </w:r>
          </w:p>
        </w:tc>
        <w:tc>
          <w:tcPr>
            <w:tcW w:w="1138"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6"/>
                <w:sz w:val="20"/>
                <w:szCs w:val="20"/>
              </w:rPr>
              <w:t>建设性</w:t>
            </w:r>
            <w:r>
              <w:rPr>
                <w:rFonts w:hint="default" w:ascii="Times New Roman" w:hAnsi="Times New Roman" w:eastAsia="仿宋_GB2312" w:cs="Times New Roman"/>
                <w:spacing w:val="5"/>
                <w:sz w:val="20"/>
                <w:szCs w:val="20"/>
              </w:rPr>
              <w:t>质</w:t>
            </w:r>
          </w:p>
        </w:tc>
        <w:tc>
          <w:tcPr>
            <w:tcW w:w="2797" w:type="dxa"/>
            <w:gridSpan w:val="3"/>
            <w:tcBorders>
              <w:right w:val="single" w:color="000000" w:sz="10"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2"/>
                <w:sz w:val="20"/>
                <w:szCs w:val="20"/>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586" w:type="dxa"/>
            <w:tcBorders>
              <w:left w:val="single" w:color="000000" w:sz="10"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2"/>
                <w:sz w:val="20"/>
                <w:szCs w:val="20"/>
              </w:rPr>
              <w:t>总投资</w:t>
            </w:r>
          </w:p>
        </w:tc>
        <w:tc>
          <w:tcPr>
            <w:tcW w:w="282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_GB2312" w:cs="Times New Roman"/>
                <w:sz w:val="20"/>
                <w:szCs w:val="20"/>
                <w:highlight w:val="none"/>
              </w:rPr>
            </w:pPr>
            <w:r>
              <w:rPr>
                <w:rFonts w:hint="eastAsia" w:eastAsia="仿宋_GB2312" w:cs="Times New Roman"/>
                <w:color w:val="000000"/>
                <w:sz w:val="20"/>
                <w:szCs w:val="20"/>
                <w:highlight w:val="none"/>
                <w:lang w:eastAsia="zh-CN"/>
              </w:rPr>
              <w:t>103196.83</w:t>
            </w:r>
            <w:r>
              <w:rPr>
                <w:rFonts w:hint="default" w:ascii="Times New Roman" w:hAnsi="Times New Roman" w:eastAsia="仿宋_GB2312" w:cs="Times New Roman"/>
                <w:spacing w:val="5"/>
                <w:sz w:val="20"/>
                <w:szCs w:val="20"/>
                <w:highlight w:val="none"/>
              </w:rPr>
              <w:t>万</w:t>
            </w:r>
            <w:r>
              <w:rPr>
                <w:rFonts w:hint="default" w:ascii="Times New Roman" w:hAnsi="Times New Roman" w:eastAsia="仿宋_GB2312" w:cs="Times New Roman"/>
                <w:spacing w:val="3"/>
                <w:sz w:val="20"/>
                <w:szCs w:val="20"/>
                <w:highlight w:val="none"/>
              </w:rPr>
              <w:t>元</w:t>
            </w:r>
          </w:p>
        </w:tc>
        <w:tc>
          <w:tcPr>
            <w:tcW w:w="1138"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pacing w:val="6"/>
                <w:sz w:val="20"/>
                <w:szCs w:val="20"/>
                <w:highlight w:val="none"/>
              </w:rPr>
              <w:t>土</w:t>
            </w:r>
            <w:r>
              <w:rPr>
                <w:rFonts w:hint="default" w:ascii="Times New Roman" w:hAnsi="Times New Roman" w:eastAsia="仿宋_GB2312" w:cs="Times New Roman"/>
                <w:spacing w:val="5"/>
                <w:sz w:val="20"/>
                <w:szCs w:val="20"/>
                <w:highlight w:val="none"/>
              </w:rPr>
              <w:t>建投资</w:t>
            </w:r>
          </w:p>
        </w:tc>
        <w:tc>
          <w:tcPr>
            <w:tcW w:w="2797" w:type="dxa"/>
            <w:gridSpan w:val="3"/>
            <w:tcBorders>
              <w:right w:val="single" w:color="000000" w:sz="10"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_GB2312" w:cs="Times New Roman"/>
                <w:sz w:val="20"/>
                <w:szCs w:val="20"/>
                <w:highlight w:val="none"/>
              </w:rPr>
            </w:pPr>
            <w:r>
              <w:rPr>
                <w:rFonts w:hint="eastAsia" w:eastAsia="仿宋_GB2312" w:cs="Times New Roman"/>
                <w:color w:val="000000"/>
                <w:sz w:val="20"/>
                <w:szCs w:val="20"/>
                <w:highlight w:val="none"/>
                <w:lang w:eastAsia="zh-CN"/>
              </w:rPr>
              <w:t>100173.09</w:t>
            </w:r>
            <w:r>
              <w:rPr>
                <w:rFonts w:hint="default" w:ascii="Times New Roman" w:hAnsi="Times New Roman" w:eastAsia="仿宋_GB2312" w:cs="Times New Roman"/>
                <w:color w:val="000000"/>
                <w:sz w:val="20"/>
                <w:szCs w:val="20"/>
                <w:highlight w:val="none"/>
              </w:rPr>
              <w:t>万元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586" w:type="dxa"/>
            <w:tcBorders>
              <w:left w:val="single" w:color="000000" w:sz="10"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5"/>
                <w:sz w:val="20"/>
                <w:szCs w:val="20"/>
              </w:rPr>
              <w:t>建设期</w:t>
            </w:r>
          </w:p>
        </w:tc>
        <w:tc>
          <w:tcPr>
            <w:tcW w:w="6759" w:type="dxa"/>
            <w:gridSpan w:val="8"/>
            <w:tcBorders>
              <w:right w:val="single" w:color="000000" w:sz="10"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_GB2312" w:cs="Times New Roman"/>
                <w:sz w:val="20"/>
                <w:szCs w:val="20"/>
              </w:rPr>
            </w:pPr>
            <w:r>
              <w:rPr>
                <w:rFonts w:hint="eastAsia" w:eastAsia="仿宋_GB2312" w:cs="Times New Roman"/>
                <w:spacing w:val="1"/>
                <w:sz w:val="20"/>
                <w:szCs w:val="20"/>
                <w:lang w:val="en-US" w:eastAsia="zh-CN"/>
              </w:rPr>
              <w:t>计划</w:t>
            </w:r>
            <w:r>
              <w:rPr>
                <w:rFonts w:hint="default" w:ascii="Times New Roman" w:hAnsi="Times New Roman" w:eastAsia="仿宋_GB2312" w:cs="Times New Roman"/>
                <w:spacing w:val="1"/>
                <w:sz w:val="20"/>
                <w:szCs w:val="20"/>
              </w:rPr>
              <w:t>于</w:t>
            </w:r>
            <w:r>
              <w:rPr>
                <w:rFonts w:hint="eastAsia" w:eastAsia="仿宋_GB2312" w:cs="Times New Roman"/>
                <w:spacing w:val="1"/>
                <w:sz w:val="20"/>
                <w:szCs w:val="20"/>
                <w:lang w:eastAsia="zh-CN"/>
              </w:rPr>
              <w:t>2023年7月</w:t>
            </w:r>
            <w:r>
              <w:rPr>
                <w:rFonts w:hint="default" w:ascii="Times New Roman" w:hAnsi="Times New Roman" w:eastAsia="仿宋_GB2312" w:cs="Times New Roman"/>
                <w:spacing w:val="1"/>
                <w:sz w:val="20"/>
                <w:szCs w:val="20"/>
              </w:rPr>
              <w:t>开工，计划于</w:t>
            </w:r>
            <w:r>
              <w:rPr>
                <w:rFonts w:hint="eastAsia" w:eastAsia="仿宋_GB2312" w:cs="Times New Roman"/>
                <w:spacing w:val="1"/>
                <w:sz w:val="20"/>
                <w:szCs w:val="20"/>
                <w:lang w:eastAsia="zh-CN"/>
              </w:rPr>
              <w:t>2024年12月</w:t>
            </w:r>
            <w:r>
              <w:rPr>
                <w:rFonts w:hint="default" w:ascii="Times New Roman" w:hAnsi="Times New Roman" w:eastAsia="仿宋_GB2312" w:cs="Times New Roman"/>
                <w:sz w:val="20"/>
                <w:szCs w:val="20"/>
              </w:rPr>
              <w:t>完工。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586" w:type="dxa"/>
            <w:tcBorders>
              <w:left w:val="single" w:color="000000" w:sz="10"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6"/>
                <w:sz w:val="20"/>
                <w:szCs w:val="20"/>
              </w:rPr>
              <w:t>建设</w:t>
            </w:r>
            <w:r>
              <w:rPr>
                <w:rFonts w:hint="default" w:ascii="Times New Roman" w:hAnsi="Times New Roman" w:eastAsia="仿宋_GB2312" w:cs="Times New Roman"/>
                <w:spacing w:val="6"/>
                <w:sz w:val="20"/>
                <w:szCs w:val="20"/>
                <w:lang w:val="en-US" w:eastAsia="zh-CN"/>
              </w:rPr>
              <w:t>内容</w:t>
            </w:r>
          </w:p>
        </w:tc>
        <w:tc>
          <w:tcPr>
            <w:tcW w:w="6759" w:type="dxa"/>
            <w:gridSpan w:val="8"/>
            <w:tcBorders>
              <w:right w:val="single" w:color="000000" w:sz="10"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60" w:firstLineChars="200"/>
              <w:jc w:val="both"/>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10"/>
                <w:sz w:val="21"/>
                <w:szCs w:val="21"/>
              </w:rPr>
              <w:t>规划总建筑面积</w:t>
            </w:r>
            <w:r>
              <w:rPr>
                <w:rFonts w:hint="eastAsia" w:eastAsia="仿宋_GB2312" w:cs="Times New Roman"/>
                <w:spacing w:val="10"/>
                <w:sz w:val="21"/>
                <w:szCs w:val="21"/>
                <w:lang w:eastAsia="zh-CN"/>
              </w:rPr>
              <w:t>133523.92</w:t>
            </w:r>
            <w:r>
              <w:rPr>
                <w:rFonts w:hint="default" w:ascii="Times New Roman" w:hAnsi="Times New Roman" w:eastAsia="仿宋_GB2312" w:cs="Times New Roman"/>
                <w:spacing w:val="10"/>
                <w:sz w:val="21"/>
                <w:szCs w:val="21"/>
                <w:lang w:eastAsia="zh-CN"/>
              </w:rPr>
              <w:t>m²，</w:t>
            </w:r>
            <w:r>
              <w:rPr>
                <w:rFonts w:hint="default" w:ascii="Times New Roman" w:hAnsi="Times New Roman" w:eastAsia="仿宋_GB2312" w:cs="Times New Roman"/>
                <w:spacing w:val="10"/>
                <w:sz w:val="21"/>
                <w:szCs w:val="21"/>
              </w:rPr>
              <w:t>其中，地上建筑面积</w:t>
            </w:r>
            <w:r>
              <w:rPr>
                <w:rFonts w:hint="eastAsia" w:eastAsia="仿宋_GB2312" w:cs="Times New Roman"/>
                <w:spacing w:val="10"/>
                <w:sz w:val="21"/>
                <w:szCs w:val="21"/>
                <w:lang w:eastAsia="zh-CN"/>
              </w:rPr>
              <w:t>132784.35</w:t>
            </w:r>
            <w:r>
              <w:rPr>
                <w:rFonts w:hint="default" w:ascii="Times New Roman" w:hAnsi="Times New Roman" w:eastAsia="仿宋_GB2312" w:cs="Times New Roman"/>
                <w:spacing w:val="10"/>
                <w:sz w:val="21"/>
                <w:szCs w:val="21"/>
                <w:lang w:eastAsia="zh-CN"/>
              </w:rPr>
              <w:t>m²</w:t>
            </w:r>
            <w:r>
              <w:rPr>
                <w:rFonts w:hint="default" w:ascii="Times New Roman" w:hAnsi="Times New Roman" w:eastAsia="仿宋_GB2312" w:cs="Times New Roman"/>
                <w:spacing w:val="10"/>
                <w:sz w:val="21"/>
                <w:szCs w:val="21"/>
              </w:rPr>
              <w:t>，地下建筑面积</w:t>
            </w:r>
            <w:r>
              <w:rPr>
                <w:rFonts w:hint="eastAsia" w:eastAsia="仿宋_GB2312" w:cs="Times New Roman"/>
                <w:spacing w:val="10"/>
                <w:sz w:val="21"/>
                <w:szCs w:val="21"/>
                <w:lang w:eastAsia="zh-CN"/>
              </w:rPr>
              <w:t>739.57</w:t>
            </w:r>
            <w:r>
              <w:rPr>
                <w:rFonts w:hint="default" w:ascii="Times New Roman" w:hAnsi="Times New Roman" w:eastAsia="仿宋_GB2312" w:cs="Times New Roman"/>
                <w:spacing w:val="10"/>
                <w:sz w:val="21"/>
                <w:szCs w:val="21"/>
                <w:lang w:eastAsia="zh-CN"/>
              </w:rPr>
              <w:t>m²</w:t>
            </w:r>
            <w:r>
              <w:rPr>
                <w:rFonts w:hint="default" w:ascii="Times New Roman" w:hAnsi="Times New Roman" w:eastAsia="仿宋_GB2312" w:cs="Times New Roman"/>
                <w:spacing w:val="10"/>
                <w:sz w:val="21"/>
                <w:szCs w:val="21"/>
              </w:rPr>
              <w:t>，</w:t>
            </w:r>
            <w:r>
              <w:rPr>
                <w:rFonts w:hint="default" w:ascii="Times New Roman" w:hAnsi="Times New Roman" w:eastAsia="仿宋_GB2312" w:cs="Times New Roman"/>
                <w:color w:val="auto"/>
                <w:sz w:val="21"/>
                <w:szCs w:val="21"/>
              </w:rPr>
              <w:t>厂房</w:t>
            </w:r>
            <w:r>
              <w:rPr>
                <w:rFonts w:hint="eastAsia" w:eastAsia="仿宋_GB2312" w:cs="Times New Roman"/>
                <w:color w:val="auto"/>
                <w:sz w:val="21"/>
                <w:szCs w:val="21"/>
                <w:lang w:val="en-US" w:eastAsia="zh-CN"/>
              </w:rPr>
              <w:t>6栋</w:t>
            </w:r>
            <w:r>
              <w:rPr>
                <w:rFonts w:hint="default" w:ascii="Times New Roman" w:hAnsi="Times New Roman" w:eastAsia="仿宋_GB2312" w:cs="Times New Roman"/>
                <w:color w:val="auto"/>
                <w:sz w:val="21"/>
                <w:szCs w:val="21"/>
                <w:lang w:val="en-US" w:eastAsia="zh-CN"/>
              </w:rPr>
              <w:t>面积</w:t>
            </w:r>
            <w:r>
              <w:rPr>
                <w:rFonts w:hint="eastAsia" w:eastAsia="仿宋_GB2312" w:cs="Times New Roman"/>
                <w:color w:val="auto"/>
                <w:sz w:val="21"/>
                <w:szCs w:val="21"/>
                <w:lang w:eastAsia="zh-CN"/>
              </w:rPr>
              <w:t>106815.86</w:t>
            </w:r>
            <w:r>
              <w:rPr>
                <w:rFonts w:hint="default" w:ascii="Times New Roman" w:hAnsi="Times New Roman" w:eastAsia="仿宋_GB2312" w:cs="Times New Roman"/>
                <w:color w:val="auto"/>
                <w:sz w:val="21"/>
                <w:szCs w:val="21"/>
                <w:lang w:eastAsia="zh-CN"/>
              </w:rPr>
              <w:t>m²</w:t>
            </w:r>
            <w:r>
              <w:rPr>
                <w:rFonts w:hint="default" w:ascii="Times New Roman" w:hAnsi="Times New Roman" w:eastAsia="仿宋_GB2312" w:cs="Times New Roman"/>
                <w:color w:val="auto"/>
                <w:sz w:val="21"/>
                <w:szCs w:val="21"/>
              </w:rPr>
              <w:t>、</w:t>
            </w:r>
            <w:r>
              <w:rPr>
                <w:rFonts w:hint="eastAsia" w:eastAsia="仿宋_GB2312" w:cs="Times New Roman"/>
                <w:color w:val="auto"/>
                <w:sz w:val="21"/>
                <w:szCs w:val="21"/>
                <w:lang w:val="en-US" w:eastAsia="zh-CN"/>
              </w:rPr>
              <w:t>办公楼及食堂11063.98</w:t>
            </w:r>
            <w:r>
              <w:rPr>
                <w:rFonts w:hint="default" w:ascii="Times New Roman" w:hAnsi="Times New Roman" w:eastAsia="仿宋_GB2312" w:cs="Times New Roman"/>
                <w:color w:val="auto"/>
                <w:sz w:val="21"/>
                <w:szCs w:val="21"/>
                <w:lang w:eastAsia="zh-CN"/>
              </w:rPr>
              <w:t>m²</w:t>
            </w:r>
            <w:r>
              <w:rPr>
                <w:rFonts w:hint="default" w:ascii="Times New Roman" w:hAnsi="Times New Roman" w:eastAsia="仿宋_GB2312" w:cs="Times New Roman"/>
                <w:color w:val="auto"/>
                <w:sz w:val="21"/>
                <w:szCs w:val="21"/>
              </w:rPr>
              <w:t>、</w:t>
            </w:r>
            <w:r>
              <w:rPr>
                <w:rFonts w:hint="eastAsia" w:eastAsia="仿宋_GB2312" w:cs="Times New Roman"/>
                <w:color w:val="auto"/>
                <w:sz w:val="21"/>
                <w:szCs w:val="21"/>
                <w:lang w:val="en-US" w:eastAsia="zh-CN"/>
              </w:rPr>
              <w:t>宿舍楼1栋面积7716.97</w:t>
            </w:r>
            <w:r>
              <w:rPr>
                <w:rFonts w:hint="default" w:ascii="Times New Roman" w:hAnsi="Times New Roman" w:eastAsia="仿宋_GB2312" w:cs="Times New Roman"/>
                <w:color w:val="auto"/>
                <w:sz w:val="21"/>
                <w:szCs w:val="21"/>
                <w:lang w:eastAsia="zh-CN"/>
              </w:rPr>
              <w:t>m²</w:t>
            </w:r>
            <w:r>
              <w:rPr>
                <w:rFonts w:hint="default" w:ascii="Times New Roman" w:hAnsi="Times New Roman" w:eastAsia="仿宋_GB2312" w:cs="Times New Roman"/>
                <w:color w:val="auto"/>
                <w:sz w:val="21"/>
                <w:szCs w:val="21"/>
              </w:rPr>
              <w:t>、</w:t>
            </w:r>
            <w:r>
              <w:rPr>
                <w:rFonts w:hint="eastAsia" w:eastAsia="仿宋_GB2312" w:cs="Times New Roman"/>
                <w:color w:val="auto"/>
                <w:sz w:val="21"/>
                <w:szCs w:val="21"/>
                <w:lang w:val="en-US" w:eastAsia="zh-CN"/>
              </w:rPr>
              <w:t>实验中心1栋面积3955.97</w:t>
            </w:r>
            <w:r>
              <w:rPr>
                <w:rFonts w:hint="default" w:ascii="Times New Roman" w:hAnsi="Times New Roman" w:eastAsia="仿宋_GB2312" w:cs="Times New Roman"/>
                <w:color w:val="auto"/>
                <w:sz w:val="21"/>
                <w:szCs w:val="21"/>
                <w:lang w:eastAsia="zh-CN"/>
              </w:rPr>
              <w:t>m²</w:t>
            </w:r>
            <w:r>
              <w:rPr>
                <w:rFonts w:hint="default" w:ascii="Times New Roman" w:hAnsi="Times New Roman" w:eastAsia="仿宋_GB2312" w:cs="Times New Roman"/>
                <w:color w:val="auto"/>
                <w:sz w:val="21"/>
                <w:szCs w:val="21"/>
              </w:rPr>
              <w:t>、</w:t>
            </w:r>
            <w:r>
              <w:rPr>
                <w:rFonts w:hint="eastAsia" w:eastAsia="仿宋_GB2312" w:cs="Times New Roman"/>
                <w:color w:val="auto"/>
                <w:sz w:val="21"/>
                <w:szCs w:val="21"/>
                <w:lang w:val="en-US" w:eastAsia="zh-CN"/>
              </w:rPr>
              <w:t>食堂1栋面积2425.71</w:t>
            </w:r>
            <w:r>
              <w:rPr>
                <w:rFonts w:hint="default" w:ascii="Times New Roman" w:hAnsi="Times New Roman" w:eastAsia="仿宋_GB2312" w:cs="Times New Roman"/>
                <w:color w:val="auto"/>
                <w:sz w:val="21"/>
                <w:szCs w:val="21"/>
                <w:lang w:eastAsia="zh-CN"/>
              </w:rPr>
              <w:t>m²</w:t>
            </w:r>
            <w:r>
              <w:rPr>
                <w:rFonts w:hint="default" w:ascii="Times New Roman" w:hAnsi="Times New Roman" w:eastAsia="仿宋_GB2312" w:cs="Times New Roman"/>
                <w:color w:val="auto"/>
                <w:sz w:val="21"/>
                <w:szCs w:val="21"/>
              </w:rPr>
              <w:t>、开闭站、变电所、柴发、锅炉房</w:t>
            </w:r>
            <w:r>
              <w:rPr>
                <w:rFonts w:hint="eastAsia" w:eastAsia="仿宋_GB2312" w:cs="Times New Roman"/>
                <w:color w:val="auto"/>
                <w:sz w:val="21"/>
                <w:szCs w:val="21"/>
                <w:lang w:val="en-US" w:eastAsia="zh-CN"/>
              </w:rPr>
              <w:t>面积722.86</w:t>
            </w:r>
            <w:r>
              <w:rPr>
                <w:rFonts w:hint="default" w:ascii="Times New Roman" w:hAnsi="Times New Roman" w:eastAsia="仿宋_GB2312" w:cs="Times New Roman"/>
                <w:color w:val="auto"/>
                <w:sz w:val="21"/>
                <w:szCs w:val="21"/>
                <w:lang w:eastAsia="zh-CN"/>
              </w:rPr>
              <w:t>m²</w:t>
            </w:r>
            <w:r>
              <w:rPr>
                <w:rFonts w:hint="default" w:ascii="Times New Roman" w:hAnsi="Times New Roman" w:eastAsia="仿宋_GB2312" w:cs="Times New Roman"/>
                <w:color w:val="auto"/>
                <w:sz w:val="21"/>
                <w:szCs w:val="21"/>
              </w:rPr>
              <w:t>、</w:t>
            </w:r>
            <w:r>
              <w:rPr>
                <w:rFonts w:hint="eastAsia" w:eastAsia="仿宋_GB2312" w:cs="Times New Roman"/>
                <w:color w:val="auto"/>
                <w:sz w:val="21"/>
                <w:szCs w:val="21"/>
                <w:lang w:eastAsia="zh-CN"/>
              </w:rPr>
              <w:t>水泵房及水池</w:t>
            </w:r>
            <w:r>
              <w:rPr>
                <w:rFonts w:hint="default" w:ascii="Times New Roman" w:hAnsi="Times New Roman" w:eastAsia="仿宋_GB2312" w:cs="Times New Roman"/>
                <w:color w:val="auto"/>
                <w:sz w:val="21"/>
                <w:szCs w:val="21"/>
                <w:lang w:val="en-US" w:eastAsia="zh-CN"/>
              </w:rPr>
              <w:t>1栋面积</w:t>
            </w:r>
            <w:r>
              <w:rPr>
                <w:rFonts w:hint="eastAsia" w:eastAsia="仿宋_GB2312" w:cs="Times New Roman"/>
                <w:color w:val="auto"/>
                <w:sz w:val="21"/>
                <w:szCs w:val="21"/>
                <w:lang w:eastAsia="zh-CN"/>
              </w:rPr>
              <w:t>729.57</w:t>
            </w:r>
            <w:r>
              <w:rPr>
                <w:rFonts w:hint="default" w:ascii="Times New Roman" w:hAnsi="Times New Roman" w:eastAsia="仿宋_GB2312" w:cs="Times New Roman"/>
                <w:color w:val="auto"/>
                <w:sz w:val="21"/>
                <w:szCs w:val="21"/>
                <w:lang w:eastAsia="zh-CN"/>
              </w:rPr>
              <w:t>m²（</w:t>
            </w:r>
            <w:r>
              <w:rPr>
                <w:rFonts w:hint="default" w:ascii="Times New Roman" w:hAnsi="Times New Roman" w:eastAsia="仿宋_GB2312" w:cs="Times New Roman"/>
                <w:color w:val="auto"/>
                <w:sz w:val="21"/>
                <w:szCs w:val="21"/>
                <w:lang w:val="en-US" w:eastAsia="zh-CN"/>
              </w:rPr>
              <w:t>地上建筑面积</w:t>
            </w:r>
            <w:r>
              <w:rPr>
                <w:rFonts w:hint="eastAsia" w:eastAsia="仿宋_GB2312" w:cs="Times New Roman"/>
                <w:color w:val="auto"/>
                <w:sz w:val="21"/>
                <w:szCs w:val="21"/>
                <w:lang w:val="en-US" w:eastAsia="zh-CN"/>
              </w:rPr>
              <w:t>53</w:t>
            </w:r>
            <w:r>
              <w:rPr>
                <w:rFonts w:hint="default" w:ascii="Times New Roman" w:hAnsi="Times New Roman" w:eastAsia="仿宋_GB2312" w:cs="Times New Roman"/>
                <w:color w:val="auto"/>
                <w:sz w:val="21"/>
                <w:szCs w:val="21"/>
                <w:lang w:eastAsia="zh-CN"/>
              </w:rPr>
              <w:t>m²，</w:t>
            </w:r>
            <w:r>
              <w:rPr>
                <w:rFonts w:hint="default" w:ascii="Times New Roman" w:hAnsi="Times New Roman" w:eastAsia="仿宋_GB2312" w:cs="Times New Roman"/>
                <w:color w:val="auto"/>
                <w:sz w:val="21"/>
                <w:szCs w:val="21"/>
                <w:lang w:val="en-US" w:eastAsia="zh-CN"/>
              </w:rPr>
              <w:t>地下建筑面积</w:t>
            </w:r>
            <w:r>
              <w:rPr>
                <w:rFonts w:hint="eastAsia" w:eastAsia="仿宋_GB2312" w:cs="Times New Roman"/>
                <w:color w:val="auto"/>
                <w:sz w:val="21"/>
                <w:szCs w:val="21"/>
                <w:lang w:val="en-US" w:eastAsia="zh-CN"/>
              </w:rPr>
              <w:t>739.57</w:t>
            </w:r>
            <w:r>
              <w:rPr>
                <w:rFonts w:hint="default" w:ascii="Times New Roman" w:hAnsi="Times New Roman" w:eastAsia="仿宋_GB2312" w:cs="Times New Roman"/>
                <w:color w:val="auto"/>
                <w:sz w:val="21"/>
                <w:szCs w:val="21"/>
                <w:lang w:eastAsia="zh-CN"/>
              </w:rPr>
              <w:t>m²）</w:t>
            </w:r>
            <w:r>
              <w:rPr>
                <w:rFonts w:hint="default" w:ascii="Times New Roman" w:hAnsi="Times New Roman" w:eastAsia="仿宋_GB2312" w:cs="Times New Roman"/>
                <w:color w:val="auto"/>
                <w:sz w:val="21"/>
                <w:szCs w:val="21"/>
              </w:rPr>
              <w:t>、</w:t>
            </w:r>
            <w:r>
              <w:rPr>
                <w:rFonts w:hint="eastAsia" w:eastAsia="仿宋_GB2312" w:cs="Times New Roman"/>
                <w:color w:val="auto"/>
                <w:sz w:val="21"/>
                <w:szCs w:val="21"/>
                <w:lang w:eastAsia="zh-CN"/>
              </w:rPr>
              <w:t>成品岗亭</w:t>
            </w:r>
            <w:r>
              <w:rPr>
                <w:rFonts w:hint="eastAsia" w:eastAsia="仿宋_GB2312" w:cs="Times New Roman"/>
                <w:color w:val="auto"/>
                <w:sz w:val="21"/>
                <w:szCs w:val="21"/>
                <w:lang w:val="en-US" w:eastAsia="zh-CN"/>
              </w:rPr>
              <w:t>5栋</w:t>
            </w:r>
            <w:r>
              <w:rPr>
                <w:rFonts w:hint="default" w:ascii="Times New Roman" w:hAnsi="Times New Roman" w:eastAsia="仿宋_GB2312" w:cs="Times New Roman"/>
                <w:color w:val="auto"/>
                <w:sz w:val="21"/>
                <w:szCs w:val="21"/>
                <w:lang w:val="en-US" w:eastAsia="zh-CN"/>
              </w:rPr>
              <w:t>面积</w:t>
            </w:r>
            <w:r>
              <w:rPr>
                <w:rFonts w:hint="eastAsia" w:eastAsia="仿宋_GB2312" w:cs="Times New Roman"/>
                <w:color w:val="auto"/>
                <w:sz w:val="21"/>
                <w:szCs w:val="21"/>
                <w:lang w:val="en-US" w:eastAsia="zh-CN"/>
              </w:rPr>
              <w:t>30</w:t>
            </w:r>
            <w:r>
              <w:rPr>
                <w:rFonts w:hint="default" w:ascii="Times New Roman" w:hAnsi="Times New Roman" w:eastAsia="仿宋_GB2312" w:cs="Times New Roman"/>
                <w:color w:val="auto"/>
                <w:sz w:val="21"/>
                <w:szCs w:val="21"/>
                <w:lang w:eastAsia="zh-CN"/>
              </w:rPr>
              <w:t>m²</w:t>
            </w:r>
            <w:r>
              <w:rPr>
                <w:rFonts w:hint="default" w:ascii="Times New Roman" w:hAnsi="Times New Roman" w:eastAsia="仿宋_GB2312" w:cs="Times New Roman"/>
                <w:color w:val="auto"/>
                <w:sz w:val="21"/>
                <w:szCs w:val="21"/>
              </w:rPr>
              <w:t>。</w:t>
            </w:r>
            <w:r>
              <w:rPr>
                <w:rFonts w:hint="default" w:ascii="Times New Roman" w:hAnsi="Times New Roman" w:eastAsia="仿宋_GB2312" w:cs="Times New Roman"/>
                <w:color w:val="auto"/>
                <w:sz w:val="21"/>
                <w:szCs w:val="21"/>
                <w:lang w:eastAsia="zh-CN"/>
              </w:rPr>
              <w:t>道路及硬化</w:t>
            </w:r>
            <w:r>
              <w:rPr>
                <w:rFonts w:hint="default" w:ascii="Times New Roman" w:hAnsi="Times New Roman" w:eastAsia="仿宋_GB2312" w:cs="Times New Roman"/>
                <w:color w:val="auto"/>
                <w:sz w:val="21"/>
                <w:szCs w:val="21"/>
              </w:rPr>
              <w:t>面积</w:t>
            </w:r>
            <w:r>
              <w:rPr>
                <w:rFonts w:hint="eastAsia" w:eastAsia="仿宋_GB2312" w:cs="Times New Roman"/>
                <w:color w:val="auto"/>
                <w:sz w:val="21"/>
                <w:szCs w:val="21"/>
                <w:lang w:eastAsia="zh-CN"/>
              </w:rPr>
              <w:t>79857.96</w:t>
            </w:r>
            <w:r>
              <w:rPr>
                <w:rFonts w:hint="default" w:ascii="Times New Roman" w:hAnsi="Times New Roman" w:eastAsia="仿宋_GB2312" w:cs="Times New Roman"/>
                <w:color w:val="auto"/>
                <w:sz w:val="21"/>
                <w:szCs w:val="21"/>
                <w:lang w:eastAsia="zh-CN"/>
              </w:rPr>
              <w:t>m²</w:t>
            </w:r>
            <w:r>
              <w:rPr>
                <w:rFonts w:hint="default" w:ascii="Times New Roman" w:hAnsi="Times New Roman" w:eastAsia="仿宋_GB2312" w:cs="Times New Roman"/>
                <w:color w:val="auto"/>
                <w:sz w:val="21"/>
                <w:szCs w:val="21"/>
              </w:rPr>
              <w:t>；</w:t>
            </w:r>
            <w:r>
              <w:rPr>
                <w:rFonts w:hint="default" w:ascii="Times New Roman" w:hAnsi="Times New Roman" w:eastAsia="仿宋_GB2312" w:cs="Times New Roman"/>
                <w:color w:val="auto"/>
                <w:sz w:val="21"/>
                <w:szCs w:val="21"/>
                <w:lang w:eastAsia="zh-CN"/>
              </w:rPr>
              <w:t>绿化面积</w:t>
            </w:r>
            <w:r>
              <w:rPr>
                <w:rFonts w:hint="eastAsia" w:eastAsia="仿宋_GB2312" w:cs="Times New Roman"/>
                <w:color w:val="auto"/>
                <w:sz w:val="21"/>
                <w:szCs w:val="21"/>
                <w:lang w:val="en-US" w:eastAsia="zh-CN"/>
              </w:rPr>
              <w:t>39933.28</w:t>
            </w:r>
            <w:r>
              <w:rPr>
                <w:rFonts w:hint="default" w:ascii="Times New Roman" w:hAnsi="Times New Roman" w:eastAsia="仿宋_GB2312" w:cs="Times New Roman"/>
                <w:color w:val="auto"/>
                <w:sz w:val="21"/>
                <w:szCs w:val="21"/>
                <w:lang w:val="en-US" w:eastAsia="zh-CN"/>
              </w:rPr>
              <w:t>m²</w:t>
            </w:r>
            <w:r>
              <w:rPr>
                <w:rFonts w:hint="default" w:ascii="Times New Roman" w:hAnsi="Times New Roman" w:eastAsia="仿宋_GB2312" w:cs="Times New Roman"/>
                <w:color w:val="auto"/>
                <w:sz w:val="21"/>
                <w:szCs w:val="21"/>
                <w:lang w:eastAsia="zh-CN"/>
              </w:rPr>
              <w:t>，</w:t>
            </w:r>
            <w:r>
              <w:rPr>
                <w:rFonts w:hint="default" w:ascii="Times New Roman" w:hAnsi="Times New Roman" w:eastAsia="仿宋_GB2312" w:cs="Times New Roman"/>
                <w:color w:val="auto"/>
                <w:sz w:val="21"/>
                <w:szCs w:val="21"/>
              </w:rPr>
              <w:t>配套</w:t>
            </w:r>
            <w:r>
              <w:rPr>
                <w:rFonts w:hint="default" w:ascii="Times New Roman" w:hAnsi="Times New Roman" w:eastAsia="仿宋_GB2312" w:cs="Times New Roman"/>
                <w:color w:val="auto"/>
                <w:sz w:val="21"/>
                <w:szCs w:val="21"/>
                <w:lang w:eastAsia="zh-CN"/>
              </w:rPr>
              <w:t>供水管线和供电工程等基础设施工程</w:t>
            </w:r>
            <w:r>
              <w:rPr>
                <w:rFonts w:hint="default" w:ascii="Times New Roman" w:hAnsi="Times New Roman" w:eastAsia="仿宋_GB2312" w:cs="Times New Roman"/>
                <w:color w:val="auto"/>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586" w:type="dxa"/>
            <w:tcBorders>
              <w:left w:val="single" w:color="000000" w:sz="10"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仿宋_GB2312" w:cs="Times New Roman"/>
                <w:spacing w:val="2"/>
                <w:sz w:val="20"/>
                <w:szCs w:val="20"/>
                <w:lang w:val="en-US" w:eastAsia="zh-CN"/>
              </w:rPr>
            </w:pPr>
            <w:r>
              <w:rPr>
                <w:rFonts w:hint="eastAsia" w:eastAsia="仿宋_GB2312" w:cs="Times New Roman"/>
                <w:spacing w:val="2"/>
                <w:sz w:val="20"/>
                <w:szCs w:val="20"/>
                <w:lang w:val="en-US" w:eastAsia="zh-CN"/>
              </w:rPr>
              <w:t>燃气</w:t>
            </w:r>
          </w:p>
        </w:tc>
        <w:tc>
          <w:tcPr>
            <w:tcW w:w="6759" w:type="dxa"/>
            <w:gridSpan w:val="8"/>
            <w:tcBorders>
              <w:right w:val="single" w:color="000000" w:sz="10"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404" w:firstLineChars="200"/>
              <w:jc w:val="both"/>
              <w:textAlignment w:val="auto"/>
              <w:rPr>
                <w:rFonts w:hint="eastAsia" w:ascii="Times New Roman" w:hAnsi="Times New Roman" w:eastAsia="仿宋_GB2312" w:cs="Times New Roman"/>
                <w:spacing w:val="1"/>
                <w:sz w:val="20"/>
                <w:szCs w:val="20"/>
                <w:highlight w:val="none"/>
                <w:lang w:eastAsia="zh-CN"/>
              </w:rPr>
            </w:pPr>
            <w:r>
              <w:rPr>
                <w:rFonts w:hint="default" w:ascii="Times New Roman" w:hAnsi="Times New Roman" w:eastAsia="仿宋_GB2312" w:cs="Times New Roman"/>
                <w:spacing w:val="1"/>
                <w:sz w:val="20"/>
                <w:szCs w:val="20"/>
                <w:highlight w:val="none"/>
              </w:rPr>
              <w:t>引自A地块燃气管网</w:t>
            </w:r>
            <w:r>
              <w:rPr>
                <w:rFonts w:hint="eastAsia" w:eastAsia="仿宋_GB2312" w:cs="Times New Roman"/>
                <w:spacing w:val="1"/>
                <w:sz w:val="20"/>
                <w:szCs w:val="20"/>
                <w:highlight w:val="none"/>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586" w:type="dxa"/>
            <w:tcBorders>
              <w:left w:val="single" w:color="000000" w:sz="10"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仿宋_GB2312" w:cs="Times New Roman"/>
                <w:spacing w:val="2"/>
                <w:sz w:val="20"/>
                <w:szCs w:val="20"/>
                <w:lang w:val="en-US" w:eastAsia="zh-CN"/>
              </w:rPr>
            </w:pPr>
            <w:r>
              <w:rPr>
                <w:rFonts w:hint="eastAsia" w:eastAsia="仿宋_GB2312" w:cs="Times New Roman"/>
                <w:spacing w:val="2"/>
                <w:sz w:val="20"/>
                <w:szCs w:val="20"/>
                <w:lang w:val="en-US" w:eastAsia="zh-CN"/>
              </w:rPr>
              <w:t>给水</w:t>
            </w:r>
          </w:p>
        </w:tc>
        <w:tc>
          <w:tcPr>
            <w:tcW w:w="6759" w:type="dxa"/>
            <w:gridSpan w:val="8"/>
            <w:tcBorders>
              <w:right w:val="single" w:color="000000" w:sz="10"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404" w:firstLineChars="200"/>
              <w:jc w:val="both"/>
              <w:textAlignment w:val="auto"/>
              <w:rPr>
                <w:rFonts w:hint="eastAsia" w:ascii="Times New Roman" w:hAnsi="Times New Roman" w:eastAsia="仿宋_GB2312" w:cs="Times New Roman"/>
                <w:spacing w:val="1"/>
                <w:sz w:val="20"/>
                <w:szCs w:val="20"/>
                <w:highlight w:val="none"/>
                <w:lang w:eastAsia="zh-CN"/>
              </w:rPr>
            </w:pPr>
            <w:r>
              <w:rPr>
                <w:rFonts w:hint="default" w:ascii="Times New Roman" w:hAnsi="Times New Roman" w:eastAsia="仿宋_GB2312" w:cs="Times New Roman"/>
                <w:spacing w:val="1"/>
                <w:sz w:val="20"/>
                <w:szCs w:val="20"/>
                <w:highlight w:val="none"/>
              </w:rPr>
              <w:t>引自A地块给水管网</w:t>
            </w:r>
            <w:r>
              <w:rPr>
                <w:rFonts w:hint="eastAsia" w:eastAsia="仿宋_GB2312" w:cs="Times New Roman"/>
                <w:spacing w:val="1"/>
                <w:sz w:val="20"/>
                <w:szCs w:val="20"/>
                <w:highlight w:val="none"/>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586" w:type="dxa"/>
            <w:tcBorders>
              <w:left w:val="single" w:color="000000" w:sz="10"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仿宋_GB2312" w:cs="Times New Roman"/>
                <w:spacing w:val="2"/>
                <w:sz w:val="20"/>
                <w:szCs w:val="20"/>
                <w:lang w:val="en-US" w:eastAsia="zh-CN"/>
              </w:rPr>
            </w:pPr>
            <w:r>
              <w:rPr>
                <w:rFonts w:hint="eastAsia" w:eastAsia="仿宋_GB2312" w:cs="Times New Roman"/>
                <w:spacing w:val="2"/>
                <w:sz w:val="20"/>
                <w:szCs w:val="20"/>
                <w:lang w:val="en-US" w:eastAsia="zh-CN"/>
              </w:rPr>
              <w:t>污水</w:t>
            </w:r>
          </w:p>
        </w:tc>
        <w:tc>
          <w:tcPr>
            <w:tcW w:w="6759" w:type="dxa"/>
            <w:gridSpan w:val="8"/>
            <w:tcBorders>
              <w:right w:val="single" w:color="000000" w:sz="10"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404" w:firstLineChars="200"/>
              <w:jc w:val="both"/>
              <w:textAlignment w:val="auto"/>
              <w:rPr>
                <w:rFonts w:hint="eastAsia" w:ascii="Times New Roman" w:hAnsi="Times New Roman" w:eastAsia="仿宋_GB2312" w:cs="Times New Roman"/>
                <w:spacing w:val="1"/>
                <w:sz w:val="20"/>
                <w:szCs w:val="20"/>
                <w:highlight w:val="none"/>
                <w:lang w:eastAsia="zh-CN"/>
              </w:rPr>
            </w:pPr>
            <w:r>
              <w:rPr>
                <w:rFonts w:hint="default" w:ascii="Times New Roman" w:hAnsi="Times New Roman" w:eastAsia="仿宋_GB2312" w:cs="Times New Roman"/>
                <w:spacing w:val="1"/>
                <w:sz w:val="20"/>
                <w:szCs w:val="20"/>
                <w:highlight w:val="none"/>
              </w:rPr>
              <w:t>排入英凯大街污水管线</w:t>
            </w:r>
            <w:r>
              <w:rPr>
                <w:rFonts w:hint="eastAsia" w:eastAsia="仿宋_GB2312" w:cs="Times New Roman"/>
                <w:spacing w:val="1"/>
                <w:sz w:val="20"/>
                <w:szCs w:val="20"/>
                <w:highlight w:val="none"/>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586" w:type="dxa"/>
            <w:tcBorders>
              <w:left w:val="single" w:color="000000" w:sz="10"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仿宋_GB2312" w:cs="Times New Roman"/>
                <w:sz w:val="20"/>
                <w:szCs w:val="20"/>
                <w:lang w:eastAsia="zh-CN"/>
              </w:rPr>
            </w:pPr>
            <w:r>
              <w:rPr>
                <w:rFonts w:hint="eastAsia" w:eastAsia="仿宋_GB2312" w:cs="Times New Roman"/>
                <w:spacing w:val="2"/>
                <w:sz w:val="20"/>
                <w:szCs w:val="20"/>
                <w:lang w:val="en-US" w:eastAsia="zh-CN"/>
              </w:rPr>
              <w:t>雨水</w:t>
            </w:r>
          </w:p>
        </w:tc>
        <w:tc>
          <w:tcPr>
            <w:tcW w:w="6759" w:type="dxa"/>
            <w:gridSpan w:val="8"/>
            <w:tcBorders>
              <w:right w:val="single" w:color="000000" w:sz="10"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404" w:firstLineChars="200"/>
              <w:jc w:val="both"/>
              <w:textAlignment w:val="auto"/>
              <w:rPr>
                <w:rFonts w:hint="eastAsia" w:ascii="Times New Roman" w:hAnsi="Times New Roman" w:eastAsia="仿宋_GB2312" w:cs="Times New Roman"/>
                <w:spacing w:val="1"/>
                <w:sz w:val="20"/>
                <w:szCs w:val="20"/>
                <w:highlight w:val="none"/>
                <w:lang w:eastAsia="zh-CN"/>
              </w:rPr>
            </w:pPr>
            <w:r>
              <w:rPr>
                <w:rFonts w:hint="default" w:ascii="Times New Roman" w:hAnsi="Times New Roman" w:eastAsia="仿宋_GB2312" w:cs="Times New Roman"/>
                <w:spacing w:val="1"/>
                <w:sz w:val="20"/>
                <w:szCs w:val="20"/>
                <w:highlight w:val="none"/>
              </w:rPr>
              <w:t>排入英凯大街现状雨水管线</w:t>
            </w:r>
            <w:r>
              <w:rPr>
                <w:rFonts w:hint="eastAsia" w:eastAsia="仿宋_GB2312" w:cs="Times New Roman"/>
                <w:spacing w:val="1"/>
                <w:sz w:val="20"/>
                <w:szCs w:val="20"/>
                <w:highlight w:val="none"/>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jc w:val="center"/>
        </w:trPr>
        <w:tc>
          <w:tcPr>
            <w:tcW w:w="1586" w:type="dxa"/>
            <w:tcBorders>
              <w:left w:val="single" w:color="000000" w:sz="10"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仿宋_GB2312" w:cs="Times New Roman"/>
                <w:sz w:val="20"/>
                <w:szCs w:val="20"/>
                <w:lang w:eastAsia="zh-CN"/>
              </w:rPr>
            </w:pPr>
            <w:r>
              <w:rPr>
                <w:rFonts w:hint="eastAsia" w:eastAsia="仿宋_GB2312" w:cs="Times New Roman"/>
                <w:spacing w:val="2"/>
                <w:sz w:val="20"/>
                <w:szCs w:val="20"/>
                <w:lang w:val="en-US" w:eastAsia="zh-CN"/>
              </w:rPr>
              <w:t>电力</w:t>
            </w:r>
          </w:p>
        </w:tc>
        <w:tc>
          <w:tcPr>
            <w:tcW w:w="6759" w:type="dxa"/>
            <w:gridSpan w:val="8"/>
            <w:tcBorders>
              <w:right w:val="single" w:color="000000" w:sz="10"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404" w:firstLineChars="200"/>
              <w:jc w:val="both"/>
              <w:textAlignment w:val="auto"/>
              <w:rPr>
                <w:rFonts w:hint="eastAsia" w:ascii="Times New Roman" w:hAnsi="Times New Roman" w:eastAsia="仿宋_GB2312" w:cs="Times New Roman"/>
                <w:spacing w:val="1"/>
                <w:sz w:val="20"/>
                <w:szCs w:val="20"/>
                <w:highlight w:val="none"/>
                <w:lang w:eastAsia="zh-CN"/>
              </w:rPr>
            </w:pPr>
            <w:r>
              <w:rPr>
                <w:rFonts w:hint="default" w:ascii="Times New Roman" w:hAnsi="Times New Roman" w:eastAsia="仿宋_GB2312" w:cs="Times New Roman"/>
                <w:spacing w:val="1"/>
                <w:sz w:val="20"/>
                <w:szCs w:val="20"/>
                <w:highlight w:val="none"/>
              </w:rPr>
              <w:t>引自英凯大街现状10KV电力线路</w:t>
            </w:r>
            <w:r>
              <w:rPr>
                <w:rFonts w:hint="eastAsia" w:eastAsia="仿宋_GB2312" w:cs="Times New Roman"/>
                <w:spacing w:val="1"/>
                <w:sz w:val="20"/>
                <w:szCs w:val="20"/>
                <w:highlight w:val="none"/>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586" w:type="dxa"/>
            <w:tcBorders>
              <w:left w:val="single" w:color="000000" w:sz="10"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仿宋_GB2312" w:cs="Times New Roman"/>
                <w:sz w:val="20"/>
                <w:szCs w:val="20"/>
                <w:lang w:eastAsia="zh-CN"/>
              </w:rPr>
            </w:pPr>
            <w:r>
              <w:rPr>
                <w:rFonts w:hint="eastAsia" w:eastAsia="仿宋_GB2312" w:cs="Times New Roman"/>
                <w:spacing w:val="-1"/>
                <w:sz w:val="20"/>
                <w:szCs w:val="20"/>
                <w:lang w:val="en-US" w:eastAsia="zh-CN"/>
              </w:rPr>
              <w:t>通信</w:t>
            </w:r>
          </w:p>
        </w:tc>
        <w:tc>
          <w:tcPr>
            <w:tcW w:w="6759" w:type="dxa"/>
            <w:gridSpan w:val="8"/>
            <w:tcBorders>
              <w:right w:val="single" w:color="000000" w:sz="10"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404" w:firstLineChars="200"/>
              <w:jc w:val="both"/>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pacing w:val="1"/>
                <w:sz w:val="20"/>
                <w:szCs w:val="20"/>
                <w:highlight w:val="none"/>
              </w:rPr>
              <w:t>引自英凯大街规划通信管线。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586" w:type="dxa"/>
            <w:tcBorders>
              <w:left w:val="single" w:color="000000" w:sz="10"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6"/>
                <w:sz w:val="20"/>
                <w:szCs w:val="20"/>
              </w:rPr>
              <w:t>移民拆</w:t>
            </w:r>
            <w:r>
              <w:rPr>
                <w:rFonts w:hint="default" w:ascii="Times New Roman" w:hAnsi="Times New Roman" w:eastAsia="仿宋_GB2312" w:cs="Times New Roman"/>
                <w:spacing w:val="5"/>
                <w:sz w:val="20"/>
                <w:szCs w:val="20"/>
              </w:rPr>
              <w:t>迁</w:t>
            </w:r>
          </w:p>
        </w:tc>
        <w:tc>
          <w:tcPr>
            <w:tcW w:w="6759" w:type="dxa"/>
            <w:gridSpan w:val="8"/>
            <w:tcBorders>
              <w:right w:val="single" w:color="000000" w:sz="10"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400" w:firstLineChars="200"/>
              <w:jc w:val="both"/>
              <w:textAlignment w:val="auto"/>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lang w:val="en-US" w:eastAsia="zh-CN"/>
              </w:rPr>
              <w:t>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345" w:type="dxa"/>
            <w:gridSpan w:val="9"/>
            <w:tcBorders>
              <w:left w:val="single" w:color="000000" w:sz="10" w:space="0"/>
              <w:right w:val="single" w:color="000000" w:sz="10"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b/>
                <w:bCs/>
                <w:spacing w:val="12"/>
                <w:sz w:val="20"/>
                <w:szCs w:val="20"/>
              </w:rPr>
              <w:t>二</w:t>
            </w:r>
            <w:r>
              <w:rPr>
                <w:rFonts w:hint="default" w:ascii="Times New Roman" w:hAnsi="Times New Roman" w:eastAsia="仿宋_GB2312" w:cs="Times New Roman"/>
                <w:b/>
                <w:bCs/>
                <w:spacing w:val="8"/>
                <w:sz w:val="20"/>
                <w:szCs w:val="20"/>
              </w:rPr>
              <w:t>、项目组成及主要技术指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586" w:type="dxa"/>
            <w:tcBorders>
              <w:left w:val="single" w:color="000000" w:sz="10"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6"/>
                <w:sz w:val="20"/>
                <w:szCs w:val="20"/>
              </w:rPr>
              <w:t>工程建设区</w:t>
            </w:r>
          </w:p>
        </w:tc>
        <w:tc>
          <w:tcPr>
            <w:tcW w:w="6759" w:type="dxa"/>
            <w:gridSpan w:val="8"/>
            <w:tcBorders>
              <w:right w:val="single" w:color="000000" w:sz="10"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420" w:firstLineChars="200"/>
              <w:jc w:val="both"/>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color w:val="auto"/>
                <w:sz w:val="21"/>
                <w:szCs w:val="21"/>
              </w:rPr>
              <w:t>厂房</w:t>
            </w:r>
            <w:r>
              <w:rPr>
                <w:rFonts w:hint="eastAsia" w:eastAsia="仿宋_GB2312" w:cs="Times New Roman"/>
                <w:color w:val="auto"/>
                <w:sz w:val="21"/>
                <w:szCs w:val="21"/>
                <w:lang w:val="en-US" w:eastAsia="zh-CN"/>
              </w:rPr>
              <w:t>6栋</w:t>
            </w:r>
            <w:r>
              <w:rPr>
                <w:rFonts w:hint="default" w:ascii="Times New Roman" w:hAnsi="Times New Roman" w:eastAsia="仿宋_GB2312" w:cs="Times New Roman"/>
                <w:color w:val="auto"/>
                <w:sz w:val="21"/>
                <w:szCs w:val="21"/>
              </w:rPr>
              <w:t>、</w:t>
            </w:r>
            <w:r>
              <w:rPr>
                <w:rFonts w:hint="eastAsia" w:eastAsia="仿宋_GB2312" w:cs="Times New Roman"/>
                <w:color w:val="auto"/>
                <w:sz w:val="21"/>
                <w:szCs w:val="21"/>
                <w:lang w:val="en-US" w:eastAsia="zh-CN"/>
              </w:rPr>
              <w:t>办公楼及食堂1栋</w:t>
            </w:r>
            <w:r>
              <w:rPr>
                <w:rFonts w:hint="default" w:ascii="Times New Roman" w:hAnsi="Times New Roman" w:eastAsia="仿宋_GB2312" w:cs="Times New Roman"/>
                <w:color w:val="auto"/>
                <w:sz w:val="21"/>
                <w:szCs w:val="21"/>
              </w:rPr>
              <w:t>、</w:t>
            </w:r>
            <w:r>
              <w:rPr>
                <w:rFonts w:hint="eastAsia" w:eastAsia="仿宋_GB2312" w:cs="Times New Roman"/>
                <w:color w:val="auto"/>
                <w:sz w:val="21"/>
                <w:szCs w:val="21"/>
                <w:lang w:val="en-US" w:eastAsia="zh-CN"/>
              </w:rPr>
              <w:t>宿舍楼1栋</w:t>
            </w:r>
            <w:r>
              <w:rPr>
                <w:rFonts w:hint="default" w:ascii="Times New Roman" w:hAnsi="Times New Roman" w:eastAsia="仿宋_GB2312" w:cs="Times New Roman"/>
                <w:color w:val="auto"/>
                <w:sz w:val="21"/>
                <w:szCs w:val="21"/>
              </w:rPr>
              <w:t>、</w:t>
            </w:r>
            <w:r>
              <w:rPr>
                <w:rFonts w:hint="eastAsia" w:eastAsia="仿宋_GB2312" w:cs="Times New Roman"/>
                <w:color w:val="auto"/>
                <w:sz w:val="21"/>
                <w:szCs w:val="21"/>
                <w:lang w:val="en-US" w:eastAsia="zh-CN"/>
              </w:rPr>
              <w:t>实验中心1栋</w:t>
            </w:r>
            <w:r>
              <w:rPr>
                <w:rFonts w:hint="default" w:ascii="Times New Roman" w:hAnsi="Times New Roman" w:eastAsia="仿宋_GB2312" w:cs="Times New Roman"/>
                <w:color w:val="auto"/>
                <w:sz w:val="21"/>
                <w:szCs w:val="21"/>
              </w:rPr>
              <w:t>、</w:t>
            </w:r>
            <w:r>
              <w:rPr>
                <w:rFonts w:hint="eastAsia" w:eastAsia="仿宋_GB2312" w:cs="Times New Roman"/>
                <w:color w:val="auto"/>
                <w:sz w:val="21"/>
                <w:szCs w:val="21"/>
                <w:lang w:val="en-US" w:eastAsia="zh-CN"/>
              </w:rPr>
              <w:t>食堂1栋</w:t>
            </w:r>
            <w:r>
              <w:rPr>
                <w:rFonts w:hint="default" w:ascii="Times New Roman" w:hAnsi="Times New Roman" w:eastAsia="仿宋_GB2312" w:cs="Times New Roman"/>
                <w:color w:val="auto"/>
                <w:sz w:val="21"/>
                <w:szCs w:val="21"/>
              </w:rPr>
              <w:t>、开闭站、变电所、柴发、锅炉房、</w:t>
            </w:r>
            <w:r>
              <w:rPr>
                <w:rFonts w:hint="eastAsia" w:eastAsia="仿宋_GB2312" w:cs="Times New Roman"/>
                <w:color w:val="auto"/>
                <w:sz w:val="21"/>
                <w:szCs w:val="21"/>
                <w:lang w:eastAsia="zh-CN"/>
              </w:rPr>
              <w:t>水泵房及水池</w:t>
            </w:r>
            <w:r>
              <w:rPr>
                <w:rFonts w:hint="default" w:ascii="Times New Roman" w:hAnsi="Times New Roman" w:eastAsia="仿宋_GB2312" w:cs="Times New Roman"/>
                <w:color w:val="auto"/>
                <w:sz w:val="21"/>
                <w:szCs w:val="21"/>
                <w:lang w:val="en-US" w:eastAsia="zh-CN"/>
              </w:rPr>
              <w:t>1栋</w:t>
            </w:r>
            <w:r>
              <w:rPr>
                <w:rFonts w:hint="default" w:ascii="Times New Roman" w:hAnsi="Times New Roman" w:eastAsia="仿宋_GB2312" w:cs="Times New Roman"/>
                <w:color w:val="auto"/>
                <w:sz w:val="21"/>
                <w:szCs w:val="21"/>
              </w:rPr>
              <w:t>、</w:t>
            </w:r>
            <w:r>
              <w:rPr>
                <w:rFonts w:hint="eastAsia" w:eastAsia="仿宋_GB2312" w:cs="Times New Roman"/>
                <w:color w:val="auto"/>
                <w:sz w:val="21"/>
                <w:szCs w:val="21"/>
                <w:lang w:eastAsia="zh-CN"/>
              </w:rPr>
              <w:t>成品岗亭</w:t>
            </w:r>
            <w:r>
              <w:rPr>
                <w:rFonts w:hint="eastAsia" w:eastAsia="仿宋_GB2312" w:cs="Times New Roman"/>
                <w:color w:val="auto"/>
                <w:sz w:val="21"/>
                <w:szCs w:val="21"/>
                <w:lang w:val="en-US" w:eastAsia="zh-CN"/>
              </w:rPr>
              <w:t>5栋</w:t>
            </w:r>
            <w:r>
              <w:rPr>
                <w:rFonts w:hint="default" w:ascii="Times New Roman" w:hAnsi="Times New Roman" w:eastAsia="仿宋_GB2312" w:cs="Times New Roman"/>
                <w:spacing w:val="6"/>
                <w:sz w:val="20"/>
                <w:szCs w:val="20"/>
              </w:rPr>
              <w:t>以及其他附属工程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345" w:type="dxa"/>
            <w:gridSpan w:val="9"/>
            <w:tcBorders>
              <w:left w:val="single" w:color="000000" w:sz="10" w:space="0"/>
              <w:right w:val="single" w:color="000000" w:sz="10"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b/>
                <w:bCs/>
                <w:spacing w:val="8"/>
                <w:sz w:val="20"/>
                <w:szCs w:val="20"/>
              </w:rPr>
              <w:t>三</w:t>
            </w:r>
            <w:r>
              <w:rPr>
                <w:rFonts w:hint="default" w:ascii="Times New Roman" w:hAnsi="Times New Roman" w:eastAsia="仿宋_GB2312" w:cs="Times New Roman"/>
                <w:b/>
                <w:bCs/>
                <w:spacing w:val="6"/>
                <w:sz w:val="20"/>
                <w:szCs w:val="20"/>
              </w:rPr>
              <w:t>、项目组成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586" w:type="dxa"/>
            <w:vMerge w:val="restart"/>
            <w:tcBorders>
              <w:left w:val="single" w:color="000000" w:sz="10" w:space="0"/>
              <w:bottom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_GB2312" w:cs="Times New Roman"/>
                <w:spacing w:val="6"/>
                <w:sz w:val="20"/>
                <w:szCs w:val="20"/>
              </w:rPr>
            </w:pPr>
            <w:r>
              <w:rPr>
                <w:rFonts w:hint="default" w:ascii="Times New Roman" w:hAnsi="Times New Roman" w:eastAsia="仿宋_GB2312" w:cs="Times New Roman"/>
                <w:spacing w:val="6"/>
                <w:sz w:val="20"/>
                <w:szCs w:val="20"/>
              </w:rPr>
              <w:t>项目占地</w:t>
            </w: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_GB2312" w:cs="Times New Roman"/>
                <w:spacing w:val="6"/>
                <w:sz w:val="20"/>
                <w:szCs w:val="20"/>
              </w:rPr>
            </w:pPr>
            <w:r>
              <w:rPr>
                <w:rFonts w:hint="default" w:ascii="Times New Roman" w:hAnsi="Times New Roman" w:eastAsia="仿宋_GB2312" w:cs="Times New Roman"/>
                <w:spacing w:val="6"/>
                <w:sz w:val="20"/>
                <w:szCs w:val="20"/>
              </w:rPr>
              <w:t>及土石方</w:t>
            </w:r>
          </w:p>
        </w:tc>
        <w:tc>
          <w:tcPr>
            <w:tcW w:w="3107"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2"/>
                <w:position w:val="1"/>
                <w:sz w:val="20"/>
                <w:szCs w:val="20"/>
              </w:rPr>
              <w:t>占地面积(</w:t>
            </w:r>
            <w:r>
              <w:rPr>
                <w:rFonts w:hint="default" w:ascii="Times New Roman" w:hAnsi="Times New Roman" w:eastAsia="仿宋_GB2312" w:cs="Times New Roman"/>
                <w:position w:val="1"/>
                <w:sz w:val="20"/>
                <w:szCs w:val="20"/>
              </w:rPr>
              <w:t>hm</w:t>
            </w:r>
            <w:r>
              <w:rPr>
                <w:rFonts w:hint="default" w:ascii="Times New Roman" w:hAnsi="Times New Roman" w:eastAsia="仿宋_GB2312" w:cs="Times New Roman"/>
                <w:spacing w:val="2"/>
                <w:position w:val="1"/>
                <w:sz w:val="20"/>
                <w:szCs w:val="20"/>
              </w:rPr>
              <w:t>²</w:t>
            </w:r>
            <w:r>
              <w:rPr>
                <w:rFonts w:hint="default" w:ascii="Times New Roman" w:hAnsi="Times New Roman" w:eastAsia="仿宋_GB2312" w:cs="Times New Roman"/>
                <w:position w:val="1"/>
                <w:sz w:val="20"/>
                <w:szCs w:val="20"/>
              </w:rPr>
              <w:t>)</w:t>
            </w:r>
          </w:p>
        </w:tc>
        <w:tc>
          <w:tcPr>
            <w:tcW w:w="3652" w:type="dxa"/>
            <w:gridSpan w:val="4"/>
            <w:tcBorders>
              <w:right w:val="single" w:color="000000" w:sz="10"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pacing w:val="12"/>
                <w:sz w:val="20"/>
                <w:szCs w:val="20"/>
                <w:highlight w:val="none"/>
              </w:rPr>
              <w:t>土石方量(万</w:t>
            </w:r>
            <w:r>
              <w:rPr>
                <w:rFonts w:hint="default" w:ascii="Times New Roman" w:hAnsi="Times New Roman" w:eastAsia="仿宋_GB2312" w:cs="Times New Roman"/>
                <w:sz w:val="20"/>
                <w:szCs w:val="20"/>
                <w:highlight w:val="none"/>
              </w:rPr>
              <w:t>m</w:t>
            </w:r>
            <w:r>
              <w:rPr>
                <w:rFonts w:hint="default" w:ascii="Times New Roman" w:hAnsi="Times New Roman" w:eastAsia="仿宋_GB2312" w:cs="Times New Roman"/>
                <w:spacing w:val="12"/>
                <w:sz w:val="20"/>
                <w:szCs w:val="20"/>
                <w:highlight w:val="none"/>
              </w:rPr>
              <w:t>³</w:t>
            </w:r>
            <w:r>
              <w:rPr>
                <w:rFonts w:hint="default" w:ascii="Times New Roman" w:hAnsi="Times New Roman" w:eastAsia="仿宋_GB2312" w:cs="Times New Roman"/>
                <w:spacing w:val="10"/>
                <w:sz w:val="20"/>
                <w:szCs w:val="20"/>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586" w:type="dxa"/>
            <w:vMerge w:val="continue"/>
            <w:tcBorders>
              <w:top w:val="nil"/>
              <w:left w:val="single" w:color="000000" w:sz="10"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_GB2312" w:cs="Times New Roman"/>
                <w:spacing w:val="6"/>
                <w:sz w:val="20"/>
                <w:szCs w:val="20"/>
              </w:rPr>
            </w:pPr>
          </w:p>
        </w:tc>
        <w:tc>
          <w:tcPr>
            <w:tcW w:w="99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_GB2312" w:cs="Times New Roman"/>
                <w:spacing w:val="-1"/>
                <w:sz w:val="20"/>
                <w:szCs w:val="20"/>
              </w:rPr>
            </w:pPr>
            <w:r>
              <w:rPr>
                <w:rFonts w:hint="default" w:ascii="Times New Roman" w:hAnsi="Times New Roman" w:eastAsia="仿宋_GB2312" w:cs="Times New Roman"/>
                <w:spacing w:val="-1"/>
                <w:sz w:val="20"/>
                <w:szCs w:val="20"/>
              </w:rPr>
              <w:t>永久占地</w:t>
            </w:r>
          </w:p>
        </w:tc>
        <w:tc>
          <w:tcPr>
            <w:tcW w:w="98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_GB2312" w:cs="Times New Roman"/>
                <w:spacing w:val="-1"/>
                <w:sz w:val="20"/>
                <w:szCs w:val="20"/>
              </w:rPr>
            </w:pPr>
            <w:r>
              <w:rPr>
                <w:rFonts w:hint="default" w:ascii="Times New Roman" w:hAnsi="Times New Roman" w:eastAsia="仿宋_GB2312" w:cs="Times New Roman"/>
                <w:spacing w:val="-1"/>
                <w:sz w:val="20"/>
                <w:szCs w:val="20"/>
              </w:rPr>
              <w:t>临时占地</w:t>
            </w:r>
          </w:p>
        </w:tc>
        <w:tc>
          <w:tcPr>
            <w:tcW w:w="112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1"/>
                <w:sz w:val="20"/>
                <w:szCs w:val="20"/>
              </w:rPr>
              <w:t>合计</w:t>
            </w: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pacing w:val="2"/>
                <w:sz w:val="20"/>
                <w:szCs w:val="20"/>
                <w:highlight w:val="none"/>
              </w:rPr>
              <w:t>挖方</w:t>
            </w:r>
          </w:p>
        </w:tc>
        <w:tc>
          <w:tcPr>
            <w:tcW w:w="84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pacing w:val="1"/>
                <w:sz w:val="20"/>
                <w:szCs w:val="20"/>
                <w:highlight w:val="none"/>
              </w:rPr>
              <w:t>填方</w:t>
            </w:r>
          </w:p>
        </w:tc>
        <w:tc>
          <w:tcPr>
            <w:tcW w:w="112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pacing w:val="1"/>
                <w:sz w:val="20"/>
                <w:szCs w:val="20"/>
                <w:highlight w:val="none"/>
              </w:rPr>
              <w:t>借方</w:t>
            </w:r>
          </w:p>
        </w:tc>
        <w:tc>
          <w:tcPr>
            <w:tcW w:w="828" w:type="dxa"/>
            <w:tcBorders>
              <w:right w:val="single" w:color="000000" w:sz="10"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pacing w:val="1"/>
                <w:sz w:val="20"/>
                <w:szCs w:val="20"/>
                <w:highlight w:val="none"/>
              </w:rPr>
              <w:t>余方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586" w:type="dxa"/>
            <w:tcBorders>
              <w:left w:val="single" w:color="000000" w:sz="10"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_GB2312" w:cs="Times New Roman"/>
                <w:spacing w:val="6"/>
                <w:sz w:val="20"/>
                <w:szCs w:val="20"/>
              </w:rPr>
            </w:pPr>
            <w:r>
              <w:rPr>
                <w:rFonts w:hint="default" w:ascii="Times New Roman" w:hAnsi="Times New Roman" w:eastAsia="仿宋_GB2312" w:cs="Times New Roman"/>
                <w:spacing w:val="6"/>
                <w:sz w:val="20"/>
                <w:szCs w:val="20"/>
              </w:rPr>
              <w:t>工程建设区</w:t>
            </w:r>
          </w:p>
        </w:tc>
        <w:tc>
          <w:tcPr>
            <w:tcW w:w="99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_GB2312" w:cs="Times New Roman"/>
                <w:sz w:val="20"/>
                <w:szCs w:val="20"/>
                <w:lang w:val="en-US" w:eastAsia="zh-CN"/>
              </w:rPr>
            </w:pPr>
            <w:r>
              <w:rPr>
                <w:rFonts w:hint="eastAsia" w:eastAsia="仿宋_GB2312" w:cs="Times New Roman"/>
                <w:spacing w:val="2"/>
                <w:sz w:val="20"/>
                <w:szCs w:val="20"/>
                <w:lang w:val="en-US" w:eastAsia="zh-CN"/>
              </w:rPr>
              <w:t>19.98</w:t>
            </w:r>
          </w:p>
        </w:tc>
        <w:tc>
          <w:tcPr>
            <w:tcW w:w="98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lang w:val="en-US" w:eastAsia="zh-CN"/>
              </w:rPr>
              <w:t>/</w:t>
            </w:r>
          </w:p>
        </w:tc>
        <w:tc>
          <w:tcPr>
            <w:tcW w:w="112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_GB2312" w:cs="Times New Roman"/>
                <w:sz w:val="20"/>
                <w:szCs w:val="20"/>
                <w:lang w:val="en-US" w:eastAsia="zh-CN"/>
              </w:rPr>
            </w:pPr>
            <w:r>
              <w:rPr>
                <w:rFonts w:hint="eastAsia" w:eastAsia="仿宋_GB2312" w:cs="Times New Roman"/>
                <w:spacing w:val="2"/>
                <w:sz w:val="20"/>
                <w:szCs w:val="20"/>
                <w:lang w:val="en-US" w:eastAsia="zh-CN"/>
              </w:rPr>
              <w:t>19.98</w:t>
            </w: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_GB2312" w:cs="Times New Roman"/>
                <w:sz w:val="20"/>
                <w:szCs w:val="20"/>
                <w:highlight w:val="none"/>
                <w:lang w:val="en-US" w:eastAsia="zh-CN"/>
              </w:rPr>
            </w:pPr>
            <w:r>
              <w:rPr>
                <w:rFonts w:hint="eastAsia" w:eastAsia="仿宋_GB2312" w:cs="Times New Roman"/>
                <w:spacing w:val="3"/>
                <w:sz w:val="20"/>
                <w:szCs w:val="20"/>
                <w:highlight w:val="none"/>
                <w:lang w:val="en-US" w:eastAsia="zh-CN"/>
              </w:rPr>
              <w:t>21.69</w:t>
            </w:r>
          </w:p>
        </w:tc>
        <w:tc>
          <w:tcPr>
            <w:tcW w:w="84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_GB2312" w:cs="Times New Roman"/>
                <w:sz w:val="20"/>
                <w:szCs w:val="20"/>
                <w:highlight w:val="none"/>
                <w:lang w:val="en-US" w:eastAsia="zh-CN"/>
              </w:rPr>
            </w:pPr>
            <w:r>
              <w:rPr>
                <w:rFonts w:hint="eastAsia" w:eastAsia="仿宋_GB2312" w:cs="Times New Roman"/>
                <w:spacing w:val="6"/>
                <w:sz w:val="20"/>
                <w:szCs w:val="20"/>
                <w:highlight w:val="none"/>
                <w:lang w:val="en-US" w:eastAsia="zh-CN"/>
              </w:rPr>
              <w:t>22.89</w:t>
            </w:r>
          </w:p>
        </w:tc>
        <w:tc>
          <w:tcPr>
            <w:tcW w:w="112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_GB2312" w:cs="Times New Roman"/>
                <w:sz w:val="20"/>
                <w:szCs w:val="20"/>
                <w:highlight w:val="none"/>
                <w:lang w:val="en-US" w:eastAsia="zh-CN"/>
              </w:rPr>
            </w:pPr>
            <w:r>
              <w:rPr>
                <w:rFonts w:hint="eastAsia" w:eastAsia="仿宋_GB2312" w:cs="Times New Roman"/>
                <w:spacing w:val="4"/>
                <w:sz w:val="20"/>
                <w:szCs w:val="20"/>
                <w:highlight w:val="none"/>
                <w:lang w:val="en-US" w:eastAsia="zh-CN"/>
              </w:rPr>
              <w:t>1.20</w:t>
            </w:r>
          </w:p>
        </w:tc>
        <w:tc>
          <w:tcPr>
            <w:tcW w:w="828" w:type="dxa"/>
            <w:tcBorders>
              <w:right w:val="single" w:color="000000" w:sz="10"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_GB2312" w:cs="Times New Roman"/>
                <w:sz w:val="20"/>
                <w:szCs w:val="20"/>
                <w:highlight w:val="none"/>
                <w:lang w:val="en-US" w:eastAsia="zh-CN"/>
              </w:rPr>
            </w:pPr>
            <w:r>
              <w:rPr>
                <w:rFonts w:hint="default" w:ascii="Times New Roman" w:hAnsi="Times New Roman" w:eastAsia="仿宋_GB2312" w:cs="Times New Roman"/>
                <w:sz w:val="20"/>
                <w:szCs w:val="20"/>
                <w:highlight w:val="none"/>
                <w:lang w:val="en-US" w:eastAsia="zh-CN"/>
              </w:rPr>
              <w:t>/</w:t>
            </w:r>
          </w:p>
        </w:tc>
      </w:tr>
    </w:tbl>
    <w:p>
      <w:pPr>
        <w:pStyle w:val="6"/>
        <w:bidi w:val="0"/>
        <w:rPr>
          <w:rFonts w:hint="default" w:ascii="Times New Roman" w:hAnsi="Times New Roman" w:cs="Times New Roman"/>
        </w:rPr>
      </w:pPr>
      <w:r>
        <w:rPr>
          <w:rFonts w:hint="default" w:ascii="Times New Roman" w:hAnsi="Times New Roman" w:cs="Times New Roman"/>
        </w:rPr>
        <w:t>2.1.</w:t>
      </w:r>
      <w:r>
        <w:rPr>
          <w:rFonts w:hint="default" w:ascii="Times New Roman" w:hAnsi="Times New Roman" w:cs="Times New Roman"/>
          <w:lang w:val="en-US" w:eastAsia="zh-CN"/>
        </w:rPr>
        <w:t>3</w:t>
      </w:r>
      <w:r>
        <w:rPr>
          <w:rFonts w:hint="default" w:ascii="Times New Roman" w:hAnsi="Times New Roman" w:cs="Times New Roman"/>
        </w:rPr>
        <w:t>平面布置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项目总平面布置的基本原则是满足建筑防火、安全、卫生、环境保护及节约用地和减少工程投资等要求，结合项目实际合理布置，使总平面布置与建筑物的使用功能相协调，平面布置按照功能不同分区布置建构筑物、道路及硬化、绿化等区域。</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lang w:eastAsia="zh-CN"/>
        </w:rPr>
        <w:t>（</w:t>
      </w:r>
      <w:r>
        <w:rPr>
          <w:rFonts w:hint="default" w:ascii="Times New Roman" w:hAnsi="Times New Roman" w:eastAsia="仿宋_GB2312" w:cs="Times New Roman"/>
          <w:b/>
          <w:bCs/>
          <w:sz w:val="24"/>
          <w:szCs w:val="24"/>
          <w:lang w:val="en-US" w:eastAsia="zh-CN"/>
        </w:rPr>
        <w:t>1</w:t>
      </w:r>
      <w:r>
        <w:rPr>
          <w:rFonts w:hint="default" w:ascii="Times New Roman" w:hAnsi="Times New Roman" w:eastAsia="仿宋_GB2312" w:cs="Times New Roman"/>
          <w:b/>
          <w:bCs/>
          <w:sz w:val="24"/>
          <w:szCs w:val="24"/>
          <w:lang w:eastAsia="zh-CN"/>
        </w:rPr>
        <w:t>）</w:t>
      </w:r>
      <w:r>
        <w:rPr>
          <w:rFonts w:hint="default" w:ascii="Times New Roman" w:hAnsi="Times New Roman" w:eastAsia="仿宋_GB2312" w:cs="Times New Roman"/>
          <w:b/>
          <w:bCs/>
          <w:sz w:val="24"/>
          <w:szCs w:val="24"/>
        </w:rPr>
        <w:t>建筑物工程</w:t>
      </w:r>
    </w:p>
    <w:p>
      <w:pPr>
        <w:pStyle w:val="185"/>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本期</w:t>
      </w:r>
      <w:r>
        <w:rPr>
          <w:rFonts w:hint="default" w:ascii="Times New Roman" w:hAnsi="Times New Roman" w:eastAsia="仿宋_GB2312" w:cs="Times New Roman"/>
          <w:sz w:val="24"/>
          <w:szCs w:val="24"/>
        </w:rPr>
        <w:t>项目规划总用地面积</w:t>
      </w:r>
      <w:r>
        <w:rPr>
          <w:rFonts w:hint="eastAsia" w:ascii="Times New Roman" w:hAnsi="Times New Roman" w:eastAsia="仿宋_GB2312" w:cs="Times New Roman"/>
          <w:sz w:val="24"/>
          <w:szCs w:val="24"/>
          <w:lang w:eastAsia="zh-CN"/>
        </w:rPr>
        <w:t>199833</w:t>
      </w:r>
      <w:r>
        <w:rPr>
          <w:rFonts w:hint="default" w:ascii="Times New Roman" w:hAnsi="Times New Roman" w:eastAsia="仿宋_GB2312" w:cs="Times New Roman"/>
          <w:sz w:val="24"/>
          <w:szCs w:val="24"/>
          <w:lang w:eastAsia="zh-CN"/>
        </w:rPr>
        <w:t>m²</w:t>
      </w:r>
      <w:r>
        <w:rPr>
          <w:rFonts w:hint="default" w:ascii="Times New Roman" w:hAnsi="Times New Roman" w:eastAsia="仿宋_GB2312" w:cs="Times New Roman"/>
          <w:sz w:val="24"/>
          <w:szCs w:val="24"/>
        </w:rPr>
        <w:t>，整个场地平面呈</w:t>
      </w:r>
      <w:r>
        <w:rPr>
          <w:rFonts w:hint="default" w:ascii="Times New Roman" w:hAnsi="Times New Roman" w:eastAsia="仿宋_GB2312" w:cs="Times New Roman"/>
          <w:sz w:val="24"/>
          <w:szCs w:val="24"/>
          <w:lang w:val="en-US" w:eastAsia="zh-CN"/>
        </w:rPr>
        <w:t>不规则</w:t>
      </w:r>
      <w:r>
        <w:rPr>
          <w:rFonts w:hint="default" w:ascii="Times New Roman" w:hAnsi="Times New Roman" w:eastAsia="仿宋_GB2312" w:cs="Times New Roman"/>
          <w:sz w:val="24"/>
          <w:szCs w:val="24"/>
        </w:rPr>
        <w:t>矩形，项目建筑均匀分布。项目西侧、东侧、南侧沿街，其中东侧为场地车行、人行的主入口。同时为方便园区内部使用，在场地周围设置</w:t>
      </w:r>
      <w:r>
        <w:rPr>
          <w:rFonts w:hint="default" w:ascii="Times New Roman" w:hAnsi="Times New Roman" w:eastAsia="仿宋_GB2312" w:cs="Times New Roman"/>
          <w:sz w:val="24"/>
          <w:szCs w:val="24"/>
          <w:lang w:val="en-US" w:eastAsia="zh-CN"/>
        </w:rPr>
        <w:t>2</w:t>
      </w:r>
      <w:r>
        <w:rPr>
          <w:rFonts w:hint="default" w:ascii="Times New Roman" w:hAnsi="Times New Roman" w:eastAsia="仿宋_GB2312" w:cs="Times New Roman"/>
          <w:sz w:val="24"/>
          <w:szCs w:val="24"/>
        </w:rPr>
        <w:t>个次入口。园区内部形成交通环路。</w:t>
      </w:r>
    </w:p>
    <w:p>
      <w:pPr>
        <w:pStyle w:val="185"/>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rPr>
          <w:rFonts w:hint="default" w:ascii="Times New Roman" w:hAnsi="Times New Roman" w:eastAsia="仿宋_GB2312" w:cs="Times New Roman"/>
          <w:color w:val="auto"/>
          <w:sz w:val="24"/>
          <w:szCs w:val="24"/>
        </w:rPr>
      </w:pPr>
      <w:r>
        <w:rPr>
          <w:rFonts w:hint="default" w:ascii="Times New Roman" w:hAnsi="Times New Roman" w:eastAsia="仿宋_GB2312" w:cs="Times New Roman"/>
          <w:b/>
          <w:bCs/>
          <w:color w:val="auto"/>
          <w:sz w:val="24"/>
          <w:szCs w:val="24"/>
        </w:rPr>
        <w:t>1#~4#厂房</w:t>
      </w:r>
      <w:r>
        <w:rPr>
          <w:rFonts w:hint="default" w:ascii="Times New Roman" w:hAnsi="Times New Roman" w:eastAsia="仿宋_GB2312" w:cs="Times New Roman"/>
          <w:color w:val="auto"/>
          <w:sz w:val="24"/>
          <w:szCs w:val="24"/>
        </w:rPr>
        <w:t>为钢结构厂房</w:t>
      </w:r>
      <w:r>
        <w:rPr>
          <w:rFonts w:hint="eastAsia"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szCs w:val="24"/>
        </w:rPr>
        <w:t>防水等级Ⅰ级，生产类别为丙类。1.2m以下采用高精度蒸压砂加气砌块(B06)（涂料外墙），1.2m以上采用双层压型钢板复合保温外墙（竖排）</w:t>
      </w:r>
      <w:r>
        <w:rPr>
          <w:rFonts w:hint="eastAsia"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szCs w:val="24"/>
        </w:rPr>
        <w:t>外墙外侧采用0.6mm钢板，内侧采用0.5mm非持力压型钢板，防潮层下砌体孔洞用C20混凝土灌实。厂房内附属用房部分与厂房隔墙采用耐火极限2.5h防火隔墙。</w:t>
      </w:r>
    </w:p>
    <w:p>
      <w:pPr>
        <w:pStyle w:val="185"/>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b/>
          <w:bCs/>
          <w:color w:val="auto"/>
          <w:sz w:val="24"/>
          <w:szCs w:val="24"/>
          <w:highlight w:val="none"/>
        </w:rPr>
        <w:t>5#、6#厂房</w:t>
      </w:r>
      <w:r>
        <w:rPr>
          <w:rFonts w:hint="default" w:ascii="Times New Roman" w:hAnsi="Times New Roman" w:eastAsia="仿宋_GB2312" w:cs="Times New Roman"/>
          <w:color w:val="auto"/>
          <w:sz w:val="24"/>
          <w:szCs w:val="24"/>
          <w:highlight w:val="none"/>
        </w:rPr>
        <w:t>地上5层框架结构，防水等级Ⅰ级，生产类别为丙类，5#、6#厂房建筑面积均为21274.47㎡，占地面积均为6540.47㎡，建筑高度为22.65m ，为多层厂房。建筑耐火等级为二级，设计使用年限为50年，地震基本烈度为7度，主要结构选型框架结构，屋面防水等级为I级。</w:t>
      </w:r>
    </w:p>
    <w:p>
      <w:pPr>
        <w:pStyle w:val="185"/>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rPr>
          <w:rFonts w:hint="default" w:ascii="Times New Roman" w:hAnsi="Times New Roman" w:eastAsia="仿宋_GB2312" w:cs="Times New Roman"/>
          <w:color w:val="auto"/>
          <w:sz w:val="24"/>
          <w:szCs w:val="24"/>
        </w:rPr>
      </w:pPr>
      <w:r>
        <w:rPr>
          <w:rFonts w:hint="default" w:ascii="Times New Roman" w:hAnsi="Times New Roman" w:eastAsia="仿宋_GB2312" w:cs="Times New Roman"/>
          <w:b/>
          <w:bCs/>
          <w:color w:val="auto"/>
          <w:sz w:val="24"/>
          <w:szCs w:val="24"/>
        </w:rPr>
        <w:t>综合楼</w:t>
      </w:r>
      <w:r>
        <w:rPr>
          <w:rFonts w:hint="default" w:ascii="Times New Roman" w:hAnsi="Times New Roman" w:eastAsia="仿宋_GB2312" w:cs="Times New Roman"/>
          <w:color w:val="auto"/>
          <w:sz w:val="24"/>
          <w:szCs w:val="24"/>
        </w:rPr>
        <w:t>公共建筑地上3层，总建筑面积11063.98㎡。本建筑占地面积为2957.21㎡，建筑高度为22.00m，为多层公建。建筑耐火等级地上为二级，设计使用年限为50年，地震基本烈度为7度，主要结构选型框架结构，屋面防水等级为I级。办公部分设置2部电梯及两部开敞楼梯间，疏散距离与宽度满足规范要求。</w:t>
      </w:r>
    </w:p>
    <w:p>
      <w:pPr>
        <w:pStyle w:val="185"/>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rPr>
          <w:rFonts w:hint="default" w:ascii="Times New Roman" w:hAnsi="Times New Roman" w:eastAsia="仿宋_GB2312" w:cs="Times New Roman"/>
          <w:color w:val="auto"/>
          <w:sz w:val="24"/>
          <w:szCs w:val="24"/>
        </w:rPr>
      </w:pPr>
      <w:r>
        <w:rPr>
          <w:rFonts w:hint="default" w:ascii="Times New Roman" w:hAnsi="Times New Roman" w:eastAsia="仿宋_GB2312" w:cs="Times New Roman"/>
          <w:b/>
          <w:bCs/>
          <w:color w:val="auto"/>
          <w:sz w:val="24"/>
          <w:szCs w:val="24"/>
        </w:rPr>
        <w:t>实验中心</w:t>
      </w:r>
      <w:r>
        <w:rPr>
          <w:rFonts w:hint="default" w:ascii="Times New Roman" w:hAnsi="Times New Roman" w:eastAsia="仿宋_GB2312" w:cs="Times New Roman"/>
          <w:color w:val="auto"/>
          <w:sz w:val="24"/>
          <w:szCs w:val="24"/>
        </w:rPr>
        <w:t>地上</w:t>
      </w:r>
      <w:r>
        <w:rPr>
          <w:rFonts w:hint="eastAsia" w:ascii="Times New Roman" w:hAnsi="Times New Roman" w:eastAsia="仿宋_GB2312" w:cs="Times New Roman"/>
          <w:color w:val="auto"/>
          <w:sz w:val="24"/>
          <w:szCs w:val="24"/>
          <w:lang w:val="en-US" w:eastAsia="zh-CN"/>
        </w:rPr>
        <w:t>3</w:t>
      </w:r>
      <w:r>
        <w:rPr>
          <w:rFonts w:hint="default" w:ascii="Times New Roman" w:hAnsi="Times New Roman" w:eastAsia="仿宋_GB2312" w:cs="Times New Roman"/>
          <w:color w:val="auto"/>
          <w:sz w:val="24"/>
          <w:szCs w:val="24"/>
        </w:rPr>
        <w:t>层，总建筑面积3955.97㎡。本建筑占地面积为1298.99㎡，建筑高度为13.5m，为多层公共建筑，设计使用年限为50年，地震基本烈度为7度，主要结构选型框架结构，屋面防水等级为Ⅰ级。</w:t>
      </w:r>
    </w:p>
    <w:p>
      <w:pPr>
        <w:pStyle w:val="185"/>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rPr>
          <w:rFonts w:hint="default" w:ascii="Times New Roman" w:hAnsi="Times New Roman" w:eastAsia="仿宋_GB2312" w:cs="Times New Roman"/>
          <w:color w:val="auto"/>
          <w:sz w:val="24"/>
          <w:szCs w:val="24"/>
        </w:rPr>
      </w:pPr>
      <w:r>
        <w:rPr>
          <w:rFonts w:hint="default" w:ascii="Times New Roman" w:hAnsi="Times New Roman" w:eastAsia="仿宋_GB2312" w:cs="Times New Roman"/>
          <w:b/>
          <w:bCs/>
          <w:color w:val="auto"/>
          <w:sz w:val="24"/>
          <w:szCs w:val="24"/>
        </w:rPr>
        <w:t>餐饮中心</w:t>
      </w:r>
      <w:r>
        <w:rPr>
          <w:rFonts w:hint="default" w:ascii="Times New Roman" w:hAnsi="Times New Roman" w:eastAsia="仿宋_GB2312" w:cs="Times New Roman"/>
          <w:color w:val="auto"/>
          <w:sz w:val="24"/>
          <w:szCs w:val="24"/>
        </w:rPr>
        <w:t>公共建筑地上5层，总建筑面积2425.71㎡。本建筑占地面积为1183.47㎡，建筑高度为9.25m，为多层公建。建筑耐火等级地上为二级，设计使用年限为50年，地震基本烈度为7度，主要结构选型框架结构，屋面防水等级为I级。</w:t>
      </w:r>
    </w:p>
    <w:p>
      <w:pPr>
        <w:pStyle w:val="185"/>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rPr>
          <w:rFonts w:hint="default" w:ascii="Times New Roman" w:hAnsi="Times New Roman" w:eastAsia="仿宋_GB2312" w:cs="Times New Roman"/>
          <w:color w:val="auto"/>
          <w:sz w:val="24"/>
          <w:szCs w:val="24"/>
        </w:rPr>
      </w:pPr>
      <w:r>
        <w:rPr>
          <w:rFonts w:hint="default" w:ascii="Times New Roman" w:hAnsi="Times New Roman" w:eastAsia="仿宋_GB2312" w:cs="Times New Roman"/>
          <w:b/>
          <w:bCs/>
          <w:color w:val="auto"/>
          <w:sz w:val="24"/>
          <w:szCs w:val="24"/>
        </w:rPr>
        <w:t>倒班宿舍</w:t>
      </w:r>
      <w:r>
        <w:rPr>
          <w:rFonts w:hint="default" w:ascii="Times New Roman" w:hAnsi="Times New Roman" w:eastAsia="仿宋_GB2312" w:cs="Times New Roman"/>
          <w:color w:val="auto"/>
          <w:sz w:val="24"/>
          <w:szCs w:val="24"/>
        </w:rPr>
        <w:t>公共建筑地上5层，总建筑面积7716.97㎡。本建筑占地面积为1517.25㎡，建筑高度为22.00m，为多层公建。建筑耐火等级地上为二级，设计使用年限为50年，地震基本烈度为7度，主要结构选型框架结构，屋面防水等级为I级。内部设置3部电梯及3部封闭楼梯间，疏散距离与宽度满足规范要求。</w:t>
      </w:r>
    </w:p>
    <w:p>
      <w:pPr>
        <w:pStyle w:val="185"/>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rPr>
          <w:rFonts w:hint="default" w:ascii="Times New Roman" w:hAnsi="Times New Roman" w:eastAsia="仿宋_GB2312" w:cs="Times New Roman"/>
          <w:color w:val="auto"/>
          <w:sz w:val="24"/>
          <w:szCs w:val="24"/>
        </w:rPr>
      </w:pPr>
      <w:r>
        <w:rPr>
          <w:rFonts w:hint="default" w:ascii="Times New Roman" w:hAnsi="Times New Roman" w:eastAsia="仿宋_GB2312" w:cs="Times New Roman"/>
          <w:b/>
          <w:bCs/>
          <w:color w:val="auto"/>
          <w:sz w:val="24"/>
          <w:szCs w:val="24"/>
        </w:rPr>
        <w:t>设备用房</w:t>
      </w:r>
      <w:r>
        <w:rPr>
          <w:rFonts w:hint="default" w:ascii="Times New Roman" w:hAnsi="Times New Roman" w:eastAsia="仿宋_GB2312" w:cs="Times New Roman"/>
          <w:color w:val="auto"/>
          <w:sz w:val="24"/>
          <w:szCs w:val="24"/>
        </w:rPr>
        <w:t>公共建筑地上1层，总建筑面积722.86㎡。本建筑占地面积为722.86㎡，建筑高度为5.1m。建筑耐火等级地上为二级，设计使用年限为50年，地震基本烈度为7度，主要结构选型框架结构，屋面防水等级为I级。</w:t>
      </w:r>
    </w:p>
    <w:p>
      <w:pPr>
        <w:pStyle w:val="185"/>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rPr>
          <w:rFonts w:hint="default" w:ascii="Times New Roman" w:hAnsi="Times New Roman" w:eastAsia="仿宋_GB2312" w:cs="Times New Roman"/>
          <w:color w:val="auto"/>
          <w:sz w:val="24"/>
          <w:szCs w:val="24"/>
        </w:rPr>
      </w:pPr>
      <w:r>
        <w:rPr>
          <w:rFonts w:hint="default" w:ascii="Times New Roman" w:hAnsi="Times New Roman" w:eastAsia="仿宋_GB2312" w:cs="Times New Roman"/>
          <w:b/>
          <w:bCs/>
          <w:color w:val="auto"/>
          <w:sz w:val="24"/>
          <w:szCs w:val="24"/>
        </w:rPr>
        <w:t>水泵房</w:t>
      </w:r>
      <w:r>
        <w:rPr>
          <w:rFonts w:hint="default" w:ascii="Times New Roman" w:hAnsi="Times New Roman" w:eastAsia="仿宋_GB2312" w:cs="Times New Roman"/>
          <w:color w:val="auto"/>
          <w:sz w:val="24"/>
          <w:szCs w:val="24"/>
        </w:rPr>
        <w:t>公共建筑地上1层，总建筑面积765.96㎡。本建筑占地面积为40.78㎡，建筑高度为3.5m。建筑耐火等级地上为二级，设计使用年限为50年，地震基本烈度为7度，主要结构选型框架结构，屋面防水等级为I级</w:t>
      </w:r>
    </w:p>
    <w:p>
      <w:pPr>
        <w:pStyle w:val="185"/>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rPr>
          <w:rFonts w:hint="default" w:ascii="Times New Roman" w:hAnsi="Times New Roman" w:eastAsia="仿宋_GB2312" w:cs="Times New Roman"/>
          <w:color w:val="auto"/>
          <w:sz w:val="24"/>
          <w:szCs w:val="24"/>
          <w:lang w:eastAsia="zh-CN"/>
        </w:rPr>
      </w:pPr>
      <w:r>
        <w:rPr>
          <w:rFonts w:hint="default" w:ascii="Times New Roman" w:hAnsi="Times New Roman" w:eastAsia="仿宋_GB2312" w:cs="Times New Roman"/>
          <w:b/>
          <w:bCs/>
          <w:color w:val="auto"/>
          <w:sz w:val="24"/>
          <w:szCs w:val="24"/>
        </w:rPr>
        <w:t>成品岗亭</w:t>
      </w:r>
      <w:r>
        <w:rPr>
          <w:rFonts w:hint="default" w:ascii="Times New Roman" w:hAnsi="Times New Roman" w:eastAsia="仿宋_GB2312" w:cs="Times New Roman"/>
          <w:color w:val="auto"/>
          <w:sz w:val="24"/>
          <w:szCs w:val="24"/>
        </w:rPr>
        <w:t>公共建筑地上1层，总建筑面积</w:t>
      </w:r>
      <w:r>
        <w:rPr>
          <w:rFonts w:hint="eastAsia" w:ascii="Times New Roman" w:hAnsi="Times New Roman" w:eastAsia="仿宋_GB2312" w:cs="Times New Roman"/>
          <w:color w:val="auto"/>
          <w:sz w:val="24"/>
          <w:szCs w:val="24"/>
          <w:lang w:val="en-US" w:eastAsia="zh-CN"/>
        </w:rPr>
        <w:t>30</w:t>
      </w:r>
      <w:r>
        <w:rPr>
          <w:rFonts w:hint="default" w:ascii="Times New Roman" w:hAnsi="Times New Roman" w:eastAsia="仿宋_GB2312" w:cs="Times New Roman"/>
          <w:color w:val="auto"/>
          <w:sz w:val="24"/>
          <w:szCs w:val="24"/>
        </w:rPr>
        <w:t>平方米。本建筑占地面积为6平方米，建筑高度为3.50m。</w:t>
      </w:r>
    </w:p>
    <w:p>
      <w:pPr>
        <w:pStyle w:val="2"/>
        <w:rPr>
          <w:rFonts w:hint="default" w:ascii="Times New Roman" w:hAnsi="Times New Roman" w:eastAsia="仿宋_GB2312" w:cs="Times New Roman"/>
          <w:sz w:val="24"/>
          <w:szCs w:val="24"/>
          <w:lang w:eastAsia="zh-CN"/>
        </w:rPr>
      </w:pPr>
    </w:p>
    <w:p>
      <w:pPr>
        <w:pStyle w:val="2"/>
        <w:rPr>
          <w:rFonts w:hint="default" w:ascii="Times New Roman" w:hAnsi="Times New Roman" w:eastAsia="仿宋_GB2312" w:cs="Times New Roman"/>
          <w:sz w:val="24"/>
          <w:szCs w:val="24"/>
          <w:lang w:eastAsia="zh-CN"/>
        </w:rPr>
      </w:pP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微软雅黑" w:cs="Times New Roman"/>
          <w:b w:val="0"/>
          <w:bCs w:val="0"/>
          <w:spacing w:val="-8"/>
          <w:sz w:val="21"/>
          <w:szCs w:val="21"/>
        </w:rPr>
      </w:pPr>
      <w:r>
        <w:rPr>
          <w:rFonts w:hint="default" w:ascii="Times New Roman" w:hAnsi="Times New Roman" w:eastAsia="微软雅黑" w:cs="Times New Roman"/>
          <w:b w:val="0"/>
          <w:bCs w:val="0"/>
          <w:spacing w:val="-8"/>
          <w:sz w:val="21"/>
          <w:szCs w:val="21"/>
        </w:rPr>
        <w:t>表2-</w:t>
      </w:r>
      <w:r>
        <w:rPr>
          <w:rFonts w:hint="default" w:ascii="Times New Roman" w:hAnsi="Times New Roman" w:eastAsia="微软雅黑" w:cs="Times New Roman"/>
          <w:b w:val="0"/>
          <w:bCs w:val="0"/>
          <w:spacing w:val="-8"/>
          <w:sz w:val="21"/>
          <w:szCs w:val="21"/>
          <w:lang w:val="en-US" w:eastAsia="zh-CN"/>
        </w:rPr>
        <w:t xml:space="preserve">2  </w:t>
      </w:r>
      <w:r>
        <w:rPr>
          <w:rFonts w:hint="default" w:ascii="Times New Roman" w:hAnsi="Times New Roman" w:eastAsia="微软雅黑" w:cs="Times New Roman"/>
          <w:b w:val="0"/>
          <w:bCs w:val="0"/>
          <w:spacing w:val="-8"/>
          <w:sz w:val="21"/>
          <w:szCs w:val="21"/>
        </w:rPr>
        <w:t>主要建构筑物一览表</w:t>
      </w:r>
    </w:p>
    <w:tbl>
      <w:tblPr>
        <w:tblStyle w:val="88"/>
        <w:tblW w:w="5000" w:type="pct"/>
        <w:jc w:val="center"/>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1811"/>
        <w:gridCol w:w="1009"/>
        <w:gridCol w:w="955"/>
        <w:gridCol w:w="927"/>
        <w:gridCol w:w="1009"/>
        <w:gridCol w:w="750"/>
        <w:gridCol w:w="1023"/>
        <w:gridCol w:w="980"/>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PrEx>
        <w:trPr>
          <w:trHeight w:val="340" w:hRule="atLeast"/>
          <w:jc w:val="center"/>
        </w:trPr>
        <w:tc>
          <w:tcPr>
            <w:tcW w:w="1069"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lang w:val="en-US" w:eastAsia="zh-CN"/>
              </w:rPr>
              <w:t>建筑</w:t>
            </w:r>
            <w:r>
              <w:rPr>
                <w:rFonts w:hint="default" w:ascii="Times New Roman" w:hAnsi="Times New Roman" w:eastAsia="仿宋_GB2312" w:cs="Times New Roman"/>
                <w:color w:val="auto"/>
                <w:kern w:val="0"/>
                <w:sz w:val="21"/>
                <w:szCs w:val="21"/>
              </w:rPr>
              <w:t>名称</w:t>
            </w:r>
          </w:p>
        </w:tc>
        <w:tc>
          <w:tcPr>
            <w:tcW w:w="59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层数</w:t>
            </w:r>
          </w:p>
        </w:tc>
        <w:tc>
          <w:tcPr>
            <w:tcW w:w="56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结构类型</w:t>
            </w:r>
          </w:p>
        </w:tc>
        <w:tc>
          <w:tcPr>
            <w:tcW w:w="54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rPr>
            </w:pPr>
            <w:r>
              <w:rPr>
                <w:rFonts w:hint="eastAsia" w:eastAsia="仿宋_GB2312" w:cs="Times New Roman"/>
                <w:color w:val="auto"/>
                <w:kern w:val="0"/>
                <w:sz w:val="21"/>
                <w:szCs w:val="21"/>
                <w:lang w:val="en-US" w:eastAsia="zh-CN"/>
              </w:rPr>
              <w:t>占地</w:t>
            </w:r>
            <w:r>
              <w:rPr>
                <w:rFonts w:hint="default" w:ascii="Times New Roman" w:hAnsi="Times New Roman" w:eastAsia="仿宋_GB2312" w:cs="Times New Roman"/>
                <w:color w:val="auto"/>
                <w:kern w:val="0"/>
                <w:sz w:val="21"/>
                <w:szCs w:val="21"/>
              </w:rPr>
              <w:t>面积（</w:t>
            </w:r>
            <w:r>
              <w:rPr>
                <w:rFonts w:hint="default" w:ascii="Times New Roman" w:hAnsi="Times New Roman" w:eastAsia="仿宋_GB2312" w:cs="Times New Roman"/>
                <w:color w:val="auto"/>
                <w:kern w:val="0"/>
                <w:sz w:val="21"/>
                <w:szCs w:val="21"/>
                <w:lang w:eastAsia="zh-CN"/>
              </w:rPr>
              <w:t>m²</w:t>
            </w:r>
            <w:r>
              <w:rPr>
                <w:rFonts w:hint="default" w:ascii="Times New Roman" w:hAnsi="Times New Roman" w:eastAsia="仿宋_GB2312" w:cs="Times New Roman"/>
                <w:color w:val="auto"/>
                <w:kern w:val="0"/>
                <w:sz w:val="21"/>
                <w:szCs w:val="21"/>
              </w:rPr>
              <w:t>）</w:t>
            </w:r>
          </w:p>
        </w:tc>
        <w:tc>
          <w:tcPr>
            <w:tcW w:w="59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lang w:val="en-US" w:eastAsia="zh-CN"/>
              </w:rPr>
            </w:pPr>
            <w:r>
              <w:rPr>
                <w:rFonts w:hint="default" w:ascii="Times New Roman" w:hAnsi="Times New Roman" w:eastAsia="仿宋_GB2312" w:cs="Times New Roman"/>
                <w:color w:val="auto"/>
                <w:kern w:val="0"/>
                <w:sz w:val="21"/>
                <w:szCs w:val="21"/>
                <w:lang w:val="en-US" w:eastAsia="zh-CN"/>
              </w:rPr>
              <w:t>地上</w:t>
            </w:r>
            <w:r>
              <w:rPr>
                <w:rFonts w:hint="default" w:ascii="Times New Roman" w:hAnsi="Times New Roman" w:eastAsia="仿宋_GB2312" w:cs="Times New Roman"/>
                <w:color w:val="auto"/>
                <w:kern w:val="0"/>
                <w:sz w:val="21"/>
                <w:szCs w:val="21"/>
              </w:rPr>
              <w:t>建筑面积（</w:t>
            </w:r>
            <w:r>
              <w:rPr>
                <w:rFonts w:hint="default" w:ascii="Times New Roman" w:hAnsi="Times New Roman" w:eastAsia="仿宋_GB2312" w:cs="Times New Roman"/>
                <w:color w:val="auto"/>
                <w:kern w:val="0"/>
                <w:sz w:val="21"/>
                <w:szCs w:val="21"/>
                <w:lang w:eastAsia="zh-CN"/>
              </w:rPr>
              <w:t>m²</w:t>
            </w:r>
            <w:r>
              <w:rPr>
                <w:rFonts w:hint="default" w:ascii="Times New Roman" w:hAnsi="Times New Roman" w:eastAsia="仿宋_GB2312" w:cs="Times New Roman"/>
                <w:color w:val="auto"/>
                <w:kern w:val="0"/>
                <w:sz w:val="21"/>
                <w:szCs w:val="21"/>
              </w:rPr>
              <w:t>）</w:t>
            </w:r>
          </w:p>
        </w:tc>
        <w:tc>
          <w:tcPr>
            <w:tcW w:w="4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lang w:val="en-US" w:eastAsia="zh-CN"/>
              </w:rPr>
            </w:pPr>
            <w:r>
              <w:rPr>
                <w:rFonts w:hint="default" w:ascii="Times New Roman" w:hAnsi="Times New Roman" w:eastAsia="仿宋_GB2312" w:cs="Times New Roman"/>
                <w:color w:val="auto"/>
                <w:kern w:val="0"/>
                <w:sz w:val="21"/>
                <w:szCs w:val="21"/>
                <w:lang w:val="en-US" w:eastAsia="zh-CN"/>
              </w:rPr>
              <w:t>地下</w:t>
            </w:r>
            <w:r>
              <w:rPr>
                <w:rFonts w:hint="default" w:ascii="Times New Roman" w:hAnsi="Times New Roman" w:eastAsia="仿宋_GB2312" w:cs="Times New Roman"/>
                <w:color w:val="auto"/>
                <w:kern w:val="0"/>
                <w:sz w:val="21"/>
                <w:szCs w:val="21"/>
              </w:rPr>
              <w:t>建筑面积（</w:t>
            </w:r>
            <w:r>
              <w:rPr>
                <w:rFonts w:hint="default" w:ascii="Times New Roman" w:hAnsi="Times New Roman" w:eastAsia="仿宋_GB2312" w:cs="Times New Roman"/>
                <w:color w:val="auto"/>
                <w:kern w:val="0"/>
                <w:sz w:val="21"/>
                <w:szCs w:val="21"/>
                <w:lang w:eastAsia="zh-CN"/>
              </w:rPr>
              <w:t>m²</w:t>
            </w:r>
            <w:r>
              <w:rPr>
                <w:rFonts w:hint="default" w:ascii="Times New Roman" w:hAnsi="Times New Roman" w:eastAsia="仿宋_GB2312" w:cs="Times New Roman"/>
                <w:color w:val="auto"/>
                <w:kern w:val="0"/>
                <w:sz w:val="21"/>
                <w:szCs w:val="21"/>
              </w:rPr>
              <w:t>）</w:t>
            </w:r>
          </w:p>
        </w:tc>
        <w:tc>
          <w:tcPr>
            <w:tcW w:w="60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lang w:val="en-US" w:eastAsia="zh-CN"/>
              </w:rPr>
            </w:pPr>
            <w:r>
              <w:rPr>
                <w:rFonts w:hint="eastAsia" w:eastAsia="仿宋_GB2312" w:cs="Times New Roman"/>
                <w:color w:val="auto"/>
                <w:kern w:val="0"/>
                <w:sz w:val="21"/>
                <w:szCs w:val="21"/>
                <w:lang w:val="en-US" w:eastAsia="zh-CN"/>
              </w:rPr>
              <w:t>建筑总面积（</w:t>
            </w:r>
            <w:r>
              <w:rPr>
                <w:rFonts w:hint="default" w:ascii="Times New Roman" w:hAnsi="Times New Roman" w:eastAsia="仿宋_GB2312" w:cs="Times New Roman"/>
                <w:color w:val="auto"/>
                <w:kern w:val="0"/>
                <w:sz w:val="21"/>
                <w:szCs w:val="21"/>
                <w:lang w:eastAsia="zh-CN"/>
              </w:rPr>
              <w:t>m²</w:t>
            </w:r>
            <w:r>
              <w:rPr>
                <w:rFonts w:hint="eastAsia" w:eastAsia="仿宋_GB2312" w:cs="Times New Roman"/>
                <w:color w:val="auto"/>
                <w:kern w:val="0"/>
                <w:sz w:val="21"/>
                <w:szCs w:val="21"/>
                <w:lang w:val="en-US" w:eastAsia="zh-CN"/>
              </w:rPr>
              <w:t>）</w:t>
            </w:r>
          </w:p>
        </w:tc>
        <w:tc>
          <w:tcPr>
            <w:tcW w:w="57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计容面积（</w:t>
            </w:r>
            <w:r>
              <w:rPr>
                <w:rFonts w:hint="default" w:ascii="Times New Roman" w:hAnsi="Times New Roman" w:eastAsia="仿宋_GB2312" w:cs="Times New Roman"/>
                <w:color w:val="auto"/>
                <w:kern w:val="0"/>
                <w:sz w:val="21"/>
                <w:szCs w:val="21"/>
                <w:lang w:eastAsia="zh-CN"/>
              </w:rPr>
              <w:t>m²</w:t>
            </w:r>
            <w:r>
              <w:rPr>
                <w:rFonts w:hint="default" w:ascii="Times New Roman" w:hAnsi="Times New Roman" w:eastAsia="仿宋_GB2312" w:cs="Times New Roman"/>
                <w:color w:val="auto"/>
                <w:kern w:val="0"/>
                <w:sz w:val="21"/>
                <w:szCs w:val="21"/>
              </w:rPr>
              <w:t>）</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230" w:type="pct"/>
            <w:gridSpan w:val="3"/>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创新产业园</w:t>
            </w:r>
          </w:p>
        </w:tc>
        <w:tc>
          <w:tcPr>
            <w:tcW w:w="547"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lang w:eastAsia="zh-CN"/>
              </w:rPr>
            </w:pPr>
            <w:r>
              <w:rPr>
                <w:rFonts w:hint="default" w:ascii="Times New Roman" w:hAnsi="Times New Roman" w:eastAsia="仿宋_GB2312" w:cs="Times New Roman"/>
                <w:color w:val="auto"/>
                <w:kern w:val="0"/>
                <w:sz w:val="21"/>
                <w:szCs w:val="21"/>
                <w:lang w:eastAsia="zh-CN"/>
              </w:rPr>
              <w:t>80041.76</w:t>
            </w:r>
          </w:p>
        </w:tc>
        <w:tc>
          <w:tcPr>
            <w:tcW w:w="596"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lang w:eastAsia="zh-CN"/>
              </w:rPr>
            </w:pPr>
            <w:r>
              <w:rPr>
                <w:rFonts w:hint="default" w:ascii="Times New Roman" w:hAnsi="Times New Roman" w:eastAsia="仿宋_GB2312" w:cs="Times New Roman"/>
                <w:color w:val="auto"/>
                <w:kern w:val="0"/>
                <w:sz w:val="21"/>
                <w:szCs w:val="21"/>
                <w:lang w:eastAsia="zh-CN"/>
              </w:rPr>
              <w:t>132784.35</w:t>
            </w:r>
          </w:p>
        </w:tc>
        <w:tc>
          <w:tcPr>
            <w:tcW w:w="443"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lang w:val="en-US" w:eastAsia="zh-CN"/>
              </w:rPr>
            </w:pPr>
          </w:p>
        </w:tc>
        <w:tc>
          <w:tcPr>
            <w:tcW w:w="604"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lang w:eastAsia="zh-CN"/>
              </w:rPr>
            </w:pPr>
            <w:r>
              <w:rPr>
                <w:rFonts w:hint="default" w:ascii="Times New Roman" w:hAnsi="Times New Roman" w:eastAsia="仿宋_GB2312" w:cs="Times New Roman"/>
                <w:color w:val="auto"/>
                <w:kern w:val="0"/>
                <w:sz w:val="21"/>
                <w:szCs w:val="21"/>
                <w:lang w:eastAsia="zh-CN"/>
              </w:rPr>
              <w:t>133523.92</w:t>
            </w:r>
          </w:p>
        </w:tc>
        <w:tc>
          <w:tcPr>
            <w:tcW w:w="578"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lang w:eastAsia="zh-CN"/>
              </w:rPr>
            </w:pPr>
            <w:r>
              <w:rPr>
                <w:rFonts w:hint="default" w:ascii="Times New Roman" w:hAnsi="Times New Roman" w:eastAsia="仿宋_GB2312" w:cs="Times New Roman"/>
                <w:color w:val="auto"/>
                <w:kern w:val="0"/>
                <w:sz w:val="21"/>
                <w:szCs w:val="21"/>
                <w:lang w:eastAsia="zh-CN"/>
              </w:rPr>
              <w:t>186913.51</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069"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lang w:val="en-US" w:eastAsia="zh-CN"/>
              </w:rPr>
            </w:pPr>
            <w:r>
              <w:rPr>
                <w:rFonts w:hint="eastAsia" w:eastAsia="仿宋_GB2312" w:cs="Times New Roman"/>
                <w:color w:val="auto"/>
                <w:kern w:val="0"/>
                <w:sz w:val="21"/>
                <w:szCs w:val="21"/>
                <w:lang w:val="en-US" w:eastAsia="zh-CN"/>
              </w:rPr>
              <w:t>B1#厂房</w:t>
            </w:r>
          </w:p>
        </w:tc>
        <w:tc>
          <w:tcPr>
            <w:tcW w:w="596"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lang w:eastAsia="zh-CN"/>
              </w:rPr>
            </w:pPr>
            <w:r>
              <w:rPr>
                <w:rFonts w:hint="default" w:ascii="Times New Roman" w:hAnsi="Times New Roman" w:eastAsia="仿宋_GB2312" w:cs="Times New Roman"/>
                <w:color w:val="auto"/>
                <w:kern w:val="0"/>
                <w:sz w:val="21"/>
                <w:szCs w:val="21"/>
                <w:lang w:eastAsia="zh-CN"/>
              </w:rPr>
              <w:t>单层厂房，局部二层</w:t>
            </w:r>
          </w:p>
        </w:tc>
        <w:tc>
          <w:tcPr>
            <w:tcW w:w="564"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eastAsia" w:ascii="Times New Roman" w:hAnsi="Times New Roman" w:eastAsia="仿宋_GB2312" w:cs="Times New Roman"/>
                <w:color w:val="auto"/>
                <w:kern w:val="0"/>
                <w:sz w:val="21"/>
                <w:szCs w:val="21"/>
                <w:lang w:val="en-US" w:eastAsia="zh-CN"/>
              </w:rPr>
            </w:pPr>
            <w:r>
              <w:rPr>
                <w:rFonts w:hint="eastAsia" w:eastAsia="仿宋_GB2312" w:cs="Times New Roman"/>
                <w:color w:val="auto"/>
                <w:kern w:val="0"/>
                <w:sz w:val="21"/>
                <w:szCs w:val="21"/>
                <w:lang w:val="en-US" w:eastAsia="zh-CN"/>
              </w:rPr>
              <w:t>钢结构</w:t>
            </w:r>
          </w:p>
        </w:tc>
        <w:tc>
          <w:tcPr>
            <w:tcW w:w="547"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lang w:val="en-US" w:eastAsia="zh-CN"/>
              </w:rPr>
            </w:pPr>
            <w:r>
              <w:rPr>
                <w:rFonts w:hint="default" w:ascii="Times New Roman" w:hAnsi="Times New Roman" w:eastAsia="仿宋_GB2312" w:cs="Times New Roman"/>
                <w:color w:val="auto"/>
                <w:kern w:val="0"/>
                <w:sz w:val="21"/>
                <w:szCs w:val="21"/>
                <w:lang w:val="en-US" w:eastAsia="zh-CN"/>
              </w:rPr>
              <w:t>8386.56</w:t>
            </w:r>
          </w:p>
        </w:tc>
        <w:tc>
          <w:tcPr>
            <w:tcW w:w="596"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kern w:val="0"/>
                <w:sz w:val="21"/>
                <w:szCs w:val="21"/>
                <w:lang w:val="en-US" w:eastAsia="zh-CN"/>
              </w:rPr>
            </w:pPr>
            <w:r>
              <w:rPr>
                <w:rFonts w:hint="default" w:ascii="Times New Roman" w:hAnsi="Times New Roman" w:eastAsia="仿宋_GB2312" w:cs="Times New Roman"/>
                <w:color w:val="auto"/>
                <w:kern w:val="0"/>
                <w:sz w:val="21"/>
                <w:szCs w:val="21"/>
                <w:lang w:val="en-US" w:eastAsia="zh-CN"/>
              </w:rPr>
              <w:t>8910.72</w:t>
            </w:r>
          </w:p>
        </w:tc>
        <w:tc>
          <w:tcPr>
            <w:tcW w:w="443"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rPr>
            </w:pPr>
          </w:p>
        </w:tc>
        <w:tc>
          <w:tcPr>
            <w:tcW w:w="604"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lang w:val="en-US" w:eastAsia="zh-CN" w:bidi="ar-SA"/>
              </w:rPr>
            </w:pPr>
            <w:r>
              <w:rPr>
                <w:rFonts w:hint="default" w:ascii="Times New Roman" w:hAnsi="Times New Roman" w:eastAsia="仿宋_GB2312" w:cs="Times New Roman"/>
                <w:color w:val="auto"/>
                <w:kern w:val="0"/>
                <w:sz w:val="21"/>
                <w:szCs w:val="21"/>
                <w:lang w:eastAsia="zh-CN"/>
              </w:rPr>
              <w:t>8910.72</w:t>
            </w:r>
          </w:p>
        </w:tc>
        <w:tc>
          <w:tcPr>
            <w:tcW w:w="578"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kern w:val="0"/>
                <w:sz w:val="21"/>
                <w:szCs w:val="21"/>
                <w:lang w:val="en-US" w:eastAsia="zh-CN"/>
              </w:rPr>
            </w:pPr>
            <w:r>
              <w:rPr>
                <w:rFonts w:hint="default" w:ascii="Times New Roman" w:hAnsi="Times New Roman" w:eastAsia="仿宋_GB2312" w:cs="Times New Roman"/>
                <w:color w:val="auto"/>
                <w:kern w:val="0"/>
                <w:sz w:val="21"/>
                <w:szCs w:val="21"/>
                <w:lang w:val="en-US" w:eastAsia="zh-CN"/>
              </w:rPr>
              <w:t>16773.12</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069"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rPr>
            </w:pPr>
            <w:r>
              <w:rPr>
                <w:rFonts w:hint="eastAsia" w:eastAsia="仿宋_GB2312" w:cs="Times New Roman"/>
                <w:color w:val="auto"/>
                <w:kern w:val="0"/>
                <w:sz w:val="21"/>
                <w:szCs w:val="21"/>
                <w:lang w:val="en-US" w:eastAsia="zh-CN"/>
              </w:rPr>
              <w:t>B2#厂房</w:t>
            </w:r>
          </w:p>
        </w:tc>
        <w:tc>
          <w:tcPr>
            <w:tcW w:w="596"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lang w:eastAsia="zh-CN"/>
              </w:rPr>
            </w:pPr>
            <w:r>
              <w:rPr>
                <w:rFonts w:hint="default" w:ascii="Times New Roman" w:hAnsi="Times New Roman" w:eastAsia="仿宋_GB2312" w:cs="Times New Roman"/>
                <w:color w:val="auto"/>
                <w:kern w:val="0"/>
                <w:sz w:val="21"/>
                <w:szCs w:val="21"/>
                <w:lang w:eastAsia="zh-CN"/>
              </w:rPr>
              <w:t>单层厂房，局部二层</w:t>
            </w:r>
          </w:p>
        </w:tc>
        <w:tc>
          <w:tcPr>
            <w:tcW w:w="564"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rPr>
            </w:pPr>
            <w:r>
              <w:rPr>
                <w:rFonts w:hint="eastAsia" w:eastAsia="仿宋_GB2312" w:cs="Times New Roman"/>
                <w:color w:val="auto"/>
                <w:kern w:val="0"/>
                <w:sz w:val="21"/>
                <w:szCs w:val="21"/>
                <w:lang w:val="en-US" w:eastAsia="zh-CN"/>
              </w:rPr>
              <w:t>钢结构</w:t>
            </w:r>
          </w:p>
        </w:tc>
        <w:tc>
          <w:tcPr>
            <w:tcW w:w="547"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lang w:val="en-US" w:eastAsia="zh-CN"/>
              </w:rPr>
            </w:pPr>
            <w:r>
              <w:rPr>
                <w:rFonts w:hint="default" w:ascii="Times New Roman" w:hAnsi="Times New Roman" w:eastAsia="仿宋_GB2312" w:cs="Times New Roman"/>
                <w:color w:val="auto"/>
                <w:kern w:val="0"/>
                <w:sz w:val="21"/>
                <w:szCs w:val="21"/>
                <w:lang w:val="en-US" w:eastAsia="zh-CN"/>
              </w:rPr>
              <w:t>12966.36</w:t>
            </w:r>
          </w:p>
        </w:tc>
        <w:tc>
          <w:tcPr>
            <w:tcW w:w="596"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kern w:val="0"/>
                <w:sz w:val="21"/>
                <w:szCs w:val="21"/>
                <w:lang w:val="en-US" w:eastAsia="zh-CN"/>
              </w:rPr>
            </w:pPr>
            <w:r>
              <w:rPr>
                <w:rFonts w:hint="default" w:ascii="Times New Roman" w:hAnsi="Times New Roman" w:eastAsia="仿宋_GB2312" w:cs="Times New Roman"/>
                <w:color w:val="auto"/>
                <w:kern w:val="0"/>
                <w:sz w:val="21"/>
                <w:szCs w:val="21"/>
                <w:lang w:val="en-US" w:eastAsia="zh-CN"/>
              </w:rPr>
              <w:t>14359.9</w:t>
            </w:r>
          </w:p>
        </w:tc>
        <w:tc>
          <w:tcPr>
            <w:tcW w:w="443"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rPr>
            </w:pPr>
          </w:p>
        </w:tc>
        <w:tc>
          <w:tcPr>
            <w:tcW w:w="604"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kern w:val="0"/>
                <w:sz w:val="21"/>
                <w:szCs w:val="21"/>
                <w:lang w:val="en-US" w:eastAsia="zh-CN" w:bidi="ar-SA"/>
              </w:rPr>
            </w:pPr>
            <w:r>
              <w:rPr>
                <w:rFonts w:hint="eastAsia"/>
              </w:rPr>
              <w:t>14359.9</w:t>
            </w:r>
          </w:p>
        </w:tc>
        <w:tc>
          <w:tcPr>
            <w:tcW w:w="578"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kern w:val="0"/>
                <w:sz w:val="21"/>
                <w:szCs w:val="21"/>
                <w:lang w:val="en-US" w:eastAsia="zh-CN"/>
              </w:rPr>
            </w:pPr>
            <w:r>
              <w:rPr>
                <w:rFonts w:hint="eastAsia"/>
              </w:rPr>
              <w:t>25932.72</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069"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rPr>
            </w:pPr>
            <w:r>
              <w:rPr>
                <w:rFonts w:hint="eastAsia" w:eastAsia="仿宋_GB2312" w:cs="Times New Roman"/>
                <w:color w:val="auto"/>
                <w:kern w:val="0"/>
                <w:sz w:val="21"/>
                <w:szCs w:val="21"/>
                <w:lang w:val="en-US" w:eastAsia="zh-CN"/>
              </w:rPr>
              <w:t>B3#厂房</w:t>
            </w:r>
          </w:p>
        </w:tc>
        <w:tc>
          <w:tcPr>
            <w:tcW w:w="596"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lang w:eastAsia="zh-CN"/>
              </w:rPr>
              <w:t>单层厂房，局部二层</w:t>
            </w:r>
          </w:p>
        </w:tc>
        <w:tc>
          <w:tcPr>
            <w:tcW w:w="564"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rPr>
            </w:pPr>
            <w:r>
              <w:rPr>
                <w:rFonts w:hint="eastAsia" w:eastAsia="仿宋_GB2312" w:cs="Times New Roman"/>
                <w:color w:val="auto"/>
                <w:kern w:val="0"/>
                <w:sz w:val="21"/>
                <w:szCs w:val="21"/>
                <w:lang w:val="en-US" w:eastAsia="zh-CN"/>
              </w:rPr>
              <w:t>钢结构</w:t>
            </w:r>
          </w:p>
        </w:tc>
        <w:tc>
          <w:tcPr>
            <w:tcW w:w="547"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kern w:val="0"/>
                <w:sz w:val="21"/>
                <w:szCs w:val="21"/>
                <w:lang w:val="en-US" w:eastAsia="zh-CN"/>
              </w:rPr>
            </w:pPr>
            <w:r>
              <w:rPr>
                <w:rFonts w:hint="default" w:ascii="Times New Roman" w:hAnsi="Times New Roman" w:eastAsia="仿宋_GB2312" w:cs="Times New Roman"/>
                <w:color w:val="auto"/>
                <w:kern w:val="0"/>
                <w:sz w:val="21"/>
                <w:szCs w:val="21"/>
                <w:lang w:val="en-US" w:eastAsia="zh-CN"/>
              </w:rPr>
              <w:t>12966.36</w:t>
            </w:r>
          </w:p>
        </w:tc>
        <w:tc>
          <w:tcPr>
            <w:tcW w:w="596"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kern w:val="0"/>
                <w:sz w:val="21"/>
                <w:szCs w:val="21"/>
                <w:lang w:val="en-US" w:eastAsia="zh-CN"/>
              </w:rPr>
            </w:pPr>
            <w:r>
              <w:rPr>
                <w:rFonts w:hint="default" w:ascii="Times New Roman" w:hAnsi="Times New Roman" w:eastAsia="仿宋_GB2312" w:cs="Times New Roman"/>
                <w:color w:val="auto"/>
                <w:kern w:val="0"/>
                <w:sz w:val="21"/>
                <w:szCs w:val="21"/>
                <w:lang w:val="en-US" w:eastAsia="zh-CN"/>
              </w:rPr>
              <w:t>14359.9</w:t>
            </w:r>
          </w:p>
        </w:tc>
        <w:tc>
          <w:tcPr>
            <w:tcW w:w="443"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rPr>
            </w:pPr>
          </w:p>
        </w:tc>
        <w:tc>
          <w:tcPr>
            <w:tcW w:w="604"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kern w:val="0"/>
                <w:sz w:val="21"/>
                <w:szCs w:val="21"/>
                <w:lang w:val="en-US" w:eastAsia="zh-CN" w:bidi="ar-SA"/>
              </w:rPr>
            </w:pPr>
            <w:r>
              <w:rPr>
                <w:rFonts w:hint="eastAsia"/>
              </w:rPr>
              <w:t>14359.9</w:t>
            </w:r>
          </w:p>
        </w:tc>
        <w:tc>
          <w:tcPr>
            <w:tcW w:w="578"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kern w:val="0"/>
                <w:sz w:val="21"/>
                <w:szCs w:val="21"/>
                <w:lang w:val="en-US" w:eastAsia="zh-CN"/>
              </w:rPr>
            </w:pPr>
            <w:r>
              <w:rPr>
                <w:rFonts w:hint="eastAsia"/>
              </w:rPr>
              <w:t>25932.72</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069"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lang w:val="en-US" w:eastAsia="zh-CN"/>
              </w:rPr>
            </w:pPr>
            <w:r>
              <w:rPr>
                <w:rFonts w:hint="eastAsia" w:eastAsia="仿宋_GB2312" w:cs="Times New Roman"/>
                <w:color w:val="auto"/>
                <w:kern w:val="0"/>
                <w:sz w:val="21"/>
                <w:szCs w:val="21"/>
                <w:lang w:val="en-US" w:eastAsia="zh-CN"/>
              </w:rPr>
              <w:t>B4#厂房</w:t>
            </w:r>
          </w:p>
        </w:tc>
        <w:tc>
          <w:tcPr>
            <w:tcW w:w="596"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lang w:eastAsia="zh-CN"/>
              </w:rPr>
              <w:t>单层厂房，局部二层</w:t>
            </w:r>
          </w:p>
        </w:tc>
        <w:tc>
          <w:tcPr>
            <w:tcW w:w="564"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lang w:eastAsia="zh-CN"/>
              </w:rPr>
            </w:pPr>
            <w:r>
              <w:rPr>
                <w:rFonts w:hint="eastAsia" w:eastAsia="仿宋_GB2312" w:cs="Times New Roman"/>
                <w:color w:val="auto"/>
                <w:kern w:val="0"/>
                <w:sz w:val="21"/>
                <w:szCs w:val="21"/>
                <w:lang w:val="en-US" w:eastAsia="zh-CN"/>
              </w:rPr>
              <w:t>钢结构</w:t>
            </w:r>
          </w:p>
        </w:tc>
        <w:tc>
          <w:tcPr>
            <w:tcW w:w="547"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lang w:val="en-US" w:eastAsia="zh-CN"/>
              </w:rPr>
            </w:pPr>
            <w:r>
              <w:rPr>
                <w:rFonts w:hint="default" w:ascii="Times New Roman" w:hAnsi="Times New Roman" w:eastAsia="仿宋_GB2312" w:cs="Times New Roman"/>
                <w:color w:val="auto"/>
                <w:kern w:val="0"/>
                <w:sz w:val="21"/>
                <w:szCs w:val="21"/>
                <w:lang w:val="en-US" w:eastAsia="zh-CN"/>
              </w:rPr>
              <w:t>24878.76</w:t>
            </w:r>
          </w:p>
        </w:tc>
        <w:tc>
          <w:tcPr>
            <w:tcW w:w="596"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kern w:val="0"/>
                <w:sz w:val="21"/>
                <w:szCs w:val="21"/>
                <w:lang w:val="en-US" w:eastAsia="zh-CN"/>
              </w:rPr>
            </w:pPr>
            <w:r>
              <w:rPr>
                <w:rFonts w:hint="default" w:ascii="Times New Roman" w:hAnsi="Times New Roman" w:eastAsia="仿宋_GB2312" w:cs="Times New Roman"/>
                <w:color w:val="auto"/>
                <w:kern w:val="0"/>
                <w:sz w:val="21"/>
                <w:szCs w:val="21"/>
                <w:lang w:val="en-US" w:eastAsia="zh-CN"/>
              </w:rPr>
              <w:t>26636.4</w:t>
            </w:r>
          </w:p>
        </w:tc>
        <w:tc>
          <w:tcPr>
            <w:tcW w:w="443"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lang w:val="en-US" w:eastAsia="zh-CN"/>
              </w:rPr>
            </w:pPr>
          </w:p>
        </w:tc>
        <w:tc>
          <w:tcPr>
            <w:tcW w:w="604"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kern w:val="0"/>
                <w:sz w:val="21"/>
                <w:szCs w:val="21"/>
                <w:lang w:val="en-US" w:eastAsia="zh-CN"/>
              </w:rPr>
            </w:pPr>
            <w:r>
              <w:rPr>
                <w:rFonts w:hint="default" w:ascii="Times New Roman" w:hAnsi="Times New Roman" w:eastAsia="仿宋_GB2312" w:cs="Times New Roman"/>
                <w:color w:val="auto"/>
                <w:kern w:val="0"/>
                <w:sz w:val="21"/>
                <w:szCs w:val="21"/>
                <w:lang w:val="en-US" w:eastAsia="zh-CN"/>
              </w:rPr>
              <w:t>26636.4</w:t>
            </w:r>
          </w:p>
        </w:tc>
        <w:tc>
          <w:tcPr>
            <w:tcW w:w="578"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kern w:val="0"/>
                <w:sz w:val="21"/>
                <w:szCs w:val="21"/>
                <w:lang w:val="en-US" w:eastAsia="zh-CN"/>
              </w:rPr>
            </w:pPr>
            <w:r>
              <w:rPr>
                <w:rFonts w:hint="default" w:ascii="Times New Roman" w:hAnsi="Times New Roman" w:eastAsia="仿宋_GB2312" w:cs="Times New Roman"/>
                <w:color w:val="auto"/>
                <w:kern w:val="0"/>
                <w:sz w:val="21"/>
                <w:szCs w:val="21"/>
                <w:lang w:val="en-US" w:eastAsia="zh-CN"/>
              </w:rPr>
              <w:t>49757.52</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069"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lang w:eastAsia="zh-CN"/>
              </w:rPr>
            </w:pPr>
            <w:r>
              <w:rPr>
                <w:rFonts w:hint="eastAsia" w:eastAsia="仿宋_GB2312" w:cs="Times New Roman"/>
                <w:color w:val="auto"/>
                <w:kern w:val="0"/>
                <w:sz w:val="21"/>
                <w:szCs w:val="21"/>
                <w:lang w:val="en-US" w:eastAsia="zh-CN"/>
              </w:rPr>
              <w:t>B5#厂房</w:t>
            </w:r>
          </w:p>
        </w:tc>
        <w:tc>
          <w:tcPr>
            <w:tcW w:w="596"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lang w:val="en-US" w:eastAsia="zh-CN"/>
              </w:rPr>
            </w:pPr>
            <w:r>
              <w:rPr>
                <w:rFonts w:hint="eastAsia" w:eastAsia="仿宋_GB2312" w:cs="Times New Roman"/>
                <w:color w:val="auto"/>
                <w:kern w:val="0"/>
                <w:sz w:val="21"/>
                <w:szCs w:val="21"/>
                <w:lang w:val="en-US" w:eastAsia="zh-CN"/>
              </w:rPr>
              <w:t>5F</w:t>
            </w:r>
          </w:p>
        </w:tc>
        <w:tc>
          <w:tcPr>
            <w:tcW w:w="564"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lang w:val="en-US" w:eastAsia="zh-CN"/>
              </w:rPr>
            </w:pPr>
            <w:r>
              <w:rPr>
                <w:rFonts w:hint="eastAsia" w:eastAsia="仿宋_GB2312" w:cs="Times New Roman"/>
                <w:color w:val="auto"/>
                <w:kern w:val="0"/>
                <w:sz w:val="21"/>
                <w:szCs w:val="21"/>
                <w:lang w:val="en-US" w:eastAsia="zh-CN"/>
              </w:rPr>
              <w:t>框架结构</w:t>
            </w:r>
          </w:p>
        </w:tc>
        <w:tc>
          <w:tcPr>
            <w:tcW w:w="547"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lang w:val="en-US"/>
              </w:rPr>
            </w:pPr>
            <w:r>
              <w:rPr>
                <w:rFonts w:hint="default" w:ascii="Times New Roman" w:hAnsi="Times New Roman" w:eastAsia="仿宋_GB2312" w:cs="Times New Roman"/>
                <w:color w:val="auto"/>
                <w:kern w:val="0"/>
                <w:sz w:val="21"/>
                <w:szCs w:val="21"/>
                <w:lang w:val="en-US"/>
              </w:rPr>
              <w:t>6540.47</w:t>
            </w:r>
          </w:p>
        </w:tc>
        <w:tc>
          <w:tcPr>
            <w:tcW w:w="596"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kern w:val="0"/>
                <w:sz w:val="21"/>
                <w:szCs w:val="21"/>
                <w:lang w:val="en-US"/>
              </w:rPr>
            </w:pPr>
            <w:r>
              <w:rPr>
                <w:rFonts w:hint="eastAsia"/>
              </w:rPr>
              <w:t>21274.47</w:t>
            </w:r>
          </w:p>
        </w:tc>
        <w:tc>
          <w:tcPr>
            <w:tcW w:w="443"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rPr>
            </w:pPr>
          </w:p>
        </w:tc>
        <w:tc>
          <w:tcPr>
            <w:tcW w:w="604"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kern w:val="0"/>
                <w:sz w:val="21"/>
                <w:szCs w:val="21"/>
                <w:lang w:val="en-US"/>
              </w:rPr>
            </w:pPr>
            <w:r>
              <w:rPr>
                <w:rFonts w:hint="eastAsia"/>
              </w:rPr>
              <w:t>21274.47</w:t>
            </w:r>
          </w:p>
        </w:tc>
        <w:tc>
          <w:tcPr>
            <w:tcW w:w="578"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kern w:val="0"/>
                <w:sz w:val="21"/>
                <w:szCs w:val="21"/>
                <w:lang w:val="en-US"/>
              </w:rPr>
            </w:pPr>
            <w:r>
              <w:rPr>
                <w:rFonts w:hint="eastAsia"/>
              </w:rPr>
              <w:t>21274.47</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069"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rPr>
            </w:pPr>
            <w:r>
              <w:rPr>
                <w:rFonts w:hint="eastAsia" w:eastAsia="仿宋_GB2312" w:cs="Times New Roman"/>
                <w:color w:val="auto"/>
                <w:kern w:val="0"/>
                <w:sz w:val="21"/>
                <w:szCs w:val="21"/>
                <w:lang w:val="en-US" w:eastAsia="zh-CN"/>
              </w:rPr>
              <w:t>B6#厂房</w:t>
            </w:r>
          </w:p>
        </w:tc>
        <w:tc>
          <w:tcPr>
            <w:tcW w:w="596"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rPr>
            </w:pPr>
            <w:r>
              <w:rPr>
                <w:rFonts w:hint="eastAsia" w:eastAsia="仿宋_GB2312" w:cs="Times New Roman"/>
                <w:color w:val="auto"/>
                <w:kern w:val="0"/>
                <w:sz w:val="21"/>
                <w:szCs w:val="21"/>
                <w:lang w:val="en-US" w:eastAsia="zh-CN"/>
              </w:rPr>
              <w:t>5F</w:t>
            </w:r>
          </w:p>
        </w:tc>
        <w:tc>
          <w:tcPr>
            <w:tcW w:w="564"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lang w:eastAsia="zh-CN"/>
              </w:rPr>
            </w:pPr>
            <w:r>
              <w:rPr>
                <w:rFonts w:hint="eastAsia" w:eastAsia="仿宋_GB2312" w:cs="Times New Roman"/>
                <w:color w:val="auto"/>
                <w:kern w:val="0"/>
                <w:sz w:val="21"/>
                <w:szCs w:val="21"/>
                <w:lang w:val="en-US" w:eastAsia="zh-CN"/>
              </w:rPr>
              <w:t>框架结构</w:t>
            </w:r>
          </w:p>
        </w:tc>
        <w:tc>
          <w:tcPr>
            <w:tcW w:w="547"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6540.47</w:t>
            </w:r>
          </w:p>
        </w:tc>
        <w:tc>
          <w:tcPr>
            <w:tcW w:w="596"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kern w:val="0"/>
                <w:sz w:val="21"/>
                <w:szCs w:val="21"/>
                <w:lang w:val="en-US" w:eastAsia="zh-CN"/>
              </w:rPr>
            </w:pPr>
            <w:r>
              <w:rPr>
                <w:rFonts w:hint="eastAsia"/>
              </w:rPr>
              <w:t>21274.47</w:t>
            </w:r>
          </w:p>
        </w:tc>
        <w:tc>
          <w:tcPr>
            <w:tcW w:w="443"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rPr>
            </w:pPr>
          </w:p>
        </w:tc>
        <w:tc>
          <w:tcPr>
            <w:tcW w:w="604"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kern w:val="0"/>
                <w:sz w:val="21"/>
                <w:szCs w:val="21"/>
                <w:lang w:val="en-US" w:eastAsia="zh-CN"/>
              </w:rPr>
            </w:pPr>
            <w:r>
              <w:rPr>
                <w:rFonts w:hint="eastAsia"/>
              </w:rPr>
              <w:t>21274.47</w:t>
            </w:r>
          </w:p>
        </w:tc>
        <w:tc>
          <w:tcPr>
            <w:tcW w:w="578"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kern w:val="0"/>
                <w:sz w:val="21"/>
                <w:szCs w:val="21"/>
                <w:lang w:val="en-US" w:eastAsia="zh-CN"/>
              </w:rPr>
            </w:pPr>
            <w:r>
              <w:rPr>
                <w:rFonts w:hint="eastAsia"/>
              </w:rPr>
              <w:t>21274.47</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PrEx>
        <w:trPr>
          <w:trHeight w:val="340" w:hRule="atLeast"/>
          <w:jc w:val="center"/>
        </w:trPr>
        <w:tc>
          <w:tcPr>
            <w:tcW w:w="1069"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lang w:val="en-US"/>
              </w:rPr>
            </w:pPr>
            <w:r>
              <w:rPr>
                <w:rFonts w:hint="eastAsia" w:eastAsia="仿宋_GB2312" w:cs="Times New Roman"/>
                <w:color w:val="auto"/>
                <w:kern w:val="0"/>
                <w:sz w:val="21"/>
                <w:szCs w:val="21"/>
                <w:lang w:val="en-US" w:eastAsia="zh-CN"/>
              </w:rPr>
              <w:t>B7#办公楼及食堂</w:t>
            </w:r>
          </w:p>
        </w:tc>
        <w:tc>
          <w:tcPr>
            <w:tcW w:w="596"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rPr>
            </w:pPr>
            <w:r>
              <w:rPr>
                <w:rFonts w:hint="eastAsia" w:eastAsia="仿宋_GB2312" w:cs="Times New Roman"/>
                <w:color w:val="auto"/>
                <w:kern w:val="0"/>
                <w:sz w:val="21"/>
                <w:szCs w:val="21"/>
                <w:lang w:val="en-US" w:eastAsia="zh-CN"/>
              </w:rPr>
              <w:t>5F</w:t>
            </w:r>
          </w:p>
        </w:tc>
        <w:tc>
          <w:tcPr>
            <w:tcW w:w="564"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lang w:eastAsia="zh-CN"/>
              </w:rPr>
            </w:pPr>
            <w:r>
              <w:rPr>
                <w:rFonts w:hint="eastAsia" w:eastAsia="仿宋_GB2312" w:cs="Times New Roman"/>
                <w:color w:val="auto"/>
                <w:kern w:val="0"/>
                <w:sz w:val="21"/>
                <w:szCs w:val="21"/>
                <w:lang w:val="en-US" w:eastAsia="zh-CN"/>
              </w:rPr>
              <w:t>框架结构</w:t>
            </w:r>
          </w:p>
        </w:tc>
        <w:tc>
          <w:tcPr>
            <w:tcW w:w="547"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2957.21</w:t>
            </w:r>
          </w:p>
        </w:tc>
        <w:tc>
          <w:tcPr>
            <w:tcW w:w="596"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kern w:val="0"/>
                <w:sz w:val="21"/>
                <w:szCs w:val="21"/>
                <w:lang w:val="en-US" w:eastAsia="zh-CN"/>
              </w:rPr>
            </w:pPr>
            <w:r>
              <w:rPr>
                <w:rFonts w:hint="default" w:ascii="Times New Roman" w:hAnsi="Times New Roman" w:eastAsia="仿宋_GB2312" w:cs="Times New Roman"/>
                <w:color w:val="auto"/>
                <w:kern w:val="0"/>
                <w:sz w:val="21"/>
                <w:szCs w:val="21"/>
                <w:lang w:val="en-US" w:eastAsia="zh-CN"/>
              </w:rPr>
              <w:t>11063.98</w:t>
            </w:r>
          </w:p>
        </w:tc>
        <w:tc>
          <w:tcPr>
            <w:tcW w:w="443"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rPr>
            </w:pPr>
          </w:p>
        </w:tc>
        <w:tc>
          <w:tcPr>
            <w:tcW w:w="604"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11063.98</w:t>
            </w:r>
          </w:p>
        </w:tc>
        <w:tc>
          <w:tcPr>
            <w:tcW w:w="578"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kern w:val="0"/>
                <w:sz w:val="21"/>
                <w:szCs w:val="21"/>
              </w:rPr>
            </w:pPr>
            <w:r>
              <w:rPr>
                <w:rFonts w:hint="eastAsia"/>
              </w:rPr>
              <w:t>11063.98</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069"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lang w:val="en-US"/>
              </w:rPr>
            </w:pPr>
            <w:r>
              <w:rPr>
                <w:rFonts w:hint="eastAsia" w:eastAsia="仿宋_GB2312" w:cs="Times New Roman"/>
                <w:color w:val="auto"/>
                <w:kern w:val="0"/>
                <w:sz w:val="21"/>
                <w:szCs w:val="21"/>
                <w:lang w:val="en-US" w:eastAsia="zh-CN"/>
              </w:rPr>
              <w:t>B8#宿舍楼</w:t>
            </w:r>
          </w:p>
        </w:tc>
        <w:tc>
          <w:tcPr>
            <w:tcW w:w="596"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rPr>
            </w:pPr>
            <w:r>
              <w:rPr>
                <w:rFonts w:hint="eastAsia" w:eastAsia="仿宋_GB2312" w:cs="Times New Roman"/>
                <w:color w:val="auto"/>
                <w:kern w:val="0"/>
                <w:sz w:val="21"/>
                <w:szCs w:val="21"/>
                <w:lang w:val="en-US" w:eastAsia="zh-CN"/>
              </w:rPr>
              <w:t>5F</w:t>
            </w:r>
          </w:p>
        </w:tc>
        <w:tc>
          <w:tcPr>
            <w:tcW w:w="564"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lang w:eastAsia="zh-CN"/>
              </w:rPr>
            </w:pPr>
            <w:r>
              <w:rPr>
                <w:rFonts w:hint="eastAsia" w:eastAsia="仿宋_GB2312" w:cs="Times New Roman"/>
                <w:color w:val="auto"/>
                <w:kern w:val="0"/>
                <w:sz w:val="21"/>
                <w:szCs w:val="21"/>
                <w:lang w:val="en-US" w:eastAsia="zh-CN"/>
              </w:rPr>
              <w:t>框架结构</w:t>
            </w:r>
          </w:p>
        </w:tc>
        <w:tc>
          <w:tcPr>
            <w:tcW w:w="547"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1517.25</w:t>
            </w:r>
          </w:p>
        </w:tc>
        <w:tc>
          <w:tcPr>
            <w:tcW w:w="596"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kern w:val="0"/>
                <w:sz w:val="21"/>
                <w:szCs w:val="21"/>
                <w:lang w:val="en-US" w:eastAsia="zh-CN"/>
              </w:rPr>
            </w:pPr>
            <w:r>
              <w:rPr>
                <w:rFonts w:hint="default" w:ascii="Times New Roman" w:hAnsi="Times New Roman" w:eastAsia="仿宋_GB2312" w:cs="Times New Roman"/>
                <w:color w:val="auto"/>
                <w:kern w:val="0"/>
                <w:sz w:val="21"/>
                <w:szCs w:val="21"/>
                <w:lang w:val="en-US" w:eastAsia="zh-CN"/>
              </w:rPr>
              <w:t>7716.97</w:t>
            </w:r>
          </w:p>
        </w:tc>
        <w:tc>
          <w:tcPr>
            <w:tcW w:w="443"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rPr>
            </w:pPr>
          </w:p>
        </w:tc>
        <w:tc>
          <w:tcPr>
            <w:tcW w:w="604"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lang w:val="en-US" w:eastAsia="zh-CN"/>
              </w:rPr>
              <w:t>7716.97</w:t>
            </w:r>
          </w:p>
        </w:tc>
        <w:tc>
          <w:tcPr>
            <w:tcW w:w="578"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kern w:val="0"/>
                <w:sz w:val="21"/>
                <w:szCs w:val="21"/>
              </w:rPr>
            </w:pPr>
            <w:r>
              <w:rPr>
                <w:rFonts w:hint="eastAsia"/>
              </w:rPr>
              <w:t>7716.97</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069"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lang w:val="en-US"/>
              </w:rPr>
            </w:pPr>
            <w:r>
              <w:rPr>
                <w:rFonts w:hint="eastAsia" w:eastAsia="仿宋_GB2312" w:cs="Times New Roman"/>
                <w:color w:val="auto"/>
                <w:kern w:val="0"/>
                <w:sz w:val="21"/>
                <w:szCs w:val="21"/>
                <w:lang w:val="en-US" w:eastAsia="zh-CN"/>
              </w:rPr>
              <w:t>B9#实验中心</w:t>
            </w:r>
          </w:p>
        </w:tc>
        <w:tc>
          <w:tcPr>
            <w:tcW w:w="596"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lang w:val="en-US" w:eastAsia="zh-CN"/>
              </w:rPr>
            </w:pPr>
            <w:r>
              <w:rPr>
                <w:rFonts w:hint="eastAsia" w:eastAsia="仿宋_GB2312" w:cs="Times New Roman"/>
                <w:color w:val="auto"/>
                <w:kern w:val="0"/>
                <w:sz w:val="21"/>
                <w:szCs w:val="21"/>
                <w:lang w:val="en-US" w:eastAsia="zh-CN"/>
              </w:rPr>
              <w:t>3F</w:t>
            </w:r>
          </w:p>
        </w:tc>
        <w:tc>
          <w:tcPr>
            <w:tcW w:w="564"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lang w:eastAsia="zh-CN"/>
              </w:rPr>
            </w:pPr>
            <w:r>
              <w:rPr>
                <w:rFonts w:hint="eastAsia" w:eastAsia="仿宋_GB2312" w:cs="Times New Roman"/>
                <w:color w:val="auto"/>
                <w:kern w:val="0"/>
                <w:sz w:val="21"/>
                <w:szCs w:val="21"/>
                <w:lang w:val="en-US" w:eastAsia="zh-CN"/>
              </w:rPr>
              <w:t>框架结构</w:t>
            </w:r>
          </w:p>
        </w:tc>
        <w:tc>
          <w:tcPr>
            <w:tcW w:w="547"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1298.99</w:t>
            </w:r>
          </w:p>
        </w:tc>
        <w:tc>
          <w:tcPr>
            <w:tcW w:w="596"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3955.97</w:t>
            </w:r>
          </w:p>
        </w:tc>
        <w:tc>
          <w:tcPr>
            <w:tcW w:w="443"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rPr>
            </w:pPr>
          </w:p>
        </w:tc>
        <w:tc>
          <w:tcPr>
            <w:tcW w:w="604"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3955.97</w:t>
            </w:r>
          </w:p>
        </w:tc>
        <w:tc>
          <w:tcPr>
            <w:tcW w:w="578"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kern w:val="0"/>
                <w:sz w:val="21"/>
                <w:szCs w:val="21"/>
              </w:rPr>
            </w:pPr>
            <w:r>
              <w:rPr>
                <w:rFonts w:hint="eastAsia"/>
              </w:rPr>
              <w:t>3955.97</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069"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lang w:val="en-US"/>
              </w:rPr>
            </w:pPr>
            <w:r>
              <w:rPr>
                <w:rFonts w:hint="eastAsia" w:eastAsia="仿宋_GB2312" w:cs="Times New Roman"/>
                <w:color w:val="auto"/>
                <w:kern w:val="0"/>
                <w:sz w:val="21"/>
                <w:szCs w:val="21"/>
                <w:lang w:val="en-US" w:eastAsia="zh-CN"/>
              </w:rPr>
              <w:t>B10#食堂</w:t>
            </w:r>
          </w:p>
        </w:tc>
        <w:tc>
          <w:tcPr>
            <w:tcW w:w="596"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lang w:val="en-US" w:eastAsia="zh-CN"/>
              </w:rPr>
            </w:pPr>
            <w:r>
              <w:rPr>
                <w:rFonts w:hint="eastAsia" w:eastAsia="仿宋_GB2312" w:cs="Times New Roman"/>
                <w:color w:val="auto"/>
                <w:kern w:val="0"/>
                <w:sz w:val="21"/>
                <w:szCs w:val="21"/>
                <w:lang w:val="en-US" w:eastAsia="zh-CN"/>
              </w:rPr>
              <w:t>2F</w:t>
            </w:r>
          </w:p>
        </w:tc>
        <w:tc>
          <w:tcPr>
            <w:tcW w:w="564"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lang w:eastAsia="zh-CN"/>
              </w:rPr>
            </w:pPr>
            <w:r>
              <w:rPr>
                <w:rFonts w:hint="eastAsia" w:eastAsia="仿宋_GB2312" w:cs="Times New Roman"/>
                <w:color w:val="auto"/>
                <w:kern w:val="0"/>
                <w:sz w:val="21"/>
                <w:szCs w:val="21"/>
                <w:lang w:val="en-US" w:eastAsia="zh-CN"/>
              </w:rPr>
              <w:t>框架结构</w:t>
            </w:r>
          </w:p>
        </w:tc>
        <w:tc>
          <w:tcPr>
            <w:tcW w:w="547"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1183.47</w:t>
            </w:r>
          </w:p>
        </w:tc>
        <w:tc>
          <w:tcPr>
            <w:tcW w:w="596"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2425.71</w:t>
            </w:r>
          </w:p>
        </w:tc>
        <w:tc>
          <w:tcPr>
            <w:tcW w:w="443"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rPr>
            </w:pPr>
          </w:p>
        </w:tc>
        <w:tc>
          <w:tcPr>
            <w:tcW w:w="604"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2425.71</w:t>
            </w:r>
          </w:p>
        </w:tc>
        <w:tc>
          <w:tcPr>
            <w:tcW w:w="578"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kern w:val="0"/>
                <w:sz w:val="21"/>
                <w:szCs w:val="21"/>
              </w:rPr>
            </w:pPr>
            <w:r>
              <w:rPr>
                <w:rFonts w:hint="eastAsia"/>
              </w:rPr>
              <w:t>2425.71</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069"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rPr>
            </w:pPr>
            <w:r>
              <w:rPr>
                <w:rFonts w:hint="eastAsia" w:eastAsia="仿宋_GB2312" w:cs="Times New Roman"/>
                <w:color w:val="auto"/>
                <w:kern w:val="0"/>
                <w:sz w:val="21"/>
                <w:szCs w:val="21"/>
                <w:lang w:val="en-US" w:eastAsia="zh-CN"/>
              </w:rPr>
              <w:t>B11#开闭站、变电所、柴发、锅炉房</w:t>
            </w:r>
          </w:p>
        </w:tc>
        <w:tc>
          <w:tcPr>
            <w:tcW w:w="596"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lang w:val="en-US" w:eastAsia="zh-CN"/>
              </w:rPr>
            </w:pPr>
            <w:r>
              <w:rPr>
                <w:rFonts w:hint="eastAsia" w:eastAsia="仿宋_GB2312" w:cs="Times New Roman"/>
                <w:color w:val="auto"/>
                <w:kern w:val="0"/>
                <w:sz w:val="21"/>
                <w:szCs w:val="21"/>
                <w:lang w:val="en-US" w:eastAsia="zh-CN"/>
              </w:rPr>
              <w:t>1F</w:t>
            </w:r>
          </w:p>
        </w:tc>
        <w:tc>
          <w:tcPr>
            <w:tcW w:w="564"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lang w:eastAsia="zh-CN"/>
              </w:rPr>
            </w:pPr>
            <w:r>
              <w:rPr>
                <w:rFonts w:hint="eastAsia" w:eastAsia="仿宋_GB2312" w:cs="Times New Roman"/>
                <w:color w:val="auto"/>
                <w:kern w:val="0"/>
                <w:sz w:val="21"/>
                <w:szCs w:val="21"/>
                <w:lang w:val="en-US" w:eastAsia="zh-CN"/>
              </w:rPr>
              <w:t>框架结构</w:t>
            </w:r>
          </w:p>
        </w:tc>
        <w:tc>
          <w:tcPr>
            <w:tcW w:w="547"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722.86</w:t>
            </w:r>
          </w:p>
        </w:tc>
        <w:tc>
          <w:tcPr>
            <w:tcW w:w="596"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722.86</w:t>
            </w:r>
          </w:p>
        </w:tc>
        <w:tc>
          <w:tcPr>
            <w:tcW w:w="443"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rPr>
            </w:pPr>
          </w:p>
        </w:tc>
        <w:tc>
          <w:tcPr>
            <w:tcW w:w="604"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722.86</w:t>
            </w:r>
          </w:p>
        </w:tc>
        <w:tc>
          <w:tcPr>
            <w:tcW w:w="578"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kern w:val="0"/>
                <w:sz w:val="21"/>
                <w:szCs w:val="21"/>
              </w:rPr>
            </w:pPr>
            <w:r>
              <w:rPr>
                <w:rFonts w:hint="eastAsia"/>
              </w:rPr>
              <w:t>722.86</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069"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lang w:val="en-US"/>
              </w:rPr>
            </w:pPr>
            <w:r>
              <w:rPr>
                <w:rFonts w:hint="eastAsia" w:eastAsia="仿宋_GB2312" w:cs="Times New Roman"/>
                <w:color w:val="auto"/>
                <w:kern w:val="0"/>
                <w:sz w:val="21"/>
                <w:szCs w:val="21"/>
                <w:lang w:val="en-US" w:eastAsia="zh-CN"/>
              </w:rPr>
              <w:t>B12#水泵房及水池</w:t>
            </w:r>
          </w:p>
        </w:tc>
        <w:tc>
          <w:tcPr>
            <w:tcW w:w="596"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lang w:val="en-US" w:eastAsia="zh-CN"/>
              </w:rPr>
            </w:pPr>
            <w:r>
              <w:rPr>
                <w:rFonts w:hint="eastAsia" w:eastAsia="仿宋_GB2312" w:cs="Times New Roman"/>
                <w:color w:val="auto"/>
                <w:kern w:val="0"/>
                <w:sz w:val="21"/>
                <w:szCs w:val="21"/>
                <w:lang w:val="en-US" w:eastAsia="zh-CN"/>
              </w:rPr>
              <w:t>1F/-1F</w:t>
            </w:r>
          </w:p>
        </w:tc>
        <w:tc>
          <w:tcPr>
            <w:tcW w:w="564"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lang w:eastAsia="zh-CN"/>
              </w:rPr>
            </w:pPr>
            <w:r>
              <w:rPr>
                <w:rFonts w:hint="eastAsia" w:eastAsia="仿宋_GB2312" w:cs="Times New Roman"/>
                <w:color w:val="auto"/>
                <w:kern w:val="0"/>
                <w:sz w:val="21"/>
                <w:szCs w:val="21"/>
                <w:lang w:val="en-US" w:eastAsia="zh-CN"/>
              </w:rPr>
              <w:t>框架结构</w:t>
            </w:r>
          </w:p>
        </w:tc>
        <w:tc>
          <w:tcPr>
            <w:tcW w:w="547"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lang w:val="en-US" w:eastAsia="zh-CN"/>
              </w:rPr>
            </w:pPr>
            <w:r>
              <w:rPr>
                <w:rFonts w:hint="eastAsia" w:eastAsia="仿宋_GB2312" w:cs="Times New Roman"/>
                <w:color w:val="auto"/>
                <w:kern w:val="0"/>
                <w:sz w:val="21"/>
                <w:szCs w:val="21"/>
                <w:lang w:val="en-US" w:eastAsia="zh-CN"/>
              </w:rPr>
              <w:t>53</w:t>
            </w:r>
          </w:p>
        </w:tc>
        <w:tc>
          <w:tcPr>
            <w:tcW w:w="596"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rPr>
            </w:pPr>
            <w:r>
              <w:rPr>
                <w:rFonts w:hint="eastAsia" w:eastAsia="仿宋_GB2312" w:cs="Times New Roman"/>
                <w:color w:val="auto"/>
                <w:kern w:val="0"/>
                <w:sz w:val="21"/>
                <w:szCs w:val="21"/>
                <w:lang w:val="en-US" w:eastAsia="zh-CN"/>
              </w:rPr>
              <w:t>53</w:t>
            </w:r>
          </w:p>
        </w:tc>
        <w:tc>
          <w:tcPr>
            <w:tcW w:w="443"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lang w:val="en-US" w:eastAsia="zh-CN"/>
              </w:rPr>
            </w:pPr>
            <w:r>
              <w:rPr>
                <w:rFonts w:hint="eastAsia" w:eastAsia="仿宋_GB2312" w:cs="Times New Roman"/>
                <w:color w:val="auto"/>
                <w:kern w:val="0"/>
                <w:sz w:val="21"/>
                <w:szCs w:val="21"/>
                <w:lang w:val="en-US" w:eastAsia="zh-CN"/>
              </w:rPr>
              <w:t>739.57</w:t>
            </w:r>
          </w:p>
        </w:tc>
        <w:tc>
          <w:tcPr>
            <w:tcW w:w="604"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792.57</w:t>
            </w:r>
          </w:p>
        </w:tc>
        <w:tc>
          <w:tcPr>
            <w:tcW w:w="578"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kern w:val="0"/>
                <w:sz w:val="21"/>
                <w:szCs w:val="21"/>
              </w:rPr>
            </w:pPr>
            <w:r>
              <w:rPr>
                <w:rFonts w:hint="eastAsia"/>
              </w:rPr>
              <w:t>53</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069"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lang w:val="en-US"/>
              </w:rPr>
            </w:pPr>
            <w:r>
              <w:rPr>
                <w:rFonts w:hint="eastAsia" w:eastAsia="仿宋_GB2312" w:cs="Times New Roman"/>
                <w:color w:val="auto"/>
                <w:kern w:val="0"/>
                <w:sz w:val="21"/>
                <w:szCs w:val="21"/>
                <w:lang w:val="en-US" w:eastAsia="zh-CN"/>
              </w:rPr>
              <w:t>B13#成品岗亭</w:t>
            </w:r>
          </w:p>
        </w:tc>
        <w:tc>
          <w:tcPr>
            <w:tcW w:w="596"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rPr>
            </w:pPr>
            <w:r>
              <w:rPr>
                <w:rFonts w:hint="eastAsia" w:eastAsia="仿宋_GB2312" w:cs="Times New Roman"/>
                <w:color w:val="auto"/>
                <w:kern w:val="0"/>
                <w:sz w:val="21"/>
                <w:szCs w:val="21"/>
                <w:lang w:val="en-US" w:eastAsia="zh-CN"/>
              </w:rPr>
              <w:t>1F</w:t>
            </w:r>
          </w:p>
        </w:tc>
        <w:tc>
          <w:tcPr>
            <w:tcW w:w="564"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lang w:eastAsia="zh-CN"/>
              </w:rPr>
            </w:pPr>
          </w:p>
        </w:tc>
        <w:tc>
          <w:tcPr>
            <w:tcW w:w="547"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lang w:val="en-US" w:eastAsia="zh-CN"/>
              </w:rPr>
            </w:pPr>
            <w:r>
              <w:rPr>
                <w:rFonts w:hint="eastAsia" w:eastAsia="仿宋_GB2312" w:cs="Times New Roman"/>
                <w:color w:val="auto"/>
                <w:kern w:val="0"/>
                <w:sz w:val="21"/>
                <w:szCs w:val="21"/>
                <w:lang w:val="en-US" w:eastAsia="zh-CN"/>
              </w:rPr>
              <w:t>6</w:t>
            </w:r>
          </w:p>
        </w:tc>
        <w:tc>
          <w:tcPr>
            <w:tcW w:w="596"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rPr>
            </w:pPr>
            <w:r>
              <w:rPr>
                <w:rFonts w:hint="eastAsia" w:eastAsia="仿宋_GB2312" w:cs="Times New Roman"/>
                <w:color w:val="auto"/>
                <w:kern w:val="0"/>
                <w:sz w:val="21"/>
                <w:szCs w:val="21"/>
                <w:lang w:val="en-US" w:eastAsia="zh-CN"/>
              </w:rPr>
              <w:t>6</w:t>
            </w:r>
          </w:p>
        </w:tc>
        <w:tc>
          <w:tcPr>
            <w:tcW w:w="443"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rPr>
            </w:pPr>
          </w:p>
        </w:tc>
        <w:tc>
          <w:tcPr>
            <w:tcW w:w="604"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rPr>
            </w:pPr>
            <w:r>
              <w:rPr>
                <w:rFonts w:hint="eastAsia" w:eastAsia="仿宋_GB2312" w:cs="Times New Roman"/>
                <w:color w:val="auto"/>
                <w:kern w:val="0"/>
                <w:sz w:val="21"/>
                <w:szCs w:val="21"/>
                <w:lang w:val="en-US" w:eastAsia="zh-CN"/>
              </w:rPr>
              <w:t>6</w:t>
            </w:r>
          </w:p>
        </w:tc>
        <w:tc>
          <w:tcPr>
            <w:tcW w:w="578"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rPr>
            </w:pPr>
            <w:r>
              <w:rPr>
                <w:rFonts w:hint="eastAsia" w:eastAsia="仿宋_GB2312" w:cs="Times New Roman"/>
                <w:color w:val="auto"/>
                <w:kern w:val="0"/>
                <w:sz w:val="21"/>
                <w:szCs w:val="21"/>
                <w:lang w:val="en-US" w:eastAsia="zh-CN"/>
              </w:rPr>
              <w:t>6</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069"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rPr>
            </w:pPr>
            <w:r>
              <w:rPr>
                <w:rFonts w:hint="eastAsia" w:eastAsia="仿宋_GB2312" w:cs="Times New Roman"/>
                <w:color w:val="auto"/>
                <w:kern w:val="0"/>
                <w:sz w:val="21"/>
                <w:szCs w:val="21"/>
                <w:lang w:val="en-US" w:eastAsia="zh-CN"/>
              </w:rPr>
              <w:t>B14#成品岗亭</w:t>
            </w:r>
          </w:p>
        </w:tc>
        <w:tc>
          <w:tcPr>
            <w:tcW w:w="596"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rPr>
            </w:pPr>
            <w:r>
              <w:rPr>
                <w:rFonts w:hint="eastAsia" w:eastAsia="仿宋_GB2312" w:cs="Times New Roman"/>
                <w:color w:val="auto"/>
                <w:kern w:val="0"/>
                <w:sz w:val="21"/>
                <w:szCs w:val="21"/>
                <w:lang w:val="en-US" w:eastAsia="zh-CN"/>
              </w:rPr>
              <w:t>1F</w:t>
            </w:r>
          </w:p>
        </w:tc>
        <w:tc>
          <w:tcPr>
            <w:tcW w:w="564"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lang w:eastAsia="zh-CN"/>
              </w:rPr>
            </w:pPr>
          </w:p>
        </w:tc>
        <w:tc>
          <w:tcPr>
            <w:tcW w:w="547"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lang w:val="en-US" w:eastAsia="zh-CN"/>
              </w:rPr>
            </w:pPr>
            <w:r>
              <w:rPr>
                <w:rFonts w:hint="eastAsia" w:eastAsia="仿宋_GB2312" w:cs="Times New Roman"/>
                <w:color w:val="auto"/>
                <w:kern w:val="0"/>
                <w:sz w:val="21"/>
                <w:szCs w:val="21"/>
                <w:lang w:val="en-US" w:eastAsia="zh-CN"/>
              </w:rPr>
              <w:t>6</w:t>
            </w:r>
          </w:p>
        </w:tc>
        <w:tc>
          <w:tcPr>
            <w:tcW w:w="596"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rPr>
            </w:pPr>
            <w:r>
              <w:rPr>
                <w:rFonts w:hint="eastAsia" w:eastAsia="仿宋_GB2312" w:cs="Times New Roman"/>
                <w:color w:val="auto"/>
                <w:kern w:val="0"/>
                <w:sz w:val="21"/>
                <w:szCs w:val="21"/>
                <w:lang w:val="en-US" w:eastAsia="zh-CN"/>
              </w:rPr>
              <w:t>6</w:t>
            </w:r>
          </w:p>
        </w:tc>
        <w:tc>
          <w:tcPr>
            <w:tcW w:w="443"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rPr>
            </w:pPr>
          </w:p>
        </w:tc>
        <w:tc>
          <w:tcPr>
            <w:tcW w:w="604"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rPr>
            </w:pPr>
            <w:r>
              <w:rPr>
                <w:rFonts w:hint="eastAsia" w:eastAsia="仿宋_GB2312" w:cs="Times New Roman"/>
                <w:color w:val="auto"/>
                <w:kern w:val="0"/>
                <w:sz w:val="21"/>
                <w:szCs w:val="21"/>
                <w:lang w:val="en-US" w:eastAsia="zh-CN"/>
              </w:rPr>
              <w:t>6</w:t>
            </w:r>
          </w:p>
        </w:tc>
        <w:tc>
          <w:tcPr>
            <w:tcW w:w="578"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rPr>
            </w:pPr>
            <w:r>
              <w:rPr>
                <w:rFonts w:hint="eastAsia" w:eastAsia="仿宋_GB2312" w:cs="Times New Roman"/>
                <w:color w:val="auto"/>
                <w:kern w:val="0"/>
                <w:sz w:val="21"/>
                <w:szCs w:val="21"/>
                <w:lang w:val="en-US" w:eastAsia="zh-CN"/>
              </w:rPr>
              <w:t>6</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069"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rPr>
            </w:pPr>
            <w:r>
              <w:rPr>
                <w:rFonts w:hint="eastAsia" w:eastAsia="仿宋_GB2312" w:cs="Times New Roman"/>
                <w:color w:val="auto"/>
                <w:kern w:val="0"/>
                <w:sz w:val="21"/>
                <w:szCs w:val="21"/>
                <w:lang w:val="en-US" w:eastAsia="zh-CN"/>
              </w:rPr>
              <w:t>B15#成品岗亭</w:t>
            </w:r>
          </w:p>
        </w:tc>
        <w:tc>
          <w:tcPr>
            <w:tcW w:w="596"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rPr>
            </w:pPr>
            <w:r>
              <w:rPr>
                <w:rFonts w:hint="eastAsia" w:eastAsia="仿宋_GB2312" w:cs="Times New Roman"/>
                <w:color w:val="auto"/>
                <w:kern w:val="0"/>
                <w:sz w:val="21"/>
                <w:szCs w:val="21"/>
                <w:lang w:val="en-US" w:eastAsia="zh-CN"/>
              </w:rPr>
              <w:t>1F</w:t>
            </w:r>
          </w:p>
        </w:tc>
        <w:tc>
          <w:tcPr>
            <w:tcW w:w="564"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lang w:eastAsia="zh-CN"/>
              </w:rPr>
            </w:pPr>
          </w:p>
        </w:tc>
        <w:tc>
          <w:tcPr>
            <w:tcW w:w="547"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eastAsia" w:ascii="Times New Roman" w:hAnsi="Times New Roman" w:eastAsia="仿宋_GB2312" w:cs="Times New Roman"/>
                <w:color w:val="auto"/>
                <w:kern w:val="0"/>
                <w:sz w:val="21"/>
                <w:szCs w:val="21"/>
                <w:lang w:val="en-US" w:eastAsia="zh-CN"/>
              </w:rPr>
            </w:pPr>
            <w:r>
              <w:rPr>
                <w:rFonts w:hint="eastAsia" w:eastAsia="仿宋_GB2312" w:cs="Times New Roman"/>
                <w:color w:val="auto"/>
                <w:kern w:val="0"/>
                <w:sz w:val="21"/>
                <w:szCs w:val="21"/>
                <w:lang w:val="en-US" w:eastAsia="zh-CN"/>
              </w:rPr>
              <w:t>6</w:t>
            </w:r>
          </w:p>
        </w:tc>
        <w:tc>
          <w:tcPr>
            <w:tcW w:w="596"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rPr>
            </w:pPr>
            <w:r>
              <w:rPr>
                <w:rFonts w:hint="eastAsia" w:eastAsia="仿宋_GB2312" w:cs="Times New Roman"/>
                <w:color w:val="auto"/>
                <w:kern w:val="0"/>
                <w:sz w:val="21"/>
                <w:szCs w:val="21"/>
                <w:lang w:val="en-US" w:eastAsia="zh-CN"/>
              </w:rPr>
              <w:t>6</w:t>
            </w:r>
          </w:p>
        </w:tc>
        <w:tc>
          <w:tcPr>
            <w:tcW w:w="443"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rPr>
            </w:pPr>
          </w:p>
        </w:tc>
        <w:tc>
          <w:tcPr>
            <w:tcW w:w="604"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rPr>
            </w:pPr>
            <w:r>
              <w:rPr>
                <w:rFonts w:hint="eastAsia" w:eastAsia="仿宋_GB2312" w:cs="Times New Roman"/>
                <w:color w:val="auto"/>
                <w:kern w:val="0"/>
                <w:sz w:val="21"/>
                <w:szCs w:val="21"/>
                <w:lang w:val="en-US" w:eastAsia="zh-CN"/>
              </w:rPr>
              <w:t>6</w:t>
            </w:r>
          </w:p>
        </w:tc>
        <w:tc>
          <w:tcPr>
            <w:tcW w:w="578"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rPr>
            </w:pPr>
            <w:r>
              <w:rPr>
                <w:rFonts w:hint="eastAsia" w:eastAsia="仿宋_GB2312" w:cs="Times New Roman"/>
                <w:color w:val="auto"/>
                <w:kern w:val="0"/>
                <w:sz w:val="21"/>
                <w:szCs w:val="21"/>
                <w:lang w:val="en-US" w:eastAsia="zh-CN"/>
              </w:rPr>
              <w:t>6</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069"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rPr>
            </w:pPr>
            <w:r>
              <w:rPr>
                <w:rFonts w:hint="eastAsia" w:eastAsia="仿宋_GB2312" w:cs="Times New Roman"/>
                <w:color w:val="auto"/>
                <w:kern w:val="0"/>
                <w:sz w:val="21"/>
                <w:szCs w:val="21"/>
                <w:lang w:val="en-US" w:eastAsia="zh-CN"/>
              </w:rPr>
              <w:t>B16#成品岗亭</w:t>
            </w:r>
          </w:p>
        </w:tc>
        <w:tc>
          <w:tcPr>
            <w:tcW w:w="596"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rPr>
            </w:pPr>
            <w:r>
              <w:rPr>
                <w:rFonts w:hint="eastAsia" w:eastAsia="仿宋_GB2312" w:cs="Times New Roman"/>
                <w:color w:val="auto"/>
                <w:kern w:val="0"/>
                <w:sz w:val="21"/>
                <w:szCs w:val="21"/>
                <w:lang w:val="en-US" w:eastAsia="zh-CN"/>
              </w:rPr>
              <w:t>1F</w:t>
            </w:r>
          </w:p>
        </w:tc>
        <w:tc>
          <w:tcPr>
            <w:tcW w:w="564"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lang w:eastAsia="zh-CN"/>
              </w:rPr>
            </w:pPr>
          </w:p>
        </w:tc>
        <w:tc>
          <w:tcPr>
            <w:tcW w:w="547"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eastAsia" w:ascii="Times New Roman" w:hAnsi="Times New Roman" w:eastAsia="仿宋_GB2312" w:cs="Times New Roman"/>
                <w:color w:val="auto"/>
                <w:kern w:val="0"/>
                <w:sz w:val="21"/>
                <w:szCs w:val="21"/>
                <w:lang w:val="en-US" w:eastAsia="zh-CN"/>
              </w:rPr>
            </w:pPr>
            <w:r>
              <w:rPr>
                <w:rFonts w:hint="eastAsia" w:eastAsia="仿宋_GB2312" w:cs="Times New Roman"/>
                <w:color w:val="auto"/>
                <w:kern w:val="0"/>
                <w:sz w:val="21"/>
                <w:szCs w:val="21"/>
                <w:lang w:val="en-US" w:eastAsia="zh-CN"/>
              </w:rPr>
              <w:t>6</w:t>
            </w:r>
          </w:p>
        </w:tc>
        <w:tc>
          <w:tcPr>
            <w:tcW w:w="596"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rPr>
            </w:pPr>
            <w:r>
              <w:rPr>
                <w:rFonts w:hint="eastAsia" w:eastAsia="仿宋_GB2312" w:cs="Times New Roman"/>
                <w:color w:val="auto"/>
                <w:kern w:val="0"/>
                <w:sz w:val="21"/>
                <w:szCs w:val="21"/>
                <w:lang w:val="en-US" w:eastAsia="zh-CN"/>
              </w:rPr>
              <w:t>6</w:t>
            </w:r>
          </w:p>
        </w:tc>
        <w:tc>
          <w:tcPr>
            <w:tcW w:w="443"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rPr>
            </w:pPr>
          </w:p>
        </w:tc>
        <w:tc>
          <w:tcPr>
            <w:tcW w:w="604"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rPr>
            </w:pPr>
            <w:r>
              <w:rPr>
                <w:rFonts w:hint="eastAsia" w:eastAsia="仿宋_GB2312" w:cs="Times New Roman"/>
                <w:color w:val="auto"/>
                <w:kern w:val="0"/>
                <w:sz w:val="21"/>
                <w:szCs w:val="21"/>
                <w:lang w:val="en-US" w:eastAsia="zh-CN"/>
              </w:rPr>
              <w:t>6</w:t>
            </w:r>
          </w:p>
        </w:tc>
        <w:tc>
          <w:tcPr>
            <w:tcW w:w="578"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rPr>
            </w:pPr>
            <w:r>
              <w:rPr>
                <w:rFonts w:hint="eastAsia" w:eastAsia="仿宋_GB2312" w:cs="Times New Roman"/>
                <w:color w:val="auto"/>
                <w:kern w:val="0"/>
                <w:sz w:val="21"/>
                <w:szCs w:val="21"/>
                <w:lang w:val="en-US" w:eastAsia="zh-CN"/>
              </w:rPr>
              <w:t>6</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069"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rPr>
            </w:pPr>
            <w:r>
              <w:rPr>
                <w:rFonts w:hint="eastAsia" w:eastAsia="仿宋_GB2312" w:cs="Times New Roman"/>
                <w:color w:val="auto"/>
                <w:kern w:val="0"/>
                <w:sz w:val="21"/>
                <w:szCs w:val="21"/>
                <w:lang w:val="en-US" w:eastAsia="zh-CN"/>
              </w:rPr>
              <w:t>B17#成品岗亭</w:t>
            </w:r>
          </w:p>
        </w:tc>
        <w:tc>
          <w:tcPr>
            <w:tcW w:w="596"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rPr>
            </w:pPr>
            <w:r>
              <w:rPr>
                <w:rFonts w:hint="eastAsia" w:eastAsia="仿宋_GB2312" w:cs="Times New Roman"/>
                <w:color w:val="auto"/>
                <w:kern w:val="0"/>
                <w:sz w:val="21"/>
                <w:szCs w:val="21"/>
                <w:lang w:val="en-US" w:eastAsia="zh-CN"/>
              </w:rPr>
              <w:t>1F</w:t>
            </w:r>
          </w:p>
        </w:tc>
        <w:tc>
          <w:tcPr>
            <w:tcW w:w="564"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lang w:eastAsia="zh-CN"/>
              </w:rPr>
            </w:pPr>
          </w:p>
        </w:tc>
        <w:tc>
          <w:tcPr>
            <w:tcW w:w="547"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eastAsia" w:ascii="Times New Roman" w:hAnsi="Times New Roman" w:eastAsia="仿宋_GB2312" w:cs="Times New Roman"/>
                <w:color w:val="auto"/>
                <w:kern w:val="0"/>
                <w:sz w:val="21"/>
                <w:szCs w:val="21"/>
                <w:lang w:val="en-US" w:eastAsia="zh-CN"/>
              </w:rPr>
            </w:pPr>
            <w:r>
              <w:rPr>
                <w:rFonts w:hint="eastAsia" w:eastAsia="仿宋_GB2312" w:cs="Times New Roman"/>
                <w:color w:val="auto"/>
                <w:kern w:val="0"/>
                <w:sz w:val="21"/>
                <w:szCs w:val="21"/>
                <w:lang w:val="en-US" w:eastAsia="zh-CN"/>
              </w:rPr>
              <w:t>6</w:t>
            </w:r>
          </w:p>
        </w:tc>
        <w:tc>
          <w:tcPr>
            <w:tcW w:w="596"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rPr>
            </w:pPr>
            <w:r>
              <w:rPr>
                <w:rFonts w:hint="eastAsia" w:eastAsia="仿宋_GB2312" w:cs="Times New Roman"/>
                <w:color w:val="auto"/>
                <w:kern w:val="0"/>
                <w:sz w:val="21"/>
                <w:szCs w:val="21"/>
                <w:lang w:val="en-US" w:eastAsia="zh-CN"/>
              </w:rPr>
              <w:t>6</w:t>
            </w:r>
          </w:p>
        </w:tc>
        <w:tc>
          <w:tcPr>
            <w:tcW w:w="443"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rPr>
            </w:pPr>
          </w:p>
        </w:tc>
        <w:tc>
          <w:tcPr>
            <w:tcW w:w="604"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rPr>
            </w:pPr>
            <w:r>
              <w:rPr>
                <w:rFonts w:hint="eastAsia" w:eastAsia="仿宋_GB2312" w:cs="Times New Roman"/>
                <w:color w:val="auto"/>
                <w:kern w:val="0"/>
                <w:sz w:val="21"/>
                <w:szCs w:val="21"/>
                <w:lang w:val="en-US" w:eastAsia="zh-CN"/>
              </w:rPr>
              <w:t>6</w:t>
            </w:r>
          </w:p>
        </w:tc>
        <w:tc>
          <w:tcPr>
            <w:tcW w:w="578"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auto"/>
                <w:kern w:val="0"/>
                <w:sz w:val="21"/>
                <w:szCs w:val="21"/>
              </w:rPr>
            </w:pPr>
            <w:r>
              <w:rPr>
                <w:rFonts w:hint="eastAsia" w:eastAsia="仿宋_GB2312" w:cs="Times New Roman"/>
                <w:color w:val="auto"/>
                <w:kern w:val="0"/>
                <w:sz w:val="21"/>
                <w:szCs w:val="21"/>
                <w:lang w:val="en-US" w:eastAsia="zh-CN"/>
              </w:rPr>
              <w:t>6</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仿宋_GB2312" w:cs="Times New Roman"/>
          <w:b/>
          <w:bCs/>
          <w:sz w:val="24"/>
          <w:szCs w:val="24"/>
          <w:lang w:eastAsia="zh-CN"/>
        </w:rPr>
      </w:pPr>
      <w:r>
        <w:rPr>
          <w:rFonts w:hint="default" w:ascii="Times New Roman" w:hAnsi="Times New Roman" w:eastAsia="仿宋_GB2312" w:cs="Times New Roman"/>
          <w:b/>
          <w:bCs/>
          <w:sz w:val="24"/>
          <w:szCs w:val="24"/>
          <w:lang w:eastAsia="zh-CN"/>
        </w:rPr>
        <w:t>（</w:t>
      </w:r>
      <w:r>
        <w:rPr>
          <w:rFonts w:hint="default" w:ascii="Times New Roman" w:hAnsi="Times New Roman" w:eastAsia="仿宋_GB2312" w:cs="Times New Roman"/>
          <w:b/>
          <w:bCs/>
          <w:sz w:val="24"/>
          <w:szCs w:val="24"/>
          <w:lang w:val="en-US" w:eastAsia="zh-CN"/>
        </w:rPr>
        <w:t>2</w:t>
      </w:r>
      <w:r>
        <w:rPr>
          <w:rFonts w:hint="default" w:ascii="Times New Roman" w:hAnsi="Times New Roman" w:eastAsia="仿宋_GB2312" w:cs="Times New Roman"/>
          <w:b/>
          <w:bCs/>
          <w:sz w:val="24"/>
          <w:szCs w:val="24"/>
          <w:lang w:eastAsia="zh-CN"/>
        </w:rPr>
        <w:t>）道路及地面硬化工程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val="en-US" w:eastAsia="zh-CN"/>
        </w:rPr>
      </w:pPr>
      <w:r>
        <w:rPr>
          <w:rFonts w:hint="eastAsia" w:eastAsia="仿宋_GB2312" w:cs="Times New Roman"/>
          <w:sz w:val="24"/>
          <w:szCs w:val="24"/>
          <w:lang w:val="en-US" w:eastAsia="zh-CN"/>
        </w:rPr>
        <w:t>a）道路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项目规划沿建筑四周修建环形机动车道路和人行硬化路面布置。根据园区设计情况，将园区内道路划分为园区内干路和园区内支路。园区干路路宽9米，</w:t>
      </w:r>
      <w:bookmarkStart w:id="166" w:name="OLE_LINK64"/>
      <w:bookmarkStart w:id="167" w:name="OLE_LINK63"/>
      <w:r>
        <w:rPr>
          <w:rFonts w:hint="default" w:ascii="Times New Roman" w:hAnsi="Times New Roman" w:eastAsia="仿宋_GB2312" w:cs="Times New Roman"/>
          <w:sz w:val="24"/>
          <w:szCs w:val="24"/>
        </w:rPr>
        <w:t>限制车速V≤20km/h</w:t>
      </w:r>
      <w:bookmarkEnd w:id="166"/>
      <w:bookmarkEnd w:id="167"/>
      <w:r>
        <w:rPr>
          <w:rFonts w:hint="default" w:ascii="Times New Roman" w:hAnsi="Times New Roman" w:eastAsia="仿宋_GB2312" w:cs="Times New Roman"/>
          <w:sz w:val="24"/>
          <w:szCs w:val="24"/>
        </w:rPr>
        <w:t>。由于园区内场地及交通运输量的具体情况，项目所设计道路均为单幅路形式。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道路横断面包括以下两种形式：</w:t>
      </w:r>
    </w:p>
    <w:p>
      <w:pPr>
        <w:pStyle w:val="2"/>
        <w:jc w:val="center"/>
        <w:rPr>
          <w:rFonts w:hint="default"/>
          <w:lang w:eastAsia="zh-CN"/>
        </w:rPr>
      </w:pPr>
      <w:r>
        <w:rPr>
          <w:rFonts w:ascii="Times New Roman"/>
        </w:rPr>
        <w:drawing>
          <wp:inline distT="0" distB="0" distL="0" distR="0">
            <wp:extent cx="2289175" cy="1800225"/>
            <wp:effectExtent l="0" t="0" r="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5"/>
                    <a:srcRect/>
                    <a:stretch>
                      <a:fillRect/>
                    </a:stretch>
                  </pic:blipFill>
                  <pic:spPr>
                    <a:xfrm>
                      <a:off x="0" y="0"/>
                      <a:ext cx="2289175" cy="1800225"/>
                    </a:xfrm>
                    <a:prstGeom prst="rect">
                      <a:avLst/>
                    </a:prstGeom>
                    <a:noFill/>
                    <a:ln w="9525">
                      <a:noFill/>
                      <a:miter lim="800000"/>
                      <a:headEnd/>
                      <a:tailEnd/>
                    </a:ln>
                  </pic:spPr>
                </pic:pic>
              </a:graphicData>
            </a:graphic>
          </wp:inline>
        </w:drawing>
      </w:r>
      <w:r>
        <w:rPr>
          <w:rFonts w:ascii="Times New Roman"/>
        </w:rPr>
        <w:drawing>
          <wp:inline distT="0" distB="0" distL="0" distR="0">
            <wp:extent cx="2483485" cy="1800225"/>
            <wp:effectExtent l="0" t="0" r="12065" b="9525"/>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noChangeArrowheads="1"/>
                    </pic:cNvPicPr>
                  </pic:nvPicPr>
                  <pic:blipFill>
                    <a:blip r:embed="rId46"/>
                    <a:srcRect/>
                    <a:stretch>
                      <a:fillRect/>
                    </a:stretch>
                  </pic:blipFill>
                  <pic:spPr>
                    <a:xfrm>
                      <a:off x="0" y="0"/>
                      <a:ext cx="2483485" cy="1800225"/>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路基强度必须达到《城市道路设计规范》（CJJ37-2012）相关要求，该园区道路路槽底回填模量≥30Mpa。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规划园区道路及停车场面积</w:t>
      </w:r>
      <w:r>
        <w:rPr>
          <w:rFonts w:hint="eastAsia" w:ascii="Times New Roman" w:hAnsi="Times New Roman" w:eastAsia="仿宋_GB2312" w:cs="Times New Roman"/>
          <w:sz w:val="24"/>
          <w:szCs w:val="24"/>
        </w:rPr>
        <w:t>79857.96</w:t>
      </w:r>
      <w:r>
        <w:rPr>
          <w:rFonts w:hint="default" w:ascii="Times New Roman" w:hAnsi="Times New Roman" w:eastAsia="仿宋_GB2312" w:cs="Times New Roman"/>
          <w:sz w:val="24"/>
          <w:szCs w:val="24"/>
        </w:rPr>
        <w:t>㎡。停车场铺装结构与邻近路面结构一致，具体路面结构如下：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——园区干路路面结构（</w:t>
      </w:r>
      <w:bookmarkStart w:id="168" w:name="OLE_LINK70"/>
      <w:r>
        <w:rPr>
          <w:rFonts w:hint="default" w:ascii="Times New Roman" w:hAnsi="Times New Roman" w:eastAsia="仿宋_GB2312" w:cs="Times New Roman"/>
          <w:sz w:val="24"/>
          <w:szCs w:val="24"/>
        </w:rPr>
        <w:t>总厚80cm</w:t>
      </w:r>
      <w:bookmarkEnd w:id="168"/>
      <w:r>
        <w:rPr>
          <w:rFonts w:hint="default" w:ascii="Times New Roman" w:hAnsi="Times New Roman" w:eastAsia="仿宋_GB2312"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25cm水泥混凝土路面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40cm石灰粉煤灰砂砾基层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15cm石灰土(12:88)垫层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val="en-US" w:eastAsia="zh-CN"/>
        </w:rPr>
      </w:pPr>
      <w:r>
        <w:rPr>
          <w:rFonts w:hint="eastAsia" w:eastAsia="仿宋_GB2312" w:cs="Times New Roman"/>
          <w:sz w:val="24"/>
          <w:szCs w:val="24"/>
          <w:lang w:val="en-US" w:eastAsia="zh-CN"/>
        </w:rPr>
        <w:t>b）硬化地面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场地内硬化地面行走车辆多为小型车，荷载较小，结构层厚度拟采用</w:t>
      </w:r>
      <w:r>
        <w:rPr>
          <w:rFonts w:hint="eastAsia" w:ascii="Times New Roman" w:hAnsi="Times New Roman" w:eastAsia="仿宋_GB2312" w:cs="Times New Roman"/>
          <w:sz w:val="24"/>
          <w:szCs w:val="24"/>
        </w:rPr>
        <w:t>40</w:t>
      </w:r>
      <w:r>
        <w:rPr>
          <w:rFonts w:hint="default" w:ascii="Times New Roman" w:hAnsi="Times New Roman" w:eastAsia="仿宋_GB2312" w:cs="Times New Roman"/>
          <w:sz w:val="24"/>
          <w:szCs w:val="24"/>
        </w:rPr>
        <w:t>cm，为便于维护和场区环境的整体统一，非机动车停车位的结构与人行硬化路面结构一致。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采用8+2+10cm预制装配式透水砼基层+20级配碎石=40cm</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仿宋_GB2312" w:cs="Times New Roman"/>
          <w:b/>
          <w:bCs/>
          <w:sz w:val="24"/>
          <w:szCs w:val="24"/>
          <w:lang w:eastAsia="zh-CN"/>
        </w:rPr>
      </w:pPr>
      <w:r>
        <w:rPr>
          <w:rFonts w:hint="default" w:ascii="Times New Roman" w:hAnsi="Times New Roman" w:eastAsia="仿宋_GB2312" w:cs="Times New Roman"/>
          <w:b/>
          <w:bCs/>
          <w:sz w:val="24"/>
          <w:szCs w:val="24"/>
          <w:lang w:eastAsia="zh-CN"/>
        </w:rPr>
        <w:t>（</w:t>
      </w:r>
      <w:r>
        <w:rPr>
          <w:rFonts w:hint="default" w:ascii="Times New Roman" w:hAnsi="Times New Roman" w:eastAsia="仿宋_GB2312" w:cs="Times New Roman"/>
          <w:b/>
          <w:bCs/>
          <w:sz w:val="24"/>
          <w:szCs w:val="24"/>
          <w:lang w:val="en-US" w:eastAsia="zh-CN"/>
        </w:rPr>
        <w:t>3</w:t>
      </w:r>
      <w:r>
        <w:rPr>
          <w:rFonts w:hint="default" w:ascii="Times New Roman" w:hAnsi="Times New Roman" w:eastAsia="仿宋_GB2312" w:cs="Times New Roman"/>
          <w:b/>
          <w:bCs/>
          <w:sz w:val="24"/>
          <w:szCs w:val="24"/>
          <w:lang w:eastAsia="zh-CN"/>
        </w:rPr>
        <w:t>）绿化工程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项目主要在建筑物和道路周边进行景观绿化，本项目景观绿化面积</w:t>
      </w:r>
      <w:r>
        <w:rPr>
          <w:rFonts w:hint="eastAsia" w:eastAsia="仿宋_GB2312" w:cs="Times New Roman"/>
          <w:color w:val="auto"/>
          <w:sz w:val="24"/>
          <w:szCs w:val="24"/>
          <w:lang w:val="en-US" w:eastAsia="zh-CN"/>
        </w:rPr>
        <w:t>39933.28</w:t>
      </w:r>
      <w:r>
        <w:rPr>
          <w:rFonts w:hint="default" w:ascii="Times New Roman" w:hAnsi="Times New Roman" w:eastAsia="仿宋_GB2312" w:cs="Times New Roman"/>
          <w:sz w:val="24"/>
          <w:szCs w:val="24"/>
        </w:rPr>
        <w:t>㎡，绿地率19.</w:t>
      </w:r>
      <w:r>
        <w:rPr>
          <w:rFonts w:hint="eastAsia" w:eastAsia="仿宋_GB2312" w:cs="Times New Roman"/>
          <w:sz w:val="24"/>
          <w:szCs w:val="24"/>
          <w:lang w:val="en-US" w:eastAsia="zh-CN"/>
        </w:rPr>
        <w:t>98</w:t>
      </w:r>
      <w:r>
        <w:rPr>
          <w:rFonts w:hint="default" w:ascii="Times New Roman" w:hAnsi="Times New Roman" w:eastAsia="仿宋_GB2312" w:cs="Times New Roman"/>
          <w:sz w:val="24"/>
          <w:szCs w:val="24"/>
        </w:rPr>
        <w:t>%。本项目坚持点，线，面相结合的绿化原则，尽可能提高项目区内部绿化率，采取乔木，灌木和草坪高中低混值形式，构成立体绿色空间，充分发挥绿地的防护，活动功能和改善环境的作用，以保持产业园区环境优美整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建设内容见表2-</w:t>
      </w:r>
      <w:r>
        <w:rPr>
          <w:rFonts w:hint="default" w:ascii="Times New Roman" w:hAnsi="Times New Roman" w:eastAsia="仿宋_GB2312" w:cs="Times New Roman"/>
          <w:sz w:val="24"/>
          <w:szCs w:val="24"/>
          <w:lang w:val="en-US" w:eastAsia="zh-CN"/>
        </w:rPr>
        <w:t>3</w:t>
      </w:r>
      <w:r>
        <w:rPr>
          <w:rFonts w:hint="default" w:ascii="Times New Roman" w:hAnsi="Times New Roman" w:eastAsia="仿宋_GB2312"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val="0"/>
          <w:spacing w:val="-8"/>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val="0"/>
          <w:spacing w:val="-8"/>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val="0"/>
          <w:spacing w:val="-8"/>
          <w:sz w:val="21"/>
          <w:szCs w:val="21"/>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微软雅黑" w:cs="Times New Roman"/>
          <w:b w:val="0"/>
          <w:bCs w:val="0"/>
          <w:spacing w:val="-8"/>
          <w:sz w:val="21"/>
          <w:szCs w:val="21"/>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微软雅黑" w:cs="Times New Roman"/>
          <w:b w:val="0"/>
          <w:bCs w:val="0"/>
          <w:spacing w:val="-8"/>
          <w:sz w:val="21"/>
          <w:szCs w:val="21"/>
        </w:rPr>
      </w:pPr>
      <w:r>
        <w:rPr>
          <w:rFonts w:hint="default" w:ascii="Times New Roman" w:hAnsi="Times New Roman" w:eastAsia="微软雅黑" w:cs="Times New Roman"/>
          <w:b w:val="0"/>
          <w:bCs w:val="0"/>
          <w:spacing w:val="-8"/>
          <w:sz w:val="21"/>
          <w:szCs w:val="21"/>
          <w:lang w:val="en-US" w:eastAsia="zh-CN"/>
        </w:rPr>
        <w:t xml:space="preserve">表2-3  </w:t>
      </w:r>
      <w:r>
        <w:rPr>
          <w:rFonts w:hint="default" w:ascii="Times New Roman" w:hAnsi="Times New Roman" w:eastAsia="微软雅黑" w:cs="Times New Roman"/>
          <w:b w:val="0"/>
          <w:bCs w:val="0"/>
          <w:spacing w:val="-8"/>
          <w:sz w:val="21"/>
          <w:szCs w:val="21"/>
        </w:rPr>
        <w:t>项目主要技术指标表</w:t>
      </w:r>
    </w:p>
    <w:tbl>
      <w:tblPr>
        <w:tblStyle w:val="88"/>
        <w:tblW w:w="5104"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702"/>
        <w:gridCol w:w="2094"/>
        <w:gridCol w:w="855"/>
        <w:gridCol w:w="2093"/>
        <w:gridCol w:w="287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07"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rPr>
            </w:pPr>
            <w:bookmarkStart w:id="169" w:name="OLE_LINK52"/>
            <w:r>
              <w:rPr>
                <w:rFonts w:hint="default" w:ascii="Times New Roman" w:hAnsi="Times New Roman" w:eastAsia="仿宋_GB2312" w:cs="Times New Roman"/>
                <w:color w:val="000000"/>
                <w:sz w:val="21"/>
                <w:szCs w:val="21"/>
              </w:rPr>
              <w:t>序号</w:t>
            </w:r>
          </w:p>
        </w:tc>
        <w:tc>
          <w:tcPr>
            <w:tcW w:w="1215"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项目</w:t>
            </w:r>
          </w:p>
        </w:tc>
        <w:tc>
          <w:tcPr>
            <w:tcW w:w="496"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单位</w:t>
            </w:r>
          </w:p>
        </w:tc>
        <w:tc>
          <w:tcPr>
            <w:tcW w:w="1214"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指标</w:t>
            </w:r>
          </w:p>
        </w:tc>
        <w:tc>
          <w:tcPr>
            <w:tcW w:w="1666"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07"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1</w:t>
            </w:r>
          </w:p>
        </w:tc>
        <w:tc>
          <w:tcPr>
            <w:tcW w:w="1215"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lang w:val="en-US" w:eastAsia="zh-CN"/>
              </w:rPr>
              <w:t>总用</w:t>
            </w:r>
            <w:r>
              <w:rPr>
                <w:rFonts w:hint="default" w:ascii="Times New Roman" w:hAnsi="Times New Roman" w:eastAsia="仿宋_GB2312" w:cs="Times New Roman"/>
                <w:color w:val="000000"/>
                <w:sz w:val="21"/>
                <w:szCs w:val="21"/>
              </w:rPr>
              <w:t>地面积</w:t>
            </w:r>
          </w:p>
        </w:tc>
        <w:tc>
          <w:tcPr>
            <w:tcW w:w="496"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lang w:eastAsia="zh-CN"/>
              </w:rPr>
            </w:pPr>
            <w:r>
              <w:rPr>
                <w:rFonts w:hint="default" w:ascii="Times New Roman" w:hAnsi="Times New Roman" w:eastAsia="仿宋_GB2312" w:cs="Times New Roman"/>
                <w:color w:val="000000"/>
                <w:sz w:val="21"/>
                <w:szCs w:val="21"/>
                <w:lang w:eastAsia="zh-CN"/>
              </w:rPr>
              <w:t>m²</w:t>
            </w:r>
          </w:p>
        </w:tc>
        <w:tc>
          <w:tcPr>
            <w:tcW w:w="1214"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lang w:eastAsia="zh-CN"/>
              </w:rPr>
            </w:pPr>
            <w:r>
              <w:rPr>
                <w:rFonts w:hint="eastAsia" w:eastAsia="仿宋_GB2312" w:cs="Times New Roman"/>
                <w:color w:val="000000"/>
                <w:sz w:val="21"/>
                <w:szCs w:val="21"/>
                <w:lang w:eastAsia="zh-CN"/>
              </w:rPr>
              <w:t>199833</w:t>
            </w:r>
          </w:p>
        </w:tc>
        <w:tc>
          <w:tcPr>
            <w:tcW w:w="1666"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07"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2</w:t>
            </w:r>
          </w:p>
        </w:tc>
        <w:tc>
          <w:tcPr>
            <w:tcW w:w="1215"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rPr>
            </w:pPr>
            <w:r>
              <w:rPr>
                <w:rFonts w:hint="eastAsia" w:eastAsia="仿宋_GB2312" w:cs="Times New Roman"/>
                <w:color w:val="000000"/>
                <w:sz w:val="21"/>
                <w:szCs w:val="21"/>
                <w:lang w:val="en-US" w:eastAsia="zh-CN"/>
              </w:rPr>
              <w:t>总</w:t>
            </w:r>
            <w:r>
              <w:rPr>
                <w:rFonts w:hint="default" w:ascii="Times New Roman" w:hAnsi="Times New Roman" w:eastAsia="仿宋_GB2312" w:cs="Times New Roman"/>
                <w:color w:val="000000"/>
                <w:sz w:val="21"/>
                <w:szCs w:val="21"/>
                <w:lang w:val="en-US" w:eastAsia="zh-CN"/>
              </w:rPr>
              <w:t>占地</w:t>
            </w:r>
            <w:r>
              <w:rPr>
                <w:rFonts w:hint="default" w:ascii="Times New Roman" w:hAnsi="Times New Roman" w:eastAsia="仿宋_GB2312" w:cs="Times New Roman"/>
                <w:color w:val="000000"/>
                <w:sz w:val="21"/>
                <w:szCs w:val="21"/>
              </w:rPr>
              <w:t>面积</w:t>
            </w:r>
          </w:p>
        </w:tc>
        <w:tc>
          <w:tcPr>
            <w:tcW w:w="496"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lang w:eastAsia="zh-CN"/>
              </w:rPr>
            </w:pPr>
            <w:r>
              <w:rPr>
                <w:rFonts w:hint="default" w:ascii="Times New Roman" w:hAnsi="Times New Roman" w:eastAsia="仿宋_GB2312" w:cs="Times New Roman"/>
                <w:color w:val="000000"/>
                <w:sz w:val="21"/>
                <w:szCs w:val="21"/>
                <w:lang w:eastAsia="zh-CN"/>
              </w:rPr>
              <w:t>m²</w:t>
            </w:r>
          </w:p>
        </w:tc>
        <w:tc>
          <w:tcPr>
            <w:tcW w:w="1214"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lang w:eastAsia="zh-CN"/>
              </w:rPr>
            </w:pPr>
            <w:r>
              <w:rPr>
                <w:rFonts w:hint="eastAsia" w:eastAsia="仿宋_GB2312" w:cs="Times New Roman"/>
                <w:color w:val="000000"/>
                <w:sz w:val="21"/>
                <w:szCs w:val="21"/>
                <w:lang w:eastAsia="zh-CN"/>
              </w:rPr>
              <w:t>80041.76</w:t>
            </w:r>
          </w:p>
        </w:tc>
        <w:tc>
          <w:tcPr>
            <w:tcW w:w="1666"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07"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3</w:t>
            </w:r>
          </w:p>
        </w:tc>
        <w:tc>
          <w:tcPr>
            <w:tcW w:w="1215"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lang w:val="en-US" w:eastAsia="zh-CN"/>
              </w:rPr>
              <w:t>总建筑面积</w:t>
            </w:r>
          </w:p>
        </w:tc>
        <w:tc>
          <w:tcPr>
            <w:tcW w:w="496"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lang w:eastAsia="zh-CN"/>
              </w:rPr>
            </w:pPr>
            <w:r>
              <w:rPr>
                <w:rFonts w:hint="default" w:ascii="Times New Roman" w:hAnsi="Times New Roman" w:eastAsia="仿宋_GB2312" w:cs="Times New Roman"/>
                <w:color w:val="000000"/>
                <w:sz w:val="21"/>
                <w:szCs w:val="21"/>
                <w:lang w:eastAsia="zh-CN"/>
              </w:rPr>
              <w:t>m²</w:t>
            </w:r>
          </w:p>
        </w:tc>
        <w:tc>
          <w:tcPr>
            <w:tcW w:w="1214"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lang w:val="en-US" w:eastAsia="zh-CN"/>
              </w:rPr>
            </w:pPr>
            <w:r>
              <w:rPr>
                <w:rFonts w:hint="eastAsia" w:eastAsia="仿宋_GB2312" w:cs="Times New Roman"/>
                <w:color w:val="000000"/>
                <w:sz w:val="21"/>
                <w:szCs w:val="21"/>
                <w:lang w:val="en-US" w:eastAsia="zh-CN"/>
              </w:rPr>
              <w:t>133523.92</w:t>
            </w:r>
          </w:p>
        </w:tc>
        <w:tc>
          <w:tcPr>
            <w:tcW w:w="1666"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07"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lang w:eastAsia="zh-CN"/>
              </w:rPr>
            </w:pPr>
            <w:r>
              <w:rPr>
                <w:rFonts w:hint="default" w:ascii="Times New Roman" w:hAnsi="Times New Roman" w:eastAsia="仿宋_GB2312" w:cs="Times New Roman"/>
                <w:color w:val="000000"/>
                <w:sz w:val="21"/>
                <w:szCs w:val="21"/>
                <w:lang w:eastAsia="zh-CN"/>
              </w:rPr>
              <w:t>（</w:t>
            </w:r>
            <w:r>
              <w:rPr>
                <w:rFonts w:hint="default" w:ascii="Times New Roman" w:hAnsi="Times New Roman" w:eastAsia="仿宋_GB2312" w:cs="Times New Roman"/>
                <w:color w:val="000000"/>
                <w:sz w:val="21"/>
                <w:szCs w:val="21"/>
                <w:lang w:val="en-US" w:eastAsia="zh-CN"/>
              </w:rPr>
              <w:t>1</w:t>
            </w:r>
            <w:r>
              <w:rPr>
                <w:rFonts w:hint="default" w:ascii="Times New Roman" w:hAnsi="Times New Roman" w:eastAsia="仿宋_GB2312" w:cs="Times New Roman"/>
                <w:color w:val="000000"/>
                <w:sz w:val="21"/>
                <w:szCs w:val="21"/>
                <w:lang w:eastAsia="zh-CN"/>
              </w:rPr>
              <w:t>）</w:t>
            </w:r>
          </w:p>
        </w:tc>
        <w:tc>
          <w:tcPr>
            <w:tcW w:w="1215"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lang w:val="en-US" w:eastAsia="zh-CN"/>
              </w:rPr>
              <w:t>地上</w:t>
            </w:r>
            <w:r>
              <w:rPr>
                <w:rFonts w:hint="default" w:ascii="Times New Roman" w:hAnsi="Times New Roman" w:eastAsia="仿宋_GB2312" w:cs="Times New Roman"/>
                <w:color w:val="000000"/>
                <w:sz w:val="21"/>
                <w:szCs w:val="21"/>
              </w:rPr>
              <w:t>建筑面积</w:t>
            </w:r>
          </w:p>
        </w:tc>
        <w:tc>
          <w:tcPr>
            <w:tcW w:w="496"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lang w:eastAsia="zh-CN"/>
              </w:rPr>
            </w:pPr>
            <w:r>
              <w:rPr>
                <w:rFonts w:hint="default" w:ascii="Times New Roman" w:hAnsi="Times New Roman" w:eastAsia="仿宋_GB2312" w:cs="Times New Roman"/>
                <w:color w:val="000000"/>
                <w:sz w:val="21"/>
                <w:szCs w:val="21"/>
                <w:lang w:eastAsia="zh-CN"/>
              </w:rPr>
              <w:t>m²</w:t>
            </w:r>
          </w:p>
        </w:tc>
        <w:tc>
          <w:tcPr>
            <w:tcW w:w="1214"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lang w:eastAsia="zh-CN"/>
              </w:rPr>
            </w:pPr>
            <w:r>
              <w:rPr>
                <w:rFonts w:hint="eastAsia" w:eastAsia="仿宋_GB2312" w:cs="Times New Roman"/>
                <w:color w:val="000000"/>
                <w:sz w:val="21"/>
                <w:szCs w:val="21"/>
                <w:lang w:eastAsia="zh-CN"/>
              </w:rPr>
              <w:t>132784.35</w:t>
            </w:r>
          </w:p>
        </w:tc>
        <w:tc>
          <w:tcPr>
            <w:tcW w:w="1666"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07"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lang w:eastAsia="zh-CN"/>
              </w:rPr>
            </w:pPr>
            <w:r>
              <w:rPr>
                <w:rFonts w:hint="default" w:ascii="Times New Roman" w:hAnsi="Times New Roman" w:eastAsia="仿宋_GB2312" w:cs="Times New Roman"/>
                <w:color w:val="000000"/>
                <w:sz w:val="21"/>
                <w:szCs w:val="21"/>
                <w:lang w:eastAsia="zh-CN"/>
              </w:rPr>
              <w:t>（</w:t>
            </w:r>
            <w:r>
              <w:rPr>
                <w:rFonts w:hint="default" w:ascii="Times New Roman" w:hAnsi="Times New Roman" w:eastAsia="仿宋_GB2312" w:cs="Times New Roman"/>
                <w:color w:val="000000"/>
                <w:sz w:val="21"/>
                <w:szCs w:val="21"/>
                <w:lang w:val="en-US" w:eastAsia="zh-CN"/>
              </w:rPr>
              <w:t>2</w:t>
            </w:r>
            <w:r>
              <w:rPr>
                <w:rFonts w:hint="default" w:ascii="Times New Roman" w:hAnsi="Times New Roman" w:eastAsia="仿宋_GB2312" w:cs="Times New Roman"/>
                <w:color w:val="000000"/>
                <w:sz w:val="21"/>
                <w:szCs w:val="21"/>
                <w:lang w:eastAsia="zh-CN"/>
              </w:rPr>
              <w:t>）</w:t>
            </w:r>
          </w:p>
        </w:tc>
        <w:tc>
          <w:tcPr>
            <w:tcW w:w="1215"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lang w:val="en-US" w:eastAsia="zh-CN"/>
              </w:rPr>
              <w:t>半地下建筑面积</w:t>
            </w:r>
          </w:p>
        </w:tc>
        <w:tc>
          <w:tcPr>
            <w:tcW w:w="496"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lang w:eastAsia="zh-CN"/>
              </w:rPr>
            </w:pPr>
            <w:r>
              <w:rPr>
                <w:rFonts w:hint="default" w:ascii="Times New Roman" w:hAnsi="Times New Roman" w:eastAsia="仿宋_GB2312" w:cs="Times New Roman"/>
                <w:color w:val="000000"/>
                <w:sz w:val="21"/>
                <w:szCs w:val="21"/>
                <w:lang w:eastAsia="zh-CN"/>
              </w:rPr>
              <w:t>m²</w:t>
            </w:r>
          </w:p>
        </w:tc>
        <w:tc>
          <w:tcPr>
            <w:tcW w:w="1214"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lang w:val="en-US" w:eastAsia="zh-CN"/>
              </w:rPr>
            </w:pPr>
            <w:r>
              <w:rPr>
                <w:rFonts w:hint="eastAsia" w:eastAsia="仿宋_GB2312" w:cs="Times New Roman"/>
                <w:color w:val="000000"/>
                <w:sz w:val="21"/>
                <w:szCs w:val="21"/>
                <w:lang w:val="en-US" w:eastAsia="zh-CN"/>
              </w:rPr>
              <w:t>739.57</w:t>
            </w:r>
          </w:p>
        </w:tc>
        <w:tc>
          <w:tcPr>
            <w:tcW w:w="1666"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07"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lang w:val="en-US" w:eastAsia="zh-CN"/>
              </w:rPr>
              <w:t>4</w:t>
            </w:r>
          </w:p>
        </w:tc>
        <w:tc>
          <w:tcPr>
            <w:tcW w:w="1215"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kern w:val="0"/>
                <w:szCs w:val="28"/>
                <w:lang w:val="zh-CN"/>
              </w:rPr>
              <w:t>道路</w:t>
            </w:r>
            <w:r>
              <w:rPr>
                <w:rFonts w:hint="default" w:ascii="Times New Roman" w:hAnsi="Times New Roman" w:eastAsia="仿宋_GB2312" w:cs="Times New Roman"/>
                <w:color w:val="000000"/>
                <w:kern w:val="0"/>
                <w:szCs w:val="28"/>
              </w:rPr>
              <w:t>及</w:t>
            </w:r>
            <w:r>
              <w:rPr>
                <w:rFonts w:hint="default" w:ascii="Times New Roman" w:hAnsi="Times New Roman" w:eastAsia="仿宋_GB2312" w:cs="Times New Roman"/>
                <w:color w:val="000000"/>
                <w:kern w:val="0"/>
                <w:szCs w:val="28"/>
                <w:lang w:val="zh-CN"/>
              </w:rPr>
              <w:t>硬化面积</w:t>
            </w:r>
          </w:p>
        </w:tc>
        <w:tc>
          <w:tcPr>
            <w:tcW w:w="496"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lang w:eastAsia="zh-CN"/>
              </w:rPr>
            </w:pPr>
            <w:r>
              <w:rPr>
                <w:rFonts w:hint="default" w:ascii="Times New Roman" w:hAnsi="Times New Roman" w:eastAsia="仿宋_GB2312" w:cs="Times New Roman"/>
                <w:color w:val="000000"/>
                <w:sz w:val="21"/>
                <w:szCs w:val="21"/>
                <w:lang w:eastAsia="zh-CN"/>
              </w:rPr>
              <w:t>m²</w:t>
            </w:r>
          </w:p>
        </w:tc>
        <w:tc>
          <w:tcPr>
            <w:tcW w:w="1214"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lang w:eastAsia="zh-CN"/>
              </w:rPr>
            </w:pPr>
            <w:r>
              <w:rPr>
                <w:rFonts w:hint="eastAsia" w:eastAsia="仿宋_GB2312" w:cs="Times New Roman"/>
                <w:color w:val="000000"/>
                <w:sz w:val="21"/>
                <w:szCs w:val="21"/>
                <w:lang w:eastAsia="zh-CN"/>
              </w:rPr>
              <w:t>79857.96</w:t>
            </w:r>
          </w:p>
        </w:tc>
        <w:tc>
          <w:tcPr>
            <w:tcW w:w="1666"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07"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lang w:eastAsia="zh-CN"/>
              </w:rPr>
            </w:pPr>
            <w:r>
              <w:rPr>
                <w:rFonts w:hint="default" w:ascii="Times New Roman" w:hAnsi="Times New Roman" w:eastAsia="仿宋_GB2312" w:cs="Times New Roman"/>
                <w:color w:val="000000"/>
                <w:sz w:val="21"/>
                <w:szCs w:val="21"/>
                <w:lang w:val="en-US" w:eastAsia="zh-CN"/>
              </w:rPr>
              <w:t>5</w:t>
            </w:r>
          </w:p>
        </w:tc>
        <w:tc>
          <w:tcPr>
            <w:tcW w:w="1215"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绿化面积</w:t>
            </w:r>
          </w:p>
        </w:tc>
        <w:tc>
          <w:tcPr>
            <w:tcW w:w="496"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lang w:eastAsia="zh-CN"/>
              </w:rPr>
            </w:pPr>
            <w:r>
              <w:rPr>
                <w:rFonts w:hint="default" w:ascii="Times New Roman" w:hAnsi="Times New Roman" w:eastAsia="仿宋_GB2312" w:cs="Times New Roman"/>
                <w:color w:val="000000"/>
                <w:sz w:val="21"/>
                <w:szCs w:val="21"/>
                <w:lang w:eastAsia="zh-CN"/>
              </w:rPr>
              <w:t>m²</w:t>
            </w:r>
          </w:p>
        </w:tc>
        <w:tc>
          <w:tcPr>
            <w:tcW w:w="1214"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lang w:eastAsia="zh-CN"/>
              </w:rPr>
            </w:pPr>
            <w:r>
              <w:rPr>
                <w:rFonts w:hint="eastAsia" w:eastAsia="仿宋_GB2312" w:cs="Times New Roman"/>
                <w:color w:val="000000"/>
                <w:sz w:val="21"/>
                <w:szCs w:val="21"/>
                <w:lang w:eastAsia="zh-CN"/>
              </w:rPr>
              <w:t>39933.28</w:t>
            </w:r>
          </w:p>
        </w:tc>
        <w:tc>
          <w:tcPr>
            <w:tcW w:w="1666"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07"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lang w:eastAsia="zh-CN"/>
              </w:rPr>
            </w:pPr>
            <w:r>
              <w:rPr>
                <w:rFonts w:hint="default" w:ascii="Times New Roman" w:hAnsi="Times New Roman" w:eastAsia="仿宋_GB2312" w:cs="Times New Roman"/>
                <w:color w:val="000000"/>
                <w:sz w:val="21"/>
                <w:szCs w:val="21"/>
                <w:lang w:val="en-US" w:eastAsia="zh-CN"/>
              </w:rPr>
              <w:t>6</w:t>
            </w:r>
          </w:p>
        </w:tc>
        <w:tc>
          <w:tcPr>
            <w:tcW w:w="1215"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容积率</w:t>
            </w:r>
          </w:p>
        </w:tc>
        <w:tc>
          <w:tcPr>
            <w:tcW w:w="496"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w:t>
            </w:r>
          </w:p>
        </w:tc>
        <w:tc>
          <w:tcPr>
            <w:tcW w:w="1214"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lang w:eastAsia="zh-CN"/>
              </w:rPr>
            </w:pPr>
            <w:r>
              <w:rPr>
                <w:rFonts w:hint="eastAsia" w:eastAsia="仿宋_GB2312" w:cs="Times New Roman"/>
                <w:color w:val="000000"/>
                <w:sz w:val="21"/>
                <w:szCs w:val="21"/>
                <w:lang w:eastAsia="zh-CN"/>
              </w:rPr>
              <w:t>0.94</w:t>
            </w:r>
          </w:p>
        </w:tc>
        <w:tc>
          <w:tcPr>
            <w:tcW w:w="1666"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计算容积率时，超过8m单层建筑按双层建筑面积计算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07"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lang w:eastAsia="zh-CN"/>
              </w:rPr>
            </w:pPr>
            <w:r>
              <w:rPr>
                <w:rFonts w:hint="default" w:ascii="Times New Roman" w:hAnsi="Times New Roman" w:eastAsia="仿宋_GB2312" w:cs="Times New Roman"/>
                <w:color w:val="000000"/>
                <w:sz w:val="21"/>
                <w:szCs w:val="21"/>
                <w:lang w:val="en-US" w:eastAsia="zh-CN"/>
              </w:rPr>
              <w:t>7</w:t>
            </w:r>
          </w:p>
        </w:tc>
        <w:tc>
          <w:tcPr>
            <w:tcW w:w="1215"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建筑密度</w:t>
            </w:r>
          </w:p>
        </w:tc>
        <w:tc>
          <w:tcPr>
            <w:tcW w:w="496"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w:t>
            </w:r>
          </w:p>
        </w:tc>
        <w:tc>
          <w:tcPr>
            <w:tcW w:w="1214"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lang w:eastAsia="zh-CN"/>
              </w:rPr>
            </w:pPr>
            <w:r>
              <w:rPr>
                <w:rFonts w:hint="eastAsia" w:eastAsia="仿宋_GB2312" w:cs="Times New Roman"/>
                <w:color w:val="000000"/>
                <w:sz w:val="21"/>
                <w:szCs w:val="21"/>
                <w:lang w:eastAsia="zh-CN"/>
              </w:rPr>
              <w:t>40.05</w:t>
            </w:r>
          </w:p>
        </w:tc>
        <w:tc>
          <w:tcPr>
            <w:tcW w:w="1666"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07"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lang w:eastAsia="zh-CN"/>
              </w:rPr>
            </w:pPr>
            <w:r>
              <w:rPr>
                <w:rFonts w:hint="default" w:ascii="Times New Roman" w:hAnsi="Times New Roman" w:eastAsia="仿宋_GB2312" w:cs="Times New Roman"/>
                <w:color w:val="000000"/>
                <w:sz w:val="21"/>
                <w:szCs w:val="21"/>
                <w:lang w:val="en-US" w:eastAsia="zh-CN"/>
              </w:rPr>
              <w:t>8</w:t>
            </w:r>
          </w:p>
        </w:tc>
        <w:tc>
          <w:tcPr>
            <w:tcW w:w="1215"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绿化率</w:t>
            </w:r>
          </w:p>
        </w:tc>
        <w:tc>
          <w:tcPr>
            <w:tcW w:w="496"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w:t>
            </w:r>
          </w:p>
        </w:tc>
        <w:tc>
          <w:tcPr>
            <w:tcW w:w="1214"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lang w:eastAsia="zh-CN"/>
              </w:rPr>
            </w:pPr>
            <w:r>
              <w:rPr>
                <w:rFonts w:hint="eastAsia" w:eastAsia="仿宋_GB2312" w:cs="Times New Roman"/>
                <w:color w:val="000000"/>
                <w:sz w:val="21"/>
                <w:szCs w:val="21"/>
                <w:lang w:eastAsia="zh-CN"/>
              </w:rPr>
              <w:t>19.98</w:t>
            </w:r>
          </w:p>
        </w:tc>
        <w:tc>
          <w:tcPr>
            <w:tcW w:w="1666"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07"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lang w:eastAsia="zh-CN"/>
              </w:rPr>
            </w:pPr>
            <w:r>
              <w:rPr>
                <w:rFonts w:hint="default" w:ascii="Times New Roman" w:hAnsi="Times New Roman" w:eastAsia="仿宋_GB2312" w:cs="Times New Roman"/>
                <w:color w:val="000000"/>
                <w:sz w:val="21"/>
                <w:szCs w:val="21"/>
                <w:lang w:val="en-US" w:eastAsia="zh-CN"/>
              </w:rPr>
              <w:t>9</w:t>
            </w:r>
          </w:p>
        </w:tc>
        <w:tc>
          <w:tcPr>
            <w:tcW w:w="1215"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lang w:val="en-US" w:eastAsia="zh-CN"/>
              </w:rPr>
              <w:t>机动车</w:t>
            </w:r>
            <w:r>
              <w:rPr>
                <w:rFonts w:hint="default" w:ascii="Times New Roman" w:hAnsi="Times New Roman" w:eastAsia="仿宋_GB2312" w:cs="Times New Roman"/>
                <w:color w:val="000000"/>
                <w:sz w:val="21"/>
                <w:szCs w:val="21"/>
              </w:rPr>
              <w:t>停车位</w:t>
            </w:r>
          </w:p>
        </w:tc>
        <w:tc>
          <w:tcPr>
            <w:tcW w:w="496"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个</w:t>
            </w:r>
          </w:p>
        </w:tc>
        <w:tc>
          <w:tcPr>
            <w:tcW w:w="1214"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lang w:val="en-US" w:eastAsia="zh-CN"/>
              </w:rPr>
            </w:pPr>
            <w:r>
              <w:rPr>
                <w:rFonts w:hint="eastAsia" w:eastAsia="仿宋_GB2312" w:cs="Times New Roman"/>
                <w:color w:val="000000"/>
                <w:sz w:val="21"/>
                <w:szCs w:val="21"/>
                <w:lang w:val="en-US" w:eastAsia="zh-CN"/>
              </w:rPr>
              <w:t>153</w:t>
            </w:r>
          </w:p>
        </w:tc>
        <w:tc>
          <w:tcPr>
            <w:tcW w:w="1666"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07"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lang w:val="en-US" w:eastAsia="zh-CN"/>
              </w:rPr>
              <w:t>10</w:t>
            </w:r>
          </w:p>
        </w:tc>
        <w:tc>
          <w:tcPr>
            <w:tcW w:w="1215"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lang w:val="en-US" w:eastAsia="zh-CN"/>
              </w:rPr>
              <w:t>非机动车停车位</w:t>
            </w:r>
          </w:p>
        </w:tc>
        <w:tc>
          <w:tcPr>
            <w:tcW w:w="496"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个</w:t>
            </w:r>
          </w:p>
        </w:tc>
        <w:tc>
          <w:tcPr>
            <w:tcW w:w="1214"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lang w:val="en-US" w:eastAsia="zh-CN"/>
              </w:rPr>
            </w:pPr>
            <w:r>
              <w:rPr>
                <w:rFonts w:hint="eastAsia" w:eastAsia="仿宋_GB2312" w:cs="Times New Roman"/>
                <w:color w:val="000000"/>
                <w:sz w:val="21"/>
                <w:szCs w:val="21"/>
                <w:lang w:val="en-US" w:eastAsia="zh-CN"/>
              </w:rPr>
              <w:t>232</w:t>
            </w:r>
          </w:p>
        </w:tc>
        <w:tc>
          <w:tcPr>
            <w:tcW w:w="1666"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rPr>
            </w:pPr>
          </w:p>
        </w:tc>
      </w:tr>
      <w:bookmarkEnd w:id="169"/>
    </w:tbl>
    <w:p>
      <w:pPr>
        <w:pStyle w:val="6"/>
        <w:bidi w:val="0"/>
        <w:rPr>
          <w:rFonts w:hint="default" w:ascii="Times New Roman" w:hAnsi="Times New Roman" w:cs="Times New Roman"/>
        </w:rPr>
      </w:pPr>
      <w:r>
        <w:rPr>
          <w:rFonts w:hint="default" w:ascii="Times New Roman" w:hAnsi="Times New Roman" w:cs="Times New Roman"/>
        </w:rPr>
        <w:t>2.1.4竖向布置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场地地貌单元为波状台地，地势西高东低、北高南低，自然高程为230～250米，东西高差约10</w:t>
      </w:r>
      <w:r>
        <w:rPr>
          <w:rFonts w:hint="eastAsia" w:eastAsia="仿宋_GB2312" w:cs="Times New Roman"/>
          <w:sz w:val="24"/>
          <w:szCs w:val="24"/>
          <w:highlight w:val="none"/>
          <w:lang w:val="en-US" w:eastAsia="zh-CN"/>
        </w:rPr>
        <w:t>m</w:t>
      </w:r>
      <w:r>
        <w:rPr>
          <w:rFonts w:hint="eastAsia" w:ascii="Times New Roman" w:hAnsi="Times New Roman" w:eastAsia="仿宋_GB2312" w:cs="Times New Roman"/>
          <w:sz w:val="24"/>
          <w:szCs w:val="24"/>
          <w:highlight w:val="none"/>
          <w:lang w:eastAsia="zh-CN"/>
        </w:rPr>
        <w:t>，</w:t>
      </w:r>
      <w:r>
        <w:rPr>
          <w:rFonts w:hint="eastAsia" w:ascii="Times New Roman" w:hAnsi="Times New Roman" w:eastAsia="仿宋_GB2312" w:cs="Times New Roman"/>
          <w:sz w:val="24"/>
          <w:szCs w:val="24"/>
          <w:highlight w:val="none"/>
          <w:lang w:val="en-US" w:eastAsia="zh-CN"/>
        </w:rPr>
        <w:t>设计标高234.75~241.95m。</w:t>
      </w:r>
      <w:r>
        <w:rPr>
          <w:rFonts w:hint="default" w:ascii="Times New Roman" w:hAnsi="Times New Roman" w:eastAsia="仿宋_GB2312" w:cs="Times New Roman"/>
          <w:sz w:val="24"/>
          <w:szCs w:val="24"/>
          <w:highlight w:val="none"/>
        </w:rPr>
        <w:t>场地在满足工艺需求的前提下，根据场地现有自然地形及外部主要连接市政道路标高，以减少土方量、顺接外部联系道路及市政重力流管线的原则，</w:t>
      </w:r>
      <w:commentRangeStart w:id="2"/>
      <w:commentRangeStart w:id="3"/>
      <w:r>
        <w:rPr>
          <w:rFonts w:hint="default" w:ascii="Times New Roman" w:hAnsi="Times New Roman" w:eastAsia="仿宋_GB2312" w:cs="Times New Roman"/>
          <w:sz w:val="24"/>
          <w:szCs w:val="24"/>
          <w:highlight w:val="none"/>
        </w:rPr>
        <w:t>场地竖向采用台阶式布局，从西向东由高到低设置5个台地</w:t>
      </w:r>
      <w:commentRangeEnd w:id="2"/>
      <w:r>
        <w:commentReference w:id="2"/>
      </w:r>
      <w:commentRangeEnd w:id="3"/>
      <w:r>
        <w:commentReference w:id="3"/>
      </w:r>
      <w:r>
        <w:rPr>
          <w:rFonts w:hint="default" w:ascii="Times New Roman" w:hAnsi="Times New Roman" w:eastAsia="仿宋_GB2312" w:cs="Times New Roman"/>
          <w:sz w:val="24"/>
          <w:szCs w:val="24"/>
          <w:highlight w:val="none"/>
        </w:rPr>
        <w:t>，场区道路最大纵坡不超过8%，满足规范相关要求。</w:t>
      </w:r>
    </w:p>
    <w:p>
      <w:pPr>
        <w:pStyle w:val="6"/>
        <w:bidi w:val="0"/>
        <w:rPr>
          <w:rFonts w:hint="default" w:ascii="Times New Roman" w:hAnsi="Times New Roman" w:cs="Times New Roman"/>
        </w:rPr>
      </w:pPr>
      <w:r>
        <w:rPr>
          <w:rFonts w:hint="default" w:ascii="Times New Roman" w:hAnsi="Times New Roman" w:cs="Times New Roman"/>
        </w:rPr>
        <w:t>2.1.5公用工程</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仿宋_GB2312" w:cs="Times New Roman"/>
          <w:b/>
          <w:bCs/>
          <w:sz w:val="24"/>
          <w:szCs w:val="24"/>
          <w:lang w:val="en-US" w:eastAsia="zh-CN"/>
        </w:rPr>
      </w:pPr>
      <w:r>
        <w:rPr>
          <w:rFonts w:hint="default" w:ascii="Times New Roman" w:hAnsi="Times New Roman" w:eastAsia="仿宋_GB2312" w:cs="Times New Roman"/>
          <w:b/>
          <w:bCs/>
          <w:sz w:val="24"/>
          <w:szCs w:val="24"/>
          <w:lang w:val="en-US" w:eastAsia="zh-CN"/>
        </w:rPr>
        <w:t>（1）供水系统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highlight w:val="none"/>
          <w:lang w:val="en-US" w:eastAsia="zh-CN"/>
        </w:rPr>
      </w:pPr>
      <w:r>
        <w:rPr>
          <w:rFonts w:hint="default" w:ascii="Times New Roman" w:hAnsi="Times New Roman" w:eastAsia="仿宋_GB2312" w:cs="Times New Roman"/>
          <w:sz w:val="24"/>
          <w:szCs w:val="24"/>
          <w:highlight w:val="none"/>
          <w:lang w:val="en-US" w:eastAsia="zh-CN"/>
        </w:rPr>
        <w:t>项目用水主要是生活用水，消防用水，水源</w:t>
      </w:r>
      <w:r>
        <w:rPr>
          <w:rFonts w:hint="default" w:ascii="Times New Roman" w:hAnsi="Times New Roman" w:eastAsia="仿宋_GB2312" w:cs="Times New Roman"/>
          <w:sz w:val="24"/>
          <w:szCs w:val="24"/>
          <w:highlight w:val="none"/>
        </w:rPr>
        <w:t>引自A地块给水管网</w:t>
      </w:r>
      <w:r>
        <w:rPr>
          <w:rFonts w:hint="default" w:ascii="Times New Roman" w:hAnsi="Times New Roman" w:eastAsia="仿宋_GB2312" w:cs="Times New Roman"/>
          <w:sz w:val="24"/>
          <w:szCs w:val="24"/>
          <w:highlight w:val="none"/>
          <w:lang w:val="en-US" w:eastAsia="zh-CN"/>
        </w:rPr>
        <w:t>，</w:t>
      </w:r>
      <w:r>
        <w:rPr>
          <w:rFonts w:hint="default" w:ascii="Times New Roman" w:hAnsi="Times New Roman" w:eastAsia="仿宋_GB2312" w:cs="Times New Roman"/>
          <w:sz w:val="24"/>
          <w:szCs w:val="24"/>
          <w:highlight w:val="none"/>
        </w:rPr>
        <w:t>进户管径为DN300。给水管道室外埋深2.0m，采用PE管，室内采用PP-R给水管，热熔连接。</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仿宋_GB2312" w:cs="Times New Roman"/>
          <w:b/>
          <w:bCs/>
          <w:sz w:val="24"/>
          <w:szCs w:val="24"/>
          <w:lang w:val="en-US" w:eastAsia="zh-CN"/>
        </w:rPr>
      </w:pPr>
      <w:r>
        <w:rPr>
          <w:rFonts w:hint="default" w:ascii="Times New Roman" w:hAnsi="Times New Roman" w:eastAsia="仿宋_GB2312" w:cs="Times New Roman"/>
          <w:b/>
          <w:bCs/>
          <w:sz w:val="24"/>
          <w:szCs w:val="24"/>
          <w:lang w:val="en-US" w:eastAsia="zh-CN"/>
        </w:rPr>
        <w:t>（2）排水系统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highlight w:val="none"/>
          <w:lang w:val="en-US" w:eastAsia="zh-CN"/>
        </w:rPr>
      </w:pPr>
      <w:r>
        <w:rPr>
          <w:rFonts w:hint="default" w:ascii="Times New Roman" w:hAnsi="Times New Roman" w:eastAsia="仿宋_GB2312" w:cs="Times New Roman"/>
          <w:sz w:val="24"/>
          <w:szCs w:val="24"/>
          <w:highlight w:val="none"/>
          <w:lang w:val="en-US" w:eastAsia="zh-CN"/>
        </w:rPr>
        <w:t>该园区排水主要为生产，生活污水及雨水，生活污水通过建筑内的排水管收集汇入地下排污管线，排入园区污水处理站，经集中处理达标后，排入市政管网。项目雨水由排水网直接排入水政雨水管网内</w:t>
      </w:r>
      <w:r>
        <w:rPr>
          <w:rFonts w:hint="eastAsia" w:ascii="Times New Roman" w:hAnsi="Times New Roman" w:eastAsia="仿宋_GB2312" w:cs="Times New Roman"/>
          <w:sz w:val="24"/>
          <w:szCs w:val="24"/>
          <w:highlight w:val="none"/>
          <w:lang w:val="en-US" w:eastAsia="zh-CN"/>
        </w:rPr>
        <w:t>，排水管内底标高高程为230.7，雨水管内底标高高程为232.06</w:t>
      </w:r>
      <w:r>
        <w:rPr>
          <w:rFonts w:hint="default" w:ascii="Times New Roman" w:hAnsi="Times New Roman" w:eastAsia="仿宋_GB2312" w:cs="Times New Roman"/>
          <w:sz w:val="24"/>
          <w:szCs w:val="24"/>
          <w:highlight w:val="none"/>
          <w:lang w:val="en-US" w:eastAsia="zh-CN"/>
        </w:rPr>
        <w:t>。雨水管线采用DN500，污水管线采用DN350。</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eastAsia="zh-CN"/>
        </w:rPr>
        <w:t>场区内雨水排入选址区域东侧英凯大街市政雨水管线DN1000，污水排入选址区域东侧英凯大街市政污水管线DN600。项目场区排水外网沿场区道路方向敷设。管材选用钢筋混凝土管，接口采用承插口橡胶圈，</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仿宋_GB2312" w:cs="Times New Roman"/>
          <w:b/>
          <w:bCs/>
          <w:sz w:val="24"/>
          <w:szCs w:val="24"/>
          <w:lang w:val="en-US" w:eastAsia="zh-CN"/>
        </w:rPr>
      </w:pPr>
      <w:r>
        <w:rPr>
          <w:rFonts w:hint="default" w:ascii="Times New Roman" w:hAnsi="Times New Roman" w:eastAsia="仿宋_GB2312" w:cs="Times New Roman"/>
          <w:b/>
          <w:bCs/>
          <w:sz w:val="24"/>
          <w:szCs w:val="24"/>
          <w:lang w:val="en-US" w:eastAsia="zh-CN"/>
        </w:rPr>
        <w:t>（3）供电系统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eastAsia="zh-CN"/>
        </w:rPr>
        <w:t>项目用电主要为生产用电及照明用电及生活用电。用电接口位于项目</w:t>
      </w:r>
      <w:r>
        <w:rPr>
          <w:rFonts w:hint="default" w:ascii="Times New Roman" w:hAnsi="Times New Roman" w:eastAsia="仿宋_GB2312" w:cs="Times New Roman"/>
          <w:spacing w:val="1"/>
          <w:sz w:val="24"/>
          <w:szCs w:val="24"/>
          <w:highlight w:val="none"/>
        </w:rPr>
        <w:t>英凯大街</w:t>
      </w:r>
      <w:r>
        <w:rPr>
          <w:rFonts w:hint="default" w:ascii="Times New Roman" w:hAnsi="Times New Roman" w:eastAsia="仿宋_GB2312" w:cs="Times New Roman"/>
          <w:sz w:val="24"/>
          <w:szCs w:val="24"/>
          <w:lang w:eastAsia="zh-CN"/>
        </w:rPr>
        <w:t>上变电所一路10kV供电线路提供。柴油发电机组作为备用电源，电源采用三相五线制，电压等级为380/220V。</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仿宋_GB2312" w:cs="Times New Roman"/>
          <w:b/>
          <w:bCs/>
          <w:sz w:val="24"/>
          <w:szCs w:val="24"/>
          <w:lang w:val="en-US" w:eastAsia="zh-CN"/>
        </w:rPr>
      </w:pPr>
      <w:r>
        <w:rPr>
          <w:rFonts w:hint="default" w:ascii="Times New Roman" w:hAnsi="Times New Roman" w:eastAsia="仿宋_GB2312" w:cs="Times New Roman"/>
          <w:b/>
          <w:bCs/>
          <w:sz w:val="24"/>
          <w:szCs w:val="24"/>
          <w:lang w:val="en-US" w:eastAsia="zh-CN"/>
        </w:rPr>
        <w:t>（4）供热系统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eastAsia="zh-CN"/>
        </w:rPr>
        <w:t>项目采用集中供热，热源从选址区域规划集中供热锅炉提供，供热管网引入设备用房内换热站，换热站位于</w:t>
      </w:r>
      <w:r>
        <w:rPr>
          <w:rFonts w:hint="eastAsia" w:ascii="Times New Roman" w:hAnsi="Times New Roman" w:eastAsia="仿宋_GB2312" w:cs="Times New Roman"/>
          <w:sz w:val="24"/>
          <w:szCs w:val="24"/>
          <w:lang w:eastAsia="zh-CN"/>
        </w:rPr>
        <w:t>设备用房</w:t>
      </w:r>
      <w:r>
        <w:rPr>
          <w:rFonts w:hint="default" w:ascii="Times New Roman" w:hAnsi="Times New Roman" w:eastAsia="仿宋_GB2312" w:cs="Times New Roman"/>
          <w:sz w:val="24"/>
          <w:szCs w:val="24"/>
          <w:lang w:eastAsia="zh-CN"/>
        </w:rPr>
        <w:t>处，进户管径DN200，采暖热媒为热水。区内供热管线敷设规模为DN125管线1400m。项目场区内热力外网沿场区道路方向敷设。供热管材选用钢管，管网采取地下直埋方式敷设，保温材料采用硬质聚氨酯泡沫塑料，外防护为两布三油玻璃钢。</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仿宋_GB2312" w:cs="Times New Roman"/>
          <w:b/>
          <w:bCs/>
          <w:sz w:val="24"/>
          <w:szCs w:val="24"/>
          <w:lang w:val="en-US" w:eastAsia="zh-CN"/>
        </w:rPr>
      </w:pPr>
      <w:r>
        <w:rPr>
          <w:rFonts w:hint="default" w:ascii="Times New Roman" w:hAnsi="Times New Roman" w:eastAsia="仿宋_GB2312" w:cs="Times New Roman"/>
          <w:b/>
          <w:bCs/>
          <w:sz w:val="24"/>
          <w:szCs w:val="24"/>
          <w:lang w:val="en-US" w:eastAsia="zh-CN"/>
        </w:rPr>
        <w:t>（5）燃气系统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eastAsia="zh-CN"/>
        </w:rPr>
        <w:t>本项目餐饮中心采用天然气，引自A地块的DN200的燃气管网，管道压力0.2~0.4MPa，入场管网沿东西向就近采用DN200管直埋敷设至园区内中压调压柜，经调压后送至用气单元。中压调压柜位于</w:t>
      </w:r>
      <w:r>
        <w:rPr>
          <w:rFonts w:hint="eastAsia" w:ascii="Times New Roman" w:hAnsi="Times New Roman" w:eastAsia="仿宋_GB2312" w:cs="Times New Roman"/>
          <w:sz w:val="24"/>
          <w:szCs w:val="24"/>
          <w:lang w:val="en-US" w:eastAsia="zh-CN"/>
        </w:rPr>
        <w:t>A地块的</w:t>
      </w:r>
      <w:r>
        <w:rPr>
          <w:rFonts w:hint="eastAsia" w:ascii="Times New Roman" w:hAnsi="Times New Roman" w:eastAsia="仿宋_GB2312" w:cs="Times New Roman"/>
          <w:sz w:val="24"/>
          <w:szCs w:val="24"/>
          <w:lang w:eastAsia="zh-CN"/>
        </w:rPr>
        <w:t>综合楼</w:t>
      </w:r>
      <w:r>
        <w:rPr>
          <w:rFonts w:hint="default" w:ascii="Times New Roman" w:hAnsi="Times New Roman" w:eastAsia="仿宋_GB2312" w:cs="Times New Roman"/>
          <w:sz w:val="24"/>
          <w:szCs w:val="24"/>
          <w:lang w:eastAsia="zh-CN"/>
        </w:rPr>
        <w:t>负一层。</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仿宋_GB2312" w:cs="Times New Roman"/>
          <w:b/>
          <w:bCs/>
          <w:sz w:val="24"/>
          <w:szCs w:val="24"/>
          <w:lang w:val="en-US" w:eastAsia="zh-CN"/>
        </w:rPr>
      </w:pPr>
      <w:r>
        <w:rPr>
          <w:rFonts w:hint="default" w:ascii="Times New Roman" w:hAnsi="Times New Roman" w:eastAsia="仿宋_GB2312" w:cs="Times New Roman"/>
          <w:b/>
          <w:bCs/>
          <w:sz w:val="24"/>
          <w:szCs w:val="24"/>
          <w:lang w:val="en-US" w:eastAsia="zh-CN"/>
        </w:rPr>
        <w:t>（6）</w:t>
      </w:r>
      <w:r>
        <w:rPr>
          <w:rFonts w:hint="eastAsia" w:eastAsia="仿宋_GB2312" w:cs="Times New Roman"/>
          <w:b/>
          <w:bCs/>
          <w:sz w:val="24"/>
          <w:szCs w:val="24"/>
          <w:lang w:val="en-US" w:eastAsia="zh-CN"/>
        </w:rPr>
        <w:t>通讯系统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eastAsia="zh-CN"/>
        </w:rPr>
        <w:t>场址附近现有通讯及宽带网，可供本项目使用，通讯发达，有线电话，移动电话等通讯设施均已覆盖项目区，接口位于项目建设位置东侧英凯大街上</w:t>
      </w:r>
      <w:r>
        <w:rPr>
          <w:rFonts w:hint="eastAsia" w:ascii="Times New Roman" w:hAnsi="Times New Roman" w:eastAsia="仿宋_GB2312" w:cs="Times New Roman"/>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仿宋_GB2312" w:cs="Times New Roman"/>
          <w:b/>
          <w:bCs/>
          <w:sz w:val="24"/>
          <w:szCs w:val="24"/>
          <w:lang w:val="en-US" w:eastAsia="zh-CN"/>
        </w:rPr>
      </w:pPr>
      <w:r>
        <w:rPr>
          <w:rFonts w:hint="eastAsia" w:eastAsia="仿宋_GB2312" w:cs="Times New Roman"/>
          <w:b/>
          <w:bCs/>
          <w:sz w:val="24"/>
          <w:szCs w:val="24"/>
          <w:lang w:val="en-US" w:eastAsia="zh-CN"/>
        </w:rPr>
        <w:t>（7）</w:t>
      </w:r>
      <w:r>
        <w:rPr>
          <w:rFonts w:hint="default" w:ascii="Times New Roman" w:hAnsi="Times New Roman" w:eastAsia="仿宋_GB2312" w:cs="Times New Roman"/>
          <w:b/>
          <w:bCs/>
          <w:sz w:val="24"/>
          <w:szCs w:val="24"/>
          <w:lang w:val="en-US" w:eastAsia="zh-CN"/>
        </w:rPr>
        <w:t>项目内外交通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eastAsia="zh-CN"/>
        </w:rPr>
        <w:t>本期</w:t>
      </w:r>
      <w:r>
        <w:rPr>
          <w:rFonts w:hint="default" w:ascii="Times New Roman" w:hAnsi="Times New Roman" w:eastAsia="仿宋_GB2312" w:cs="Times New Roman"/>
          <w:sz w:val="24"/>
          <w:szCs w:val="24"/>
        </w:rPr>
        <w:t>项目区紧邻既有市政道路，</w:t>
      </w:r>
      <w:r>
        <w:rPr>
          <w:rFonts w:hint="default" w:ascii="Times New Roman" w:hAnsi="Times New Roman" w:eastAsia="仿宋_GB2312" w:cs="Times New Roman"/>
          <w:sz w:val="24"/>
          <w:szCs w:val="24"/>
          <w:lang w:eastAsia="zh-CN"/>
        </w:rPr>
        <w:t>英俊东街</w:t>
      </w:r>
      <w:r>
        <w:rPr>
          <w:rFonts w:hint="default" w:ascii="Times New Roman" w:hAnsi="Times New Roman" w:eastAsia="仿宋_GB2312" w:cs="Times New Roman"/>
          <w:sz w:val="24"/>
          <w:szCs w:val="24"/>
        </w:rPr>
        <w:t>可直接利用。工程建设内部道路采用永临结合的方式，能够满足</w:t>
      </w:r>
      <w:r>
        <w:rPr>
          <w:rFonts w:hint="default" w:ascii="Times New Roman" w:hAnsi="Times New Roman" w:eastAsia="仿宋_GB2312" w:cs="Times New Roman"/>
          <w:sz w:val="24"/>
          <w:szCs w:val="24"/>
          <w:lang w:eastAsia="zh-CN"/>
        </w:rPr>
        <w:t>本期项目</w:t>
      </w:r>
      <w:r>
        <w:rPr>
          <w:rFonts w:hint="default" w:ascii="Times New Roman" w:hAnsi="Times New Roman" w:eastAsia="仿宋_GB2312" w:cs="Times New Roman"/>
          <w:sz w:val="24"/>
          <w:szCs w:val="24"/>
        </w:rPr>
        <w:t>施工期间各种材料的运输，工程施工期间不需修建其它外部施工道路。</w:t>
      </w:r>
    </w:p>
    <w:p>
      <w:pPr>
        <w:pStyle w:val="5"/>
        <w:bidi w:val="0"/>
        <w:rPr>
          <w:rFonts w:hint="default" w:ascii="Times New Roman" w:hAnsi="Times New Roman" w:cs="Times New Roman"/>
        </w:rPr>
      </w:pPr>
      <w:bookmarkStart w:id="170" w:name="_Toc19120"/>
      <w:bookmarkStart w:id="171" w:name="_Toc7299"/>
      <w:bookmarkStart w:id="172" w:name="_Toc3387"/>
      <w:bookmarkStart w:id="173" w:name="_Toc387325524"/>
      <w:r>
        <w:rPr>
          <w:rFonts w:hint="default" w:ascii="Times New Roman" w:hAnsi="Times New Roman" w:cs="Times New Roman"/>
        </w:rPr>
        <w:t>2.2施工组织</w:t>
      </w:r>
      <w:bookmarkEnd w:id="170"/>
      <w:bookmarkEnd w:id="171"/>
      <w:bookmarkEnd w:id="172"/>
      <w:bookmarkEnd w:id="173"/>
    </w:p>
    <w:p>
      <w:pPr>
        <w:pStyle w:val="6"/>
        <w:bidi w:val="0"/>
        <w:rPr>
          <w:rFonts w:hint="default" w:ascii="Times New Roman" w:hAnsi="Times New Roman" w:cs="Times New Roman"/>
          <w:lang w:val="en-US" w:eastAsia="zh-CN"/>
        </w:rPr>
      </w:pPr>
      <w:r>
        <w:rPr>
          <w:rFonts w:hint="default" w:ascii="Times New Roman" w:hAnsi="Times New Roman" w:cs="Times New Roman"/>
        </w:rPr>
        <w:t>2.2.1</w:t>
      </w:r>
      <w:r>
        <w:rPr>
          <w:rFonts w:hint="default" w:ascii="Times New Roman" w:hAnsi="Times New Roman" w:cs="Times New Roman"/>
          <w:lang w:val="en-US" w:eastAsia="zh-CN"/>
        </w:rPr>
        <w:t>施工布置</w:t>
      </w:r>
    </w:p>
    <w:p>
      <w:pPr>
        <w:pStyle w:val="8"/>
        <w:keepNext/>
        <w:keepLines/>
        <w:pageBreakBefore w:val="0"/>
        <w:widowControl w:val="0"/>
        <w:numPr>
          <w:ilvl w:val="0"/>
          <w:numId w:val="0"/>
        </w:numPr>
        <w:tabs>
          <w:tab w:val="clear" w:pos="864"/>
        </w:tabs>
        <w:kinsoku/>
        <w:wordWrap/>
        <w:overflowPunct/>
        <w:topLinePunct w:val="0"/>
        <w:autoSpaceDE/>
        <w:autoSpaceDN/>
        <w:bidi w:val="0"/>
        <w:adjustRightInd w:val="0"/>
        <w:snapToGrid/>
        <w:spacing w:line="360" w:lineRule="auto"/>
        <w:ind w:leftChars="0" w:firstLine="482" w:firstLineChars="200"/>
        <w:textAlignment w:val="baseline"/>
        <w:rPr>
          <w:rFonts w:hint="default" w:ascii="Times New Roman" w:hAnsi="Times New Roman" w:eastAsia="仿宋_GB2312" w:cs="Times New Roman"/>
          <w:b/>
          <w:bCs/>
          <w:i w:val="0"/>
          <w:iCs w:val="0"/>
          <w:sz w:val="24"/>
          <w:szCs w:val="24"/>
          <w:lang w:val="en-US" w:eastAsia="zh-CN"/>
        </w:rPr>
      </w:pPr>
      <w:r>
        <w:rPr>
          <w:rFonts w:hint="default" w:ascii="Times New Roman" w:hAnsi="Times New Roman" w:eastAsia="仿宋_GB2312" w:cs="Times New Roman"/>
          <w:b/>
          <w:bCs/>
          <w:i w:val="0"/>
          <w:iCs w:val="0"/>
          <w:sz w:val="24"/>
          <w:szCs w:val="24"/>
          <w:lang w:val="en-US" w:eastAsia="zh-CN"/>
        </w:rPr>
        <w:t>2.2.1.1施工生产生活区布设</w:t>
      </w:r>
    </w:p>
    <w:p>
      <w:pPr>
        <w:pageBreakBefore w:val="0"/>
        <w:kinsoku/>
        <w:wordWrap/>
        <w:bidi w:val="0"/>
        <w:spacing w:line="360" w:lineRule="auto"/>
        <w:ind w:firstLine="480" w:firstLineChars="200"/>
        <w:rPr>
          <w:rFonts w:hint="default" w:ascii="Times New Roman" w:hAnsi="Times New Roman" w:eastAsia="仿宋_GB2312" w:cs="Times New Roman"/>
          <w:color w:val="auto"/>
          <w:sz w:val="24"/>
          <w:highlight w:val="none"/>
          <w:lang w:eastAsia="zh-CN"/>
        </w:rPr>
      </w:pPr>
      <w:bookmarkStart w:id="174" w:name="_Hlk78795630"/>
      <w:r>
        <w:rPr>
          <w:rFonts w:hint="default" w:ascii="Times New Roman" w:hAnsi="Times New Roman" w:eastAsia="仿宋_GB2312" w:cs="Times New Roman"/>
          <w:color w:val="auto"/>
          <w:sz w:val="24"/>
          <w:highlight w:val="none"/>
          <w:lang w:eastAsia="zh-CN"/>
        </w:rPr>
        <w:t>根据现场调查，本期项目施工生产生活区位于场区</w:t>
      </w:r>
      <w:r>
        <w:rPr>
          <w:rFonts w:hint="default" w:ascii="Times New Roman" w:hAnsi="Times New Roman" w:eastAsia="仿宋_GB2312" w:cs="Times New Roman"/>
          <w:color w:val="auto"/>
          <w:sz w:val="24"/>
          <w:highlight w:val="none"/>
          <w:lang w:val="en-US" w:eastAsia="zh-CN"/>
        </w:rPr>
        <w:t>北</w:t>
      </w:r>
      <w:r>
        <w:rPr>
          <w:rFonts w:hint="default" w:ascii="Times New Roman" w:hAnsi="Times New Roman" w:eastAsia="仿宋_GB2312" w:cs="Times New Roman"/>
          <w:color w:val="auto"/>
          <w:sz w:val="24"/>
          <w:highlight w:val="none"/>
          <w:lang w:eastAsia="zh-CN"/>
        </w:rPr>
        <w:t>侧，占地面积</w:t>
      </w:r>
      <w:r>
        <w:rPr>
          <w:rFonts w:hint="eastAsia" w:eastAsia="仿宋_GB2312" w:cs="Times New Roman"/>
          <w:color w:val="auto"/>
          <w:sz w:val="24"/>
          <w:highlight w:val="none"/>
          <w:lang w:val="en-US" w:eastAsia="zh-CN"/>
        </w:rPr>
        <w:t>0.30</w:t>
      </w:r>
      <w:r>
        <w:rPr>
          <w:rFonts w:hint="default" w:ascii="Times New Roman" w:hAnsi="Times New Roman" w:eastAsia="仿宋_GB2312" w:cs="Times New Roman"/>
          <w:color w:val="auto"/>
          <w:sz w:val="24"/>
          <w:highlight w:val="none"/>
          <w:lang w:val="en-US" w:eastAsia="zh-CN"/>
        </w:rPr>
        <w:t>hm</w:t>
      </w:r>
      <w:r>
        <w:rPr>
          <w:rFonts w:hint="default" w:ascii="Times New Roman" w:hAnsi="Times New Roman" w:eastAsia="仿宋_GB2312" w:cs="Times New Roman"/>
          <w:color w:val="auto"/>
          <w:sz w:val="24"/>
          <w:highlight w:val="none"/>
          <w:vertAlign w:val="superscript"/>
          <w:lang w:val="en-US" w:eastAsia="zh-CN"/>
        </w:rPr>
        <w:t>2</w:t>
      </w:r>
      <w:r>
        <w:rPr>
          <w:rFonts w:hint="default" w:ascii="Times New Roman" w:hAnsi="Times New Roman" w:eastAsia="仿宋_GB2312" w:cs="Times New Roman"/>
          <w:color w:val="auto"/>
          <w:sz w:val="24"/>
          <w:highlight w:val="none"/>
          <w:lang w:val="en-US" w:eastAsia="zh-CN"/>
        </w:rPr>
        <w:t>，生活</w:t>
      </w:r>
      <w:r>
        <w:rPr>
          <w:rFonts w:hint="default" w:ascii="Times New Roman" w:hAnsi="Times New Roman" w:eastAsia="仿宋_GB2312" w:cs="Times New Roman"/>
          <w:color w:val="auto"/>
          <w:sz w:val="24"/>
          <w:highlight w:val="none"/>
          <w:lang w:eastAsia="zh-CN"/>
        </w:rPr>
        <w:t>区为简易彩钢房，施工结束后进行拆除。</w:t>
      </w:r>
      <w:bookmarkEnd w:id="174"/>
    </w:p>
    <w:p>
      <w:pPr>
        <w:pStyle w:val="152"/>
        <w:jc w:val="center"/>
        <w:rPr>
          <w:rFonts w:hint="eastAsia" w:ascii="Times New Roman" w:hAnsi="Times New Roman" w:eastAsia="宋体" w:cs="Times New Roman"/>
          <w:lang w:eastAsia="zh-CN"/>
        </w:rPr>
      </w:pPr>
      <w:r>
        <w:rPr>
          <w:rFonts w:hint="default" w:ascii="Times New Roman" w:hAnsi="Times New Roman" w:cs="Times New Roman"/>
          <w:sz w:val="24"/>
        </w:rPr>
        <mc:AlternateContent>
          <mc:Choice Requires="wps">
            <w:drawing>
              <wp:anchor distT="0" distB="0" distL="114300" distR="114300" simplePos="0" relativeHeight="251684864" behindDoc="0" locked="0" layoutInCell="1" allowOverlap="1">
                <wp:simplePos x="0" y="0"/>
                <wp:positionH relativeFrom="column">
                  <wp:posOffset>3604260</wp:posOffset>
                </wp:positionH>
                <wp:positionV relativeFrom="paragraph">
                  <wp:posOffset>1579880</wp:posOffset>
                </wp:positionV>
                <wp:extent cx="1130300" cy="314325"/>
                <wp:effectExtent l="5080" t="4445" r="7620" b="81280"/>
                <wp:wrapNone/>
                <wp:docPr id="139" name="自选图形 877"/>
                <wp:cNvGraphicFramePr/>
                <a:graphic xmlns:a="http://schemas.openxmlformats.org/drawingml/2006/main">
                  <a:graphicData uri="http://schemas.microsoft.com/office/word/2010/wordprocessingShape">
                    <wps:wsp>
                      <wps:cNvSpPr/>
                      <wps:spPr>
                        <a:xfrm>
                          <a:off x="0" y="0"/>
                          <a:ext cx="1130300" cy="314325"/>
                        </a:xfrm>
                        <a:prstGeom prst="wedgeRectCallout">
                          <a:avLst>
                            <a:gd name="adj1" fmla="val -43750"/>
                            <a:gd name="adj2" fmla="val 70000"/>
                          </a:avLst>
                        </a:prstGeom>
                        <a:solidFill>
                          <a:schemeClr val="bg1"/>
                        </a:solidFill>
                        <a:ln w="9525" cap="flat" cmpd="sng">
                          <a:solidFill>
                            <a:srgbClr val="FF0000"/>
                          </a:solidFill>
                          <a:prstDash val="solid"/>
                          <a:miter/>
                          <a:headEnd type="none" w="med" len="med"/>
                          <a:tailEnd type="none" w="med" len="med"/>
                        </a:ln>
                      </wps:spPr>
                      <wps:txbx>
                        <w:txbxContent>
                          <w:p>
                            <w:pPr>
                              <w:rPr>
                                <w:rFonts w:hint="default" w:ascii="Times New Roman" w:hAnsi="Times New Roman" w:eastAsia="仿宋_GB2312" w:cs="Times New Roman"/>
                                <w:color w:val="auto"/>
                                <w:lang w:val="en-US" w:eastAsia="zh-CN"/>
                              </w:rPr>
                            </w:pPr>
                            <w:r>
                              <w:rPr>
                                <w:rFonts w:hint="eastAsia" w:eastAsia="仿宋_GB2312" w:cs="Times New Roman"/>
                                <w:color w:val="auto"/>
                                <w:lang w:val="en-US" w:eastAsia="zh-CN"/>
                              </w:rPr>
                              <w:t>施工生产生活区</w:t>
                            </w:r>
                          </w:p>
                        </w:txbxContent>
                      </wps:txbx>
                      <wps:bodyPr vert="horz" wrap="square" anchor="t" anchorCtr="0" upright="1"/>
                    </wps:wsp>
                  </a:graphicData>
                </a:graphic>
              </wp:anchor>
            </w:drawing>
          </mc:Choice>
          <mc:Fallback>
            <w:pict>
              <v:shape id="自选图形 877" o:spid="_x0000_s1026" o:spt="61" type="#_x0000_t61" style="position:absolute;left:0pt;margin-left:283.8pt;margin-top:124.4pt;height:24.75pt;width:89pt;z-index:251684864;mso-width-relative:page;mso-height-relative:page;" fillcolor="#FFFFFF [3212]" filled="t" stroked="t" coordsize="21600,21600" o:gfxdata="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mibqL&#10;2AAAAAsBAAAPAAAAAAAAAAEAIAAAACIAAABkcnMvZG93bnJldi54bWxQSwECFAAUAAAACACHTuJA&#10;jY2O/1oCAADEBAAADgAAAAAAAAABACAAAAAnAQAAZHJzL2Uyb0RvYy54bWxQSwUGAAAAAAYABgBZ&#10;AQAA8wUAAAAA&#10;" adj="1350,25920">
                <v:fill on="t" focussize="0,0"/>
                <v:stroke color="#FF0000" joinstyle="miter"/>
                <v:imagedata o:title=""/>
                <o:lock v:ext="edit" aspectratio="f"/>
                <v:textbox>
                  <w:txbxContent>
                    <w:p>
                      <w:pPr>
                        <w:rPr>
                          <w:rFonts w:hint="default" w:ascii="Times New Roman" w:hAnsi="Times New Roman" w:eastAsia="仿宋_GB2312" w:cs="Times New Roman"/>
                          <w:color w:val="auto"/>
                          <w:lang w:val="en-US" w:eastAsia="zh-CN"/>
                        </w:rPr>
                      </w:pPr>
                      <w:r>
                        <w:rPr>
                          <w:rFonts w:hint="eastAsia" w:eastAsia="仿宋_GB2312" w:cs="Times New Roman"/>
                          <w:color w:val="auto"/>
                          <w:lang w:val="en-US" w:eastAsia="zh-CN"/>
                        </w:rPr>
                        <w:t>施工生产生活区</w:t>
                      </w:r>
                    </w:p>
                  </w:txbxContent>
                </v:textbox>
              </v:shape>
            </w:pict>
          </mc:Fallback>
        </mc:AlternateContent>
      </w:r>
      <w:r>
        <w:rPr>
          <w:rFonts w:hint="eastAsia" w:ascii="Times New Roman" w:hAnsi="Times New Roman" w:eastAsia="宋体" w:cs="Times New Roman"/>
          <w:lang w:eastAsia="zh-CN"/>
        </w:rPr>
        <w:drawing>
          <wp:inline distT="0" distB="0" distL="114300" distR="114300">
            <wp:extent cx="5255895" cy="4411345"/>
            <wp:effectExtent l="0" t="0" r="1905" b="8255"/>
            <wp:docPr id="22" name="图片 22" descr="2023.05.23 B地块总平面图(规划)_t3 B地块总平面图 (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2023.05.23 B地块总平面图(规划)_t3 B地块总平面图 (1)_00"/>
                    <pic:cNvPicPr>
                      <a:picLocks noChangeAspect="1"/>
                    </pic:cNvPicPr>
                  </pic:nvPicPr>
                  <pic:blipFill>
                    <a:blip r:embed="rId47"/>
                    <a:srcRect l="7716" r="8039"/>
                    <a:stretch>
                      <a:fillRect/>
                    </a:stretch>
                  </pic:blipFill>
                  <pic:spPr>
                    <a:xfrm>
                      <a:off x="0" y="0"/>
                      <a:ext cx="5255895" cy="44113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微软雅黑" w:cs="Times New Roman"/>
          <w:b w:val="0"/>
          <w:bCs w:val="0"/>
          <w:spacing w:val="-8"/>
          <w:sz w:val="21"/>
          <w:szCs w:val="21"/>
          <w:lang w:val="en-US" w:eastAsia="zh-CN"/>
        </w:rPr>
      </w:pPr>
      <w:r>
        <w:rPr>
          <w:rFonts w:hint="eastAsia" w:ascii="Times New Roman" w:hAnsi="Times New Roman" w:eastAsia="微软雅黑" w:cs="Times New Roman"/>
          <w:b w:val="0"/>
          <w:bCs w:val="0"/>
          <w:spacing w:val="-8"/>
          <w:sz w:val="21"/>
          <w:szCs w:val="21"/>
          <w:lang w:val="en-US" w:eastAsia="zh-CN"/>
        </w:rPr>
        <w:t>图2-3  施工生产生活区位置示意图</w:t>
      </w:r>
    </w:p>
    <w:p>
      <w:pPr>
        <w:pStyle w:val="8"/>
        <w:keepNext/>
        <w:keepLines/>
        <w:pageBreakBefore w:val="0"/>
        <w:widowControl w:val="0"/>
        <w:numPr>
          <w:ilvl w:val="0"/>
          <w:numId w:val="0"/>
        </w:numPr>
        <w:tabs>
          <w:tab w:val="clear" w:pos="864"/>
        </w:tabs>
        <w:kinsoku/>
        <w:wordWrap/>
        <w:overflowPunct/>
        <w:topLinePunct w:val="0"/>
        <w:autoSpaceDE/>
        <w:autoSpaceDN/>
        <w:bidi w:val="0"/>
        <w:adjustRightInd w:val="0"/>
        <w:snapToGrid/>
        <w:spacing w:line="360" w:lineRule="auto"/>
        <w:ind w:leftChars="0" w:firstLine="482" w:firstLineChars="200"/>
        <w:textAlignment w:val="baseline"/>
        <w:rPr>
          <w:rFonts w:hint="default" w:ascii="Times New Roman" w:hAnsi="Times New Roman" w:eastAsia="仿宋_GB2312" w:cs="Times New Roman"/>
          <w:b/>
          <w:bCs/>
          <w:i w:val="0"/>
          <w:iCs w:val="0"/>
          <w:sz w:val="24"/>
          <w:szCs w:val="24"/>
          <w:lang w:val="en-US" w:eastAsia="zh-CN"/>
        </w:rPr>
      </w:pPr>
      <w:r>
        <w:rPr>
          <w:rFonts w:hint="default" w:ascii="Times New Roman" w:hAnsi="Times New Roman" w:eastAsia="仿宋_GB2312" w:cs="Times New Roman"/>
          <w:b/>
          <w:bCs/>
          <w:i w:val="0"/>
          <w:iCs w:val="0"/>
          <w:sz w:val="24"/>
          <w:szCs w:val="24"/>
          <w:lang w:val="en-US" w:eastAsia="zh-CN"/>
        </w:rPr>
        <w:t>2.2.1.2施工道路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eastAsia="zh-CN"/>
        </w:rPr>
        <w:t>本期项目</w:t>
      </w:r>
      <w:r>
        <w:rPr>
          <w:rFonts w:hint="default" w:ascii="Times New Roman" w:hAnsi="Times New Roman" w:eastAsia="仿宋_GB2312" w:cs="Times New Roman"/>
          <w:sz w:val="24"/>
          <w:szCs w:val="24"/>
        </w:rPr>
        <w:t>所在地区交通方便，工程建设区紧邻</w:t>
      </w:r>
      <w:r>
        <w:rPr>
          <w:rFonts w:hint="default" w:ascii="Times New Roman" w:hAnsi="Times New Roman" w:eastAsia="仿宋_GB2312" w:cs="Times New Roman"/>
          <w:sz w:val="24"/>
          <w:szCs w:val="24"/>
          <w:lang w:eastAsia="zh-CN"/>
        </w:rPr>
        <w:t>英俊东街</w:t>
      </w:r>
      <w:r>
        <w:rPr>
          <w:rFonts w:hint="default" w:ascii="Times New Roman" w:hAnsi="Times New Roman" w:eastAsia="仿宋_GB2312" w:cs="Times New Roman"/>
          <w:sz w:val="24"/>
          <w:szCs w:val="24"/>
        </w:rPr>
        <w:t>，完全满足</w:t>
      </w:r>
      <w:r>
        <w:rPr>
          <w:rFonts w:hint="default" w:ascii="Times New Roman" w:hAnsi="Times New Roman" w:eastAsia="仿宋_GB2312" w:cs="Times New Roman"/>
          <w:sz w:val="24"/>
          <w:szCs w:val="24"/>
          <w:lang w:eastAsia="zh-CN"/>
        </w:rPr>
        <w:t>本期项目</w:t>
      </w:r>
      <w:r>
        <w:rPr>
          <w:rFonts w:hint="default" w:ascii="Times New Roman" w:hAnsi="Times New Roman" w:eastAsia="仿宋_GB2312" w:cs="Times New Roman"/>
          <w:sz w:val="24"/>
          <w:szCs w:val="24"/>
        </w:rPr>
        <w:t>施工期间各种材料的运输，工程施工期间不需修建外部施工道路，工程建设区内部道路采用永临结合的方式，施工道路主要沿场区内道路设置，道路宽度为</w:t>
      </w:r>
      <w:r>
        <w:rPr>
          <w:rFonts w:hint="default" w:ascii="Times New Roman" w:hAnsi="Times New Roman" w:eastAsia="仿宋_GB2312" w:cs="Times New Roman"/>
          <w:sz w:val="24"/>
          <w:szCs w:val="24"/>
          <w:lang w:val="en-US" w:eastAsia="zh-CN"/>
        </w:rPr>
        <w:t>6</w:t>
      </w:r>
      <w:r>
        <w:rPr>
          <w:rFonts w:hint="default" w:ascii="Times New Roman" w:hAnsi="Times New Roman" w:eastAsia="仿宋_GB2312" w:cs="Times New Roman"/>
          <w:sz w:val="24"/>
          <w:szCs w:val="24"/>
        </w:rPr>
        <w:t>m，并连接至各个建筑物施工场地、生产生活区，</w:t>
      </w:r>
      <w:r>
        <w:rPr>
          <w:rFonts w:hint="default" w:ascii="Times New Roman" w:hAnsi="Times New Roman" w:eastAsia="仿宋_GB2312" w:cs="Times New Roman"/>
          <w:sz w:val="24"/>
          <w:szCs w:val="24"/>
          <w:lang w:val="en-US" w:eastAsia="zh-CN"/>
        </w:rPr>
        <w:t>满足施工要求。</w:t>
      </w:r>
      <w:r>
        <w:rPr>
          <w:rFonts w:hint="default" w:ascii="Times New Roman" w:hAnsi="Times New Roman" w:eastAsia="仿宋_GB2312" w:cs="Times New Roman"/>
          <w:sz w:val="24"/>
          <w:szCs w:val="24"/>
        </w:rPr>
        <w:t>施工结束后，施工道路区域作为沥青道路铺筑基层使用。</w:t>
      </w:r>
    </w:p>
    <w:p>
      <w:pPr>
        <w:pStyle w:val="8"/>
        <w:keepNext/>
        <w:keepLines/>
        <w:pageBreakBefore w:val="0"/>
        <w:widowControl w:val="0"/>
        <w:numPr>
          <w:ilvl w:val="0"/>
          <w:numId w:val="0"/>
        </w:numPr>
        <w:tabs>
          <w:tab w:val="clear" w:pos="864"/>
        </w:tabs>
        <w:kinsoku/>
        <w:wordWrap/>
        <w:overflowPunct/>
        <w:topLinePunct w:val="0"/>
        <w:autoSpaceDE/>
        <w:autoSpaceDN/>
        <w:bidi w:val="0"/>
        <w:adjustRightInd w:val="0"/>
        <w:snapToGrid/>
        <w:spacing w:line="360" w:lineRule="auto"/>
        <w:ind w:leftChars="0" w:firstLine="482" w:firstLineChars="200"/>
        <w:textAlignment w:val="baseline"/>
        <w:rPr>
          <w:rFonts w:hint="default" w:ascii="Times New Roman" w:hAnsi="Times New Roman" w:eastAsia="仿宋_GB2312" w:cs="Times New Roman"/>
          <w:b/>
          <w:bCs/>
          <w:i w:val="0"/>
          <w:iCs w:val="0"/>
          <w:sz w:val="24"/>
          <w:szCs w:val="24"/>
          <w:highlight w:val="none"/>
          <w:lang w:val="en-US" w:eastAsia="zh-CN"/>
        </w:rPr>
      </w:pPr>
      <w:r>
        <w:rPr>
          <w:rFonts w:hint="default" w:ascii="Times New Roman" w:hAnsi="Times New Roman" w:eastAsia="仿宋_GB2312" w:cs="Times New Roman"/>
          <w:b/>
          <w:bCs/>
          <w:i w:val="0"/>
          <w:iCs w:val="0"/>
          <w:sz w:val="24"/>
          <w:szCs w:val="24"/>
          <w:highlight w:val="none"/>
          <w:lang w:val="en-US" w:eastAsia="zh-CN"/>
        </w:rPr>
        <w:t>2.2.1.3临时堆土区布设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lang w:val="en-US" w:eastAsia="zh-CN"/>
        </w:rPr>
        <w:t>本期项目共布设临时堆土区</w:t>
      </w:r>
      <w:r>
        <w:rPr>
          <w:rFonts w:hint="eastAsia" w:eastAsia="仿宋_GB2312" w:cs="Times New Roman"/>
          <w:sz w:val="24"/>
          <w:szCs w:val="24"/>
          <w:highlight w:val="none"/>
          <w:lang w:val="en-US" w:eastAsia="zh-CN"/>
        </w:rPr>
        <w:t>1</w:t>
      </w:r>
      <w:r>
        <w:rPr>
          <w:rFonts w:hint="default" w:ascii="Times New Roman" w:hAnsi="Times New Roman" w:eastAsia="仿宋_GB2312" w:cs="Times New Roman"/>
          <w:sz w:val="24"/>
          <w:szCs w:val="24"/>
          <w:highlight w:val="none"/>
          <w:lang w:val="en-US" w:eastAsia="zh-CN"/>
        </w:rPr>
        <w:t>个，位于</w:t>
      </w:r>
      <w:r>
        <w:rPr>
          <w:rFonts w:hint="eastAsia" w:eastAsia="仿宋_GB2312" w:cs="Times New Roman"/>
          <w:sz w:val="24"/>
          <w:szCs w:val="24"/>
          <w:highlight w:val="none"/>
          <w:lang w:val="en-US" w:eastAsia="zh-CN"/>
        </w:rPr>
        <w:t>B10</w:t>
      </w:r>
      <w:r>
        <w:rPr>
          <w:rFonts w:hint="default" w:ascii="Times New Roman" w:hAnsi="Times New Roman" w:eastAsia="仿宋_GB2312" w:cs="Times New Roman"/>
          <w:sz w:val="24"/>
          <w:szCs w:val="24"/>
          <w:highlight w:val="none"/>
          <w:lang w:val="en-US" w:eastAsia="zh-CN"/>
        </w:rPr>
        <w:t>#</w:t>
      </w:r>
      <w:r>
        <w:rPr>
          <w:rFonts w:hint="eastAsia" w:eastAsia="仿宋_GB2312" w:cs="Times New Roman"/>
          <w:sz w:val="24"/>
          <w:szCs w:val="24"/>
          <w:highlight w:val="none"/>
          <w:lang w:val="en-US" w:eastAsia="zh-CN"/>
        </w:rPr>
        <w:t>食堂和B3</w:t>
      </w:r>
      <w:r>
        <w:rPr>
          <w:rFonts w:hint="default" w:ascii="Times New Roman" w:hAnsi="Times New Roman" w:eastAsia="仿宋_GB2312" w:cs="Times New Roman"/>
          <w:sz w:val="24"/>
          <w:szCs w:val="24"/>
          <w:highlight w:val="none"/>
          <w:lang w:val="en-US" w:eastAsia="zh-CN"/>
        </w:rPr>
        <w:t>#厂房之间，长</w:t>
      </w:r>
      <w:r>
        <w:rPr>
          <w:rFonts w:hint="eastAsia" w:eastAsia="仿宋_GB2312" w:cs="Times New Roman"/>
          <w:sz w:val="24"/>
          <w:szCs w:val="24"/>
          <w:highlight w:val="none"/>
          <w:lang w:val="en-US" w:eastAsia="zh-CN"/>
        </w:rPr>
        <w:t>73.6</w:t>
      </w:r>
      <w:r>
        <w:rPr>
          <w:rFonts w:hint="default" w:ascii="Times New Roman" w:hAnsi="Times New Roman" w:eastAsia="仿宋_GB2312" w:cs="Times New Roman"/>
          <w:sz w:val="24"/>
          <w:szCs w:val="24"/>
          <w:highlight w:val="none"/>
          <w:lang w:val="en-US" w:eastAsia="zh-CN"/>
        </w:rPr>
        <w:t>m，宽</w:t>
      </w:r>
      <w:r>
        <w:rPr>
          <w:rFonts w:hint="eastAsia" w:eastAsia="仿宋_GB2312" w:cs="Times New Roman"/>
          <w:sz w:val="24"/>
          <w:szCs w:val="24"/>
          <w:highlight w:val="none"/>
          <w:lang w:val="en-US" w:eastAsia="zh-CN"/>
        </w:rPr>
        <w:t>31</w:t>
      </w:r>
      <w:r>
        <w:rPr>
          <w:rFonts w:hint="default" w:ascii="Times New Roman" w:hAnsi="Times New Roman" w:eastAsia="仿宋_GB2312" w:cs="Times New Roman"/>
          <w:sz w:val="24"/>
          <w:szCs w:val="24"/>
          <w:highlight w:val="none"/>
          <w:lang w:val="en-US" w:eastAsia="zh-CN"/>
        </w:rPr>
        <w:t>m，</w:t>
      </w:r>
      <w:r>
        <w:rPr>
          <w:rFonts w:hint="eastAsia" w:eastAsia="仿宋_GB2312" w:cs="Times New Roman"/>
          <w:sz w:val="24"/>
          <w:szCs w:val="24"/>
          <w:highlight w:val="none"/>
          <w:lang w:val="en-US" w:eastAsia="zh-CN"/>
        </w:rPr>
        <w:t>堆放面积2281，</w:t>
      </w:r>
      <w:r>
        <w:rPr>
          <w:rFonts w:hint="default" w:ascii="Times New Roman" w:hAnsi="Times New Roman" w:eastAsia="仿宋_GB2312" w:cs="Times New Roman"/>
          <w:sz w:val="24"/>
          <w:szCs w:val="24"/>
          <w:highlight w:val="none"/>
          <w:lang w:val="en-US" w:eastAsia="zh-CN"/>
        </w:rPr>
        <w:t>堆土高度</w:t>
      </w:r>
      <w:r>
        <w:rPr>
          <w:rFonts w:hint="eastAsia" w:eastAsia="仿宋_GB2312" w:cs="Times New Roman"/>
          <w:sz w:val="24"/>
          <w:szCs w:val="24"/>
          <w:highlight w:val="none"/>
          <w:lang w:val="en-US" w:eastAsia="zh-CN"/>
        </w:rPr>
        <w:t>4</w:t>
      </w:r>
      <w:r>
        <w:rPr>
          <w:rFonts w:hint="default" w:ascii="Times New Roman" w:hAnsi="Times New Roman" w:eastAsia="仿宋_GB2312" w:cs="Times New Roman"/>
          <w:sz w:val="24"/>
          <w:szCs w:val="24"/>
          <w:highlight w:val="none"/>
          <w:lang w:val="en-US" w:eastAsia="zh-CN"/>
        </w:rPr>
        <w:t>m，</w:t>
      </w:r>
      <w:r>
        <w:rPr>
          <w:rFonts w:hint="default" w:ascii="Times New Roman" w:hAnsi="Times New Roman" w:eastAsia="仿宋_GB2312" w:cs="Times New Roman"/>
          <w:sz w:val="24"/>
          <w:szCs w:val="24"/>
          <w:highlight w:val="none"/>
        </w:rPr>
        <w:t>堆土边坡1：1.5，设计容积约</w:t>
      </w:r>
      <w:r>
        <w:rPr>
          <w:rFonts w:hint="eastAsia" w:eastAsia="仿宋_GB2312" w:cs="Times New Roman"/>
          <w:sz w:val="24"/>
          <w:szCs w:val="24"/>
          <w:highlight w:val="none"/>
          <w:lang w:val="en-US" w:eastAsia="zh-CN"/>
        </w:rPr>
        <w:t>0.70</w:t>
      </w:r>
      <w:r>
        <w:rPr>
          <w:rFonts w:hint="default" w:ascii="Times New Roman" w:hAnsi="Times New Roman" w:eastAsia="仿宋_GB2312" w:cs="Times New Roman"/>
          <w:sz w:val="24"/>
          <w:szCs w:val="24"/>
          <w:highlight w:val="none"/>
        </w:rPr>
        <w:t>万m³</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lang w:val="en-US" w:eastAsia="zh-CN"/>
        </w:rPr>
        <w:t>实际堆土量</w:t>
      </w:r>
      <w:r>
        <w:rPr>
          <w:rFonts w:hint="eastAsia" w:eastAsia="仿宋_GB2312" w:cs="Times New Roman"/>
          <w:sz w:val="24"/>
          <w:szCs w:val="24"/>
          <w:highlight w:val="none"/>
          <w:lang w:val="en-US" w:eastAsia="zh-CN"/>
        </w:rPr>
        <w:t>0.69</w:t>
      </w:r>
      <w:r>
        <w:rPr>
          <w:rFonts w:hint="default" w:ascii="Times New Roman" w:hAnsi="Times New Roman" w:eastAsia="仿宋_GB2312" w:cs="Times New Roman"/>
          <w:sz w:val="24"/>
          <w:szCs w:val="24"/>
          <w:highlight w:val="none"/>
        </w:rPr>
        <w:t>万m³</w:t>
      </w:r>
      <w:r>
        <w:rPr>
          <w:rFonts w:hint="eastAsia"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rPr>
        <w:t>管线施工时开挖的土石方临时堆存在管沟一侧，即挖即填，减少了土方倒运。</w:t>
      </w:r>
    </w:p>
    <w:p>
      <w:pPr>
        <w:pStyle w:val="2"/>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rPr>
          <w:rFonts w:hint="eastAsia" w:eastAsia="仿宋_GB2312"/>
          <w:lang w:val="en-US" w:eastAsia="zh-CN"/>
        </w:rPr>
      </w:pPr>
      <w:r>
        <w:rPr>
          <w:rFonts w:hint="default" w:ascii="Times New Roman" w:hAnsi="Times New Roman" w:cs="Times New Roman"/>
          <w:sz w:val="24"/>
        </w:rPr>
        <mc:AlternateContent>
          <mc:Choice Requires="wps">
            <w:drawing>
              <wp:anchor distT="0" distB="0" distL="114300" distR="114300" simplePos="0" relativeHeight="251685888" behindDoc="0" locked="0" layoutInCell="1" allowOverlap="1">
                <wp:simplePos x="0" y="0"/>
                <wp:positionH relativeFrom="column">
                  <wp:posOffset>1950720</wp:posOffset>
                </wp:positionH>
                <wp:positionV relativeFrom="paragraph">
                  <wp:posOffset>1970405</wp:posOffset>
                </wp:positionV>
                <wp:extent cx="884555" cy="314325"/>
                <wp:effectExtent l="5080" t="4445" r="5715" b="81280"/>
                <wp:wrapNone/>
                <wp:docPr id="15" name="自选图形 877"/>
                <wp:cNvGraphicFramePr/>
                <a:graphic xmlns:a="http://schemas.openxmlformats.org/drawingml/2006/main">
                  <a:graphicData uri="http://schemas.microsoft.com/office/word/2010/wordprocessingShape">
                    <wps:wsp>
                      <wps:cNvSpPr/>
                      <wps:spPr>
                        <a:xfrm>
                          <a:off x="0" y="0"/>
                          <a:ext cx="884555" cy="314325"/>
                        </a:xfrm>
                        <a:prstGeom prst="wedgeRectCallout">
                          <a:avLst>
                            <a:gd name="adj1" fmla="val -43750"/>
                            <a:gd name="adj2" fmla="val 70000"/>
                          </a:avLst>
                        </a:prstGeom>
                        <a:solidFill>
                          <a:schemeClr val="bg1"/>
                        </a:solidFill>
                        <a:ln w="9525" cap="flat" cmpd="sng">
                          <a:solidFill>
                            <a:srgbClr val="FF0000"/>
                          </a:solidFill>
                          <a:prstDash val="solid"/>
                          <a:miter/>
                          <a:headEnd type="none" w="med" len="med"/>
                          <a:tailEnd type="none" w="med" len="med"/>
                        </a:ln>
                      </wps:spPr>
                      <wps:txbx>
                        <w:txbxContent>
                          <w:p>
                            <w:pPr>
                              <w:rPr>
                                <w:rFonts w:hint="default" w:ascii="Times New Roman" w:hAnsi="Times New Roman" w:eastAsia="仿宋_GB2312" w:cs="Times New Roman"/>
                                <w:color w:val="auto"/>
                                <w:lang w:val="en-US" w:eastAsia="zh-CN"/>
                              </w:rPr>
                            </w:pPr>
                            <w:r>
                              <w:rPr>
                                <w:rFonts w:hint="eastAsia" w:eastAsia="仿宋_GB2312" w:cs="Times New Roman"/>
                                <w:color w:val="auto"/>
                                <w:lang w:val="en-US" w:eastAsia="zh-CN"/>
                              </w:rPr>
                              <w:t>临时堆土区</w:t>
                            </w:r>
                          </w:p>
                        </w:txbxContent>
                      </wps:txbx>
                      <wps:bodyPr vert="horz" wrap="square" anchor="t" anchorCtr="0" upright="1"/>
                    </wps:wsp>
                  </a:graphicData>
                </a:graphic>
              </wp:anchor>
            </w:drawing>
          </mc:Choice>
          <mc:Fallback>
            <w:pict>
              <v:shape id="自选图形 877" o:spid="_x0000_s1026" o:spt="61" type="#_x0000_t61" style="position:absolute;left:0pt;margin-left:153.6pt;margin-top:155.15pt;height:24.75pt;width:69.65pt;z-index:251685888;mso-width-relative:page;mso-height-relative:page;" fillcolor="#FFFFFF [3212]" filled="t" stroked="t" coordsize="21600,21600" o:gfxdata="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lyAI3dgA&#10;AAALAQAADwAAAAAAAAABACAAAAAiAAAAZHJzL2Rvd25yZXYueG1sUEsBAhQAFAAAAAgAh07iQAfn&#10;MQlYAgAAwgQAAA4AAAAAAAAAAQAgAAAAJwEAAGRycy9lMm9Eb2MueG1sUEsFBgAAAAAGAAYAWQEA&#10;APEFAAAAAA==&#10;" adj="1350,25920">
                <v:fill on="t" focussize="0,0"/>
                <v:stroke color="#FF0000" joinstyle="miter"/>
                <v:imagedata o:title=""/>
                <o:lock v:ext="edit" aspectratio="f"/>
                <v:textbox>
                  <w:txbxContent>
                    <w:p>
                      <w:pPr>
                        <w:rPr>
                          <w:rFonts w:hint="default" w:ascii="Times New Roman" w:hAnsi="Times New Roman" w:eastAsia="仿宋_GB2312" w:cs="Times New Roman"/>
                          <w:color w:val="auto"/>
                          <w:lang w:val="en-US" w:eastAsia="zh-CN"/>
                        </w:rPr>
                      </w:pPr>
                      <w:r>
                        <w:rPr>
                          <w:rFonts w:hint="eastAsia" w:eastAsia="仿宋_GB2312" w:cs="Times New Roman"/>
                          <w:color w:val="auto"/>
                          <w:lang w:val="en-US" w:eastAsia="zh-CN"/>
                        </w:rPr>
                        <w:t>临时堆土区</w:t>
                      </w:r>
                    </w:p>
                  </w:txbxContent>
                </v:textbox>
              </v:shape>
            </w:pict>
          </mc:Fallback>
        </mc:AlternateContent>
      </w:r>
      <w:r>
        <w:rPr>
          <w:rFonts w:hint="eastAsia" w:eastAsia="仿宋_GB2312"/>
          <w:lang w:val="en-US" w:eastAsia="zh-CN"/>
        </w:rPr>
        <w:drawing>
          <wp:inline distT="0" distB="0" distL="114300" distR="114300">
            <wp:extent cx="5255895" cy="4360545"/>
            <wp:effectExtent l="0" t="0" r="1905" b="1905"/>
            <wp:docPr id="14" name="图片 14" descr="2023.05.23 B地块总平面图(规划)_t3 B地块总平面图 (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023.05.23 B地块总平面图(规划)_t3 B地块总平面图 (1)_00"/>
                    <pic:cNvPicPr>
                      <a:picLocks noChangeAspect="1"/>
                    </pic:cNvPicPr>
                  </pic:nvPicPr>
                  <pic:blipFill>
                    <a:blip r:embed="rId48"/>
                    <a:srcRect l="7728" r="7048"/>
                    <a:stretch>
                      <a:fillRect/>
                    </a:stretch>
                  </pic:blipFill>
                  <pic:spPr>
                    <a:xfrm>
                      <a:off x="0" y="0"/>
                      <a:ext cx="5255895" cy="43605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微软雅黑" w:cs="Times New Roman"/>
          <w:b w:val="0"/>
          <w:bCs w:val="0"/>
          <w:spacing w:val="-8"/>
          <w:sz w:val="21"/>
          <w:szCs w:val="21"/>
          <w:lang w:val="en-US" w:eastAsia="zh-CN"/>
        </w:rPr>
      </w:pPr>
      <w:r>
        <w:rPr>
          <w:rFonts w:hint="eastAsia" w:ascii="Times New Roman" w:hAnsi="Times New Roman" w:eastAsia="微软雅黑" w:cs="Times New Roman"/>
          <w:b w:val="0"/>
          <w:bCs w:val="0"/>
          <w:spacing w:val="-8"/>
          <w:sz w:val="21"/>
          <w:szCs w:val="21"/>
          <w:lang w:val="en-US" w:eastAsia="zh-CN"/>
        </w:rPr>
        <w:t>图2-</w:t>
      </w:r>
      <w:r>
        <w:rPr>
          <w:rFonts w:hint="eastAsia" w:eastAsia="微软雅黑" w:cs="Times New Roman"/>
          <w:b w:val="0"/>
          <w:bCs w:val="0"/>
          <w:spacing w:val="-8"/>
          <w:sz w:val="21"/>
          <w:szCs w:val="21"/>
          <w:lang w:val="en-US" w:eastAsia="zh-CN"/>
        </w:rPr>
        <w:t>4</w:t>
      </w:r>
      <w:r>
        <w:rPr>
          <w:rFonts w:hint="eastAsia" w:ascii="Times New Roman" w:hAnsi="Times New Roman" w:eastAsia="微软雅黑" w:cs="Times New Roman"/>
          <w:b w:val="0"/>
          <w:bCs w:val="0"/>
          <w:spacing w:val="-8"/>
          <w:sz w:val="21"/>
          <w:szCs w:val="21"/>
          <w:lang w:val="en-US" w:eastAsia="zh-CN"/>
        </w:rPr>
        <w:t xml:space="preserve">  </w:t>
      </w:r>
      <w:r>
        <w:rPr>
          <w:rFonts w:hint="eastAsia" w:eastAsia="微软雅黑" w:cs="Times New Roman"/>
          <w:b w:val="0"/>
          <w:bCs w:val="0"/>
          <w:spacing w:val="-8"/>
          <w:sz w:val="21"/>
          <w:szCs w:val="21"/>
          <w:lang w:val="en-US" w:eastAsia="zh-CN"/>
        </w:rPr>
        <w:t>临时堆土区</w:t>
      </w:r>
      <w:r>
        <w:rPr>
          <w:rFonts w:hint="eastAsia" w:ascii="Times New Roman" w:hAnsi="Times New Roman" w:eastAsia="微软雅黑" w:cs="Times New Roman"/>
          <w:b w:val="0"/>
          <w:bCs w:val="0"/>
          <w:spacing w:val="-8"/>
          <w:sz w:val="21"/>
          <w:szCs w:val="21"/>
          <w:lang w:val="en-US" w:eastAsia="zh-CN"/>
        </w:rPr>
        <w:t>位置示意图</w:t>
      </w:r>
    </w:p>
    <w:p>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2.2.2施工能力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施工用水：水源引自</w:t>
      </w:r>
      <w:r>
        <w:rPr>
          <w:rFonts w:hint="eastAsia" w:ascii="Times New Roman" w:hAnsi="Times New Roman" w:eastAsia="仿宋_GB2312" w:cs="Times New Roman"/>
          <w:sz w:val="24"/>
          <w:szCs w:val="24"/>
          <w:lang w:val="en-US" w:eastAsia="zh-CN"/>
        </w:rPr>
        <w:t>常德路</w:t>
      </w:r>
      <w:r>
        <w:rPr>
          <w:rFonts w:hint="default" w:ascii="Times New Roman" w:hAnsi="Times New Roman" w:eastAsia="仿宋_GB2312" w:cs="Times New Roman"/>
          <w:sz w:val="24"/>
          <w:szCs w:val="24"/>
          <w:lang w:val="en-US" w:eastAsia="zh-CN"/>
        </w:rPr>
        <w:t>的市政给水管网</w:t>
      </w:r>
      <w:r>
        <w:rPr>
          <w:rFonts w:hint="eastAsia" w:eastAsia="仿宋_GB2312" w:cs="Times New Roman"/>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施工供电：</w:t>
      </w:r>
      <w:r>
        <w:rPr>
          <w:rFonts w:hint="default" w:ascii="Times New Roman" w:hAnsi="Times New Roman" w:eastAsia="仿宋_GB2312" w:cs="Times New Roman"/>
          <w:color w:val="auto"/>
          <w:sz w:val="24"/>
          <w:lang w:eastAsia="zh-CN"/>
        </w:rPr>
        <w:t>本期项目</w:t>
      </w:r>
      <w:r>
        <w:rPr>
          <w:rFonts w:hint="default" w:ascii="Times New Roman" w:hAnsi="Times New Roman" w:eastAsia="仿宋_GB2312" w:cs="Times New Roman"/>
          <w:color w:val="auto"/>
          <w:sz w:val="24"/>
        </w:rPr>
        <w:t>施工用电引自</w:t>
      </w:r>
      <w:r>
        <w:rPr>
          <w:rFonts w:hint="default" w:ascii="Times New Roman" w:hAnsi="Times New Roman" w:eastAsia="仿宋_GB2312" w:cs="Times New Roman"/>
          <w:sz w:val="24"/>
          <w:szCs w:val="24"/>
          <w:lang w:eastAsia="zh-CN"/>
        </w:rPr>
        <w:t>英俊东街</w:t>
      </w:r>
      <w:r>
        <w:rPr>
          <w:rFonts w:hint="default" w:ascii="Times New Roman" w:hAnsi="Times New Roman" w:eastAsia="仿宋_GB2312" w:cs="Times New Roman"/>
          <w:color w:val="auto"/>
          <w:sz w:val="24"/>
        </w:rPr>
        <w:t>10kV电力线路，供电线路由电力部门负责接引，能够满足</w:t>
      </w:r>
      <w:r>
        <w:rPr>
          <w:rFonts w:hint="default" w:ascii="Times New Roman" w:hAnsi="Times New Roman" w:eastAsia="仿宋_GB2312" w:cs="Times New Roman"/>
          <w:color w:val="auto"/>
          <w:sz w:val="24"/>
          <w:lang w:eastAsia="zh-CN"/>
        </w:rPr>
        <w:t>本期项目</w:t>
      </w:r>
      <w:r>
        <w:rPr>
          <w:rFonts w:hint="default" w:ascii="Times New Roman" w:hAnsi="Times New Roman" w:eastAsia="仿宋_GB2312" w:cs="Times New Roman"/>
          <w:color w:val="auto"/>
          <w:sz w:val="24"/>
        </w:rPr>
        <w:t>的用电需求。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施工通讯：</w:t>
      </w:r>
      <w:r>
        <w:rPr>
          <w:rFonts w:hint="default" w:ascii="Times New Roman" w:hAnsi="Times New Roman" w:eastAsia="仿宋_GB2312" w:cs="Times New Roman"/>
          <w:color w:val="auto"/>
          <w:sz w:val="24"/>
          <w:lang w:eastAsia="zh-CN"/>
        </w:rPr>
        <w:t>本期项目</w:t>
      </w:r>
      <w:r>
        <w:rPr>
          <w:rFonts w:hint="default" w:ascii="Times New Roman" w:hAnsi="Times New Roman" w:eastAsia="仿宋_GB2312" w:cs="Times New Roman"/>
          <w:sz w:val="24"/>
          <w:szCs w:val="24"/>
          <w:lang w:val="en-US" w:eastAsia="zh-CN"/>
        </w:rPr>
        <w:t>可利用移动电话进行施工通讯，中国移动、中国联通等网络已覆盖，无线通讯条件较好。</w:t>
      </w:r>
    </w:p>
    <w:p>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2.2.3施工材料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eastAsia="zh-CN"/>
        </w:rPr>
        <w:t>本期项目</w:t>
      </w:r>
      <w:r>
        <w:rPr>
          <w:rFonts w:hint="default" w:ascii="Times New Roman" w:hAnsi="Times New Roman" w:eastAsia="仿宋_GB2312" w:cs="Times New Roman"/>
          <w:sz w:val="24"/>
          <w:szCs w:val="24"/>
        </w:rPr>
        <w:t>所需的砂砾、石料、水泥、钢筋、商砼、苗木等材料均由当地购买，长春市二道区建筑材料齐全，完全满足</w:t>
      </w:r>
      <w:r>
        <w:rPr>
          <w:rFonts w:hint="default" w:ascii="Times New Roman" w:hAnsi="Times New Roman" w:eastAsia="仿宋_GB2312" w:cs="Times New Roman"/>
          <w:sz w:val="24"/>
          <w:szCs w:val="24"/>
          <w:lang w:eastAsia="zh-CN"/>
        </w:rPr>
        <w:t>本期项目</w:t>
      </w:r>
      <w:r>
        <w:rPr>
          <w:rFonts w:hint="default" w:ascii="Times New Roman" w:hAnsi="Times New Roman" w:eastAsia="仿宋_GB2312" w:cs="Times New Roman"/>
          <w:sz w:val="24"/>
          <w:szCs w:val="24"/>
        </w:rPr>
        <w:t>所需。购入的材料在开采过程中破坏水土资源，造成水土流失，在材料购买合同中明确水土流失防治责任由供应商方负责，不纳入本方案的防治责任范围。</w:t>
      </w:r>
    </w:p>
    <w:p>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2.2.4取土（石、料）场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lang w:val="en-US" w:eastAsia="zh-CN"/>
        </w:rPr>
      </w:pPr>
      <w:r>
        <w:rPr>
          <w:rFonts w:hint="default" w:ascii="Times New Roman" w:hAnsi="Times New Roman" w:eastAsia="仿宋_GB2312" w:cs="Times New Roman"/>
          <w:color w:val="auto"/>
          <w:sz w:val="24"/>
          <w:szCs w:val="24"/>
          <w:lang w:val="en-US" w:eastAsia="zh-CN"/>
        </w:rPr>
        <w:t>本期项目不设置取土（石、砂）场。</w:t>
      </w:r>
    </w:p>
    <w:p>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2.2.5弃土（石、料）场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lang w:val="en-US" w:eastAsia="zh-CN"/>
        </w:rPr>
      </w:pPr>
      <w:r>
        <w:rPr>
          <w:rFonts w:hint="default" w:ascii="Times New Roman" w:hAnsi="Times New Roman" w:eastAsia="仿宋_GB2312" w:cs="Times New Roman"/>
          <w:color w:val="auto"/>
          <w:sz w:val="24"/>
          <w:szCs w:val="24"/>
          <w:lang w:val="en-US" w:eastAsia="zh-CN"/>
        </w:rPr>
        <w:t>本期项目布设弃土</w:t>
      </w:r>
      <w:r>
        <w:rPr>
          <w:rFonts w:hint="default" w:ascii="Times New Roman" w:hAnsi="Times New Roman" w:eastAsia="仿宋_GB2312" w:cs="Times New Roman"/>
          <w:color w:val="auto"/>
          <w:sz w:val="24"/>
          <w:szCs w:val="24"/>
          <w:lang w:eastAsia="zh-CN"/>
        </w:rPr>
        <w:t>（石、料）场</w:t>
      </w:r>
      <w:r>
        <w:rPr>
          <w:rFonts w:hint="default" w:ascii="Times New Roman" w:hAnsi="Times New Roman" w:eastAsia="仿宋_GB2312" w:cs="Times New Roman"/>
          <w:color w:val="auto"/>
          <w:sz w:val="24"/>
          <w:szCs w:val="24"/>
          <w:lang w:val="en-US" w:eastAsia="zh-CN"/>
        </w:rPr>
        <w:t>。</w:t>
      </w:r>
    </w:p>
    <w:p>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2.2.6施工方法与工艺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根据该项目工程建设的特点，工程施工划分为基础土方开挖及回填、场地平整、建筑工程、道路工程（包括配套管网、管线工程）、绿化工程以及部分临时工程。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1）</w:t>
      </w:r>
      <w:r>
        <w:rPr>
          <w:rFonts w:hint="default" w:ascii="Times New Roman" w:hAnsi="Times New Roman" w:eastAsia="仿宋_GB2312" w:cs="Times New Roman"/>
          <w:sz w:val="24"/>
          <w:szCs w:val="24"/>
        </w:rPr>
        <w:t>场地平整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场地平整采用推土机推土、摊平，挖掘机装土、自卸汽车运土，碾压机碾压，边缘压实不足之处，辅以人工和电动冲压夯夯实。分段回填时，各段设立标志，以防漏压，欠压，同时也不宜过压。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采用机械压实时，相邻两个工作面碾迹的搭接宽度，平行堤轴线方向应不小于0.5m</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垂直堤轴线方向宜为3-5m。对机械碾压不到的死角，辅以夯具进行夯实。</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对砂砾料压实的洒水量，宜为其回填方量的20%-40%，中细砂压实时的洒水量，按其最优含水量控制。压实的机械，用履带式拖拉机或振动碾。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土料的铺料与压实工序连续进行，以防止土料被晒干，影响填土质量。对表面已风干的土层，作洒水湿润处理。对于间隔时间较长的回填层，在填新土前在表层刨毛或清除处理。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2）建筑物基础开挖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建构筑物基础主要施工流程如下：插打钢护筒→钻孔→清孔→钢筋笼制作及安装→砼灌注。插打钢筋筒壁厚12mm，根据各墩不同地质情况决定护筒长度，钻孔过程正循环回转站进行施工，砼要垂直灌入桩孔内，并应连续分层浇筑，每层厚度不超过1.5mm。桩基础之间采用地梁连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3）建筑物基础回填</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当填土部位建筑物混凝土强度达到50%~70%强度后才可进行回填作业；填土前必须用钢丝刷等工具将建筑物表面的乳皮、粉尘及油污等物清除干净；在开始回填时，必须将建筑物表面洒水湿润，并边涂刷浓泥浆、边铺土、边夯实，泥浆涂刷高度必须与铺土厚度一致，并与下部涂层衔接，严禁泥浆干涸后再铺土和夯实；填土用的压实机具宜为小型夯具，做到贴边夯实，不得采用大型碾压机械，对刚性建筑物产生破坏；建筑物两侧的填土应均衡上升。一般情况下，不要在雨季、雨天回填。</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4）管沟开挖施工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管线开挖的施工顺序为：放线→土方开挖→沟底平整→管线吊装→回填土方。按照设计尺寸由挖掘机进行基坑及管线开挖；管线开挖产生的土方临时堆置在管线一侧，管线吊装结束后立即回填。管线开挖离底部20cm深度时，采用人工清理修整；管线开挖完成后，采用人工配合起重设备进行吊装；管线吊装完成后，进行管线检修，合格后，进行土方回填；管线开挖土方全部回填压实。管线等工程施工结束后进行场地平整，场地平整严格按照设计高程进行施工，平整方式主要以机械压实为主，机械不易施工处采用人工打夯压实为辅，平整结束后进行高程测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5）道路及硬化施工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建构筑物工程、管线工程施工结束后进行道路及硬化区域的沥青混凝土铺筑，铺装过程严格按照设计高程及尺寸施工。道路硬化区域施工的程序一般为：放线、清理、平整、压实、修防护工程、铺面层等。施工前，施工单位应根据工程特点、气象条件，严格按照水土保持方案要求，确定最佳施工工序和施工方法；施工时，土石方的挖填采用机械和人工相结合的方法，道路施工应分片、分段进行施工，不宜全面铺开。地基表层进行碾压时，要求基底压实度（重型）不小于90%。在施工过程中对土方调配平衡坚持前期后期紧密配合，杜绝重复填挖，土方运输避免散落，注意保护挖、填方边坡稳定。路基土方采用机械挖土、汽车运输、机械碾压方法施工，且必须分层碾压，严格控制最佳含水量，达到要求的压实度。机械不易施工处采用人工打夯压实为辅，平整、压实结束后进行高程测量。景观工程硬化施工工艺主要为基层清理，铺垫砂浆，弹控制线，铺砖，修整，嵌缝等环节。铺设硬化前将基底地面上的杂物清除干净，高低不平的区域进行平整，并进行夯实，夯实后进行水泥石灰稳定石屑层的施工，然后铺装硬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6）景观绿化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草种：用于该项工程水土保持植物措施的草种必须为一级种，要有“一签、三证”，即要有标签、生产经营许可证、合格证和检疫证。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苗木：用于该项工程水土保持植物措施的苗木必须达到如下要求：根系发达而完整，主根短直，接近根颈一定范围内有较好的侧根和须根，起苗后大根系应无劈裂；苗干粗壮通直，有一定的适合高度，不徒长；主侧枝分布均匀，能构成丰满的树冠，常绿针叶树，下部枝叶不枯落成裸干状，干性强并无潜伏芽的针叶树中央领导枝要有较强优势，顶芽占优势；无病虫害和机械损伤；落叶乔木最小选用胸径1cm以上，常绿乔木最小应选树高1.5m以上苗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在实施植树绿化的区域内，按照设计的株行距，挖好植树坑。栽植时应将树苗扶直、载正；填土时应先填表土、湿土，后填生土、干土，分层踩实。一次性浇透水，在覆一层虚土，以利保墒。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春季播种需在地面温度回升到15℃以上，土壤墒情较好时进行，夏季播种在透雨后进行。播种采用人工撒播，少量覆土，并镇压。</w:t>
      </w:r>
    </w:p>
    <w:p>
      <w:pPr>
        <w:pStyle w:val="5"/>
        <w:bidi w:val="0"/>
        <w:rPr>
          <w:rFonts w:hint="default" w:ascii="Times New Roman" w:hAnsi="Times New Roman" w:cs="Times New Roman"/>
        </w:rPr>
      </w:pPr>
      <w:bookmarkStart w:id="175" w:name="_Toc30598"/>
      <w:bookmarkStart w:id="176" w:name="_Toc25583"/>
      <w:bookmarkStart w:id="177" w:name="_Toc18591"/>
      <w:r>
        <w:rPr>
          <w:rFonts w:hint="default" w:ascii="Times New Roman" w:hAnsi="Times New Roman" w:cs="Times New Roman"/>
        </w:rPr>
        <w:t>2.3工程占地</w:t>
      </w:r>
      <w:bookmarkEnd w:id="175"/>
      <w:bookmarkEnd w:id="176"/>
      <w:bookmarkEnd w:id="177"/>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bookmarkStart w:id="178" w:name="OLE_LINK7"/>
      <w:r>
        <w:rPr>
          <w:rFonts w:hint="default" w:ascii="Times New Roman" w:hAnsi="Times New Roman" w:eastAsia="仿宋_GB2312" w:cs="Times New Roman"/>
          <w:color w:val="auto"/>
          <w:sz w:val="24"/>
          <w:szCs w:val="24"/>
          <w:lang w:val="en-US" w:eastAsia="zh-CN"/>
        </w:rPr>
        <w:t>长春国际物流经济开发区新兴建材产业园区建设</w:t>
      </w:r>
      <w:r>
        <w:rPr>
          <w:rFonts w:hint="default" w:ascii="Times New Roman" w:hAnsi="Times New Roman" w:eastAsia="仿宋_GB2312" w:cs="Times New Roman"/>
          <w:color w:val="auto"/>
          <w:sz w:val="24"/>
          <w:szCs w:val="24"/>
          <w:lang w:eastAsia="zh-CN"/>
        </w:rPr>
        <w:t>项目</w:t>
      </w:r>
      <w:r>
        <w:rPr>
          <w:rFonts w:hint="eastAsia" w:eastAsia="仿宋_GB2312" w:cs="Times New Roman"/>
          <w:sz w:val="24"/>
          <w:szCs w:val="24"/>
          <w:highlight w:val="none"/>
          <w:lang w:val="en-US" w:eastAsia="zh-CN"/>
        </w:rPr>
        <w:t>B地块</w:t>
      </w:r>
      <w:r>
        <w:rPr>
          <w:rFonts w:hint="default" w:ascii="Times New Roman" w:hAnsi="Times New Roman" w:eastAsia="仿宋_GB2312" w:cs="Times New Roman"/>
          <w:sz w:val="24"/>
          <w:szCs w:val="24"/>
          <w:highlight w:val="none"/>
          <w:lang w:val="en-US" w:eastAsia="zh-CN"/>
        </w:rPr>
        <w:t>占地面积为</w:t>
      </w:r>
      <w:r>
        <w:rPr>
          <w:rFonts w:hint="eastAsia" w:eastAsia="仿宋_GB2312" w:cs="Times New Roman"/>
          <w:sz w:val="24"/>
          <w:szCs w:val="24"/>
          <w:highlight w:val="none"/>
          <w:lang w:val="en-US" w:eastAsia="zh-CN"/>
        </w:rPr>
        <w:t>19.98</w:t>
      </w:r>
      <w:r>
        <w:rPr>
          <w:rFonts w:hint="default" w:ascii="Times New Roman" w:hAnsi="Times New Roman" w:eastAsia="仿宋_GB2312" w:cs="Times New Roman"/>
          <w:sz w:val="24"/>
          <w:szCs w:val="24"/>
          <w:highlight w:val="none"/>
        </w:rPr>
        <w:t>hm²</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rPr>
        <w:t>占地类型为</w:t>
      </w:r>
      <w:r>
        <w:rPr>
          <w:rFonts w:hint="default" w:ascii="Times New Roman" w:hAnsi="Times New Roman" w:eastAsia="仿宋_GB2312" w:cs="Times New Roman"/>
          <w:sz w:val="24"/>
          <w:szCs w:val="24"/>
          <w:lang w:eastAsia="zh-CN"/>
        </w:rPr>
        <w:t>工矿及仓储用地</w:t>
      </w:r>
      <w:r>
        <w:rPr>
          <w:rFonts w:hint="default" w:ascii="Times New Roman" w:hAnsi="Times New Roman" w:eastAsia="仿宋_GB2312" w:cs="Times New Roman"/>
          <w:sz w:val="24"/>
          <w:szCs w:val="24"/>
        </w:rPr>
        <w:t>。工程占地详细情况见表2-4。</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微软雅黑" w:cs="Times New Roman"/>
          <w:b w:val="0"/>
          <w:bCs w:val="0"/>
          <w:spacing w:val="-8"/>
          <w:sz w:val="21"/>
          <w:szCs w:val="21"/>
          <w:lang w:val="en-US" w:eastAsia="zh-CN"/>
        </w:rPr>
      </w:pPr>
      <w:r>
        <w:rPr>
          <w:rFonts w:hint="default" w:ascii="Times New Roman" w:hAnsi="Times New Roman" w:eastAsia="微软雅黑" w:cs="Times New Roman"/>
          <w:b w:val="0"/>
          <w:bCs w:val="0"/>
          <w:spacing w:val="-8"/>
          <w:sz w:val="21"/>
          <w:szCs w:val="21"/>
          <w:lang w:val="en-US" w:eastAsia="zh-CN"/>
        </w:rPr>
        <w:t>表2-</w:t>
      </w:r>
      <w:bookmarkEnd w:id="178"/>
      <w:bookmarkStart w:id="179" w:name="_Toc482"/>
      <w:bookmarkStart w:id="180" w:name="_Toc7747"/>
      <w:r>
        <w:rPr>
          <w:rFonts w:hint="default" w:ascii="Times New Roman" w:hAnsi="Times New Roman" w:eastAsia="微软雅黑" w:cs="Times New Roman"/>
          <w:b w:val="0"/>
          <w:bCs w:val="0"/>
          <w:spacing w:val="-8"/>
          <w:sz w:val="21"/>
          <w:szCs w:val="21"/>
          <w:lang w:val="en-US" w:eastAsia="zh-CN"/>
        </w:rPr>
        <w:t>4  项目占地类型和占地性质</w:t>
      </w:r>
    </w:p>
    <w:tbl>
      <w:tblPr>
        <w:tblStyle w:val="88"/>
        <w:tblW w:w="5086"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1852"/>
        <w:gridCol w:w="1321"/>
        <w:gridCol w:w="1551"/>
        <w:gridCol w:w="1484"/>
        <w:gridCol w:w="2375"/>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079" w:type="pct"/>
            <w:vMerge w:val="restart"/>
            <w:noWrap w:val="0"/>
            <w:tcMar>
              <w:top w:w="0" w:type="dxa"/>
              <w:left w:w="0" w:type="dxa"/>
              <w:bottom w:w="0" w:type="dxa"/>
              <w:right w:w="0" w:type="dxa"/>
            </w:tcMar>
            <w:vAlign w:val="center"/>
          </w:tcPr>
          <w:p>
            <w:pPr>
              <w:pageBreakBefore w:val="0"/>
              <w:kinsoku/>
              <w:wordWrap/>
              <w:bidi w:val="0"/>
              <w:jc w:val="center"/>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项目组成</w:t>
            </w:r>
          </w:p>
        </w:tc>
        <w:tc>
          <w:tcPr>
            <w:tcW w:w="769" w:type="pct"/>
            <w:vMerge w:val="restart"/>
            <w:noWrap w:val="0"/>
            <w:tcMar>
              <w:top w:w="0" w:type="dxa"/>
              <w:left w:w="0" w:type="dxa"/>
              <w:bottom w:w="0" w:type="dxa"/>
              <w:right w:w="0" w:type="dxa"/>
            </w:tcMar>
            <w:vAlign w:val="center"/>
          </w:tcPr>
          <w:p>
            <w:pPr>
              <w:pageBreakBefore w:val="0"/>
              <w:kinsoku/>
              <w:wordWrap/>
              <w:bidi w:val="0"/>
              <w:jc w:val="center"/>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占地面积</w:t>
            </w:r>
          </w:p>
          <w:p>
            <w:pPr>
              <w:pageBreakBefore w:val="0"/>
              <w:kinsoku/>
              <w:wordWrap/>
              <w:bidi w:val="0"/>
              <w:jc w:val="center"/>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w:t>
            </w:r>
            <w:r>
              <w:rPr>
                <w:rFonts w:hint="default" w:ascii="Times New Roman" w:hAnsi="Times New Roman" w:eastAsia="仿宋_GB2312" w:cs="Times New Roman"/>
                <w:kern w:val="0"/>
                <w:sz w:val="21"/>
                <w:szCs w:val="21"/>
                <w:highlight w:val="none"/>
                <w:lang w:eastAsia="zh-CN"/>
              </w:rPr>
              <w:t>hm²</w:t>
            </w:r>
            <w:r>
              <w:rPr>
                <w:rFonts w:hint="default" w:ascii="Times New Roman" w:hAnsi="Times New Roman" w:eastAsia="仿宋_GB2312" w:cs="Times New Roman"/>
                <w:kern w:val="0"/>
                <w:sz w:val="21"/>
                <w:szCs w:val="21"/>
                <w:highlight w:val="none"/>
              </w:rPr>
              <w:t>）</w:t>
            </w:r>
          </w:p>
        </w:tc>
        <w:tc>
          <w:tcPr>
            <w:tcW w:w="1767" w:type="pct"/>
            <w:gridSpan w:val="2"/>
            <w:tcBorders>
              <w:right w:val="single" w:color="auto" w:sz="4" w:space="0"/>
            </w:tcBorders>
            <w:noWrap w:val="0"/>
            <w:tcMar>
              <w:top w:w="0" w:type="dxa"/>
              <w:left w:w="0" w:type="dxa"/>
              <w:bottom w:w="0" w:type="dxa"/>
              <w:right w:w="0" w:type="dxa"/>
            </w:tcMar>
            <w:vAlign w:val="center"/>
          </w:tcPr>
          <w:p>
            <w:pPr>
              <w:pageBreakBefore w:val="0"/>
              <w:kinsoku/>
              <w:wordWrap/>
              <w:bidi w:val="0"/>
              <w:jc w:val="center"/>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占地性质（</w:t>
            </w:r>
            <w:r>
              <w:rPr>
                <w:rFonts w:hint="default" w:ascii="Times New Roman" w:hAnsi="Times New Roman" w:eastAsia="仿宋_GB2312" w:cs="Times New Roman"/>
                <w:kern w:val="0"/>
                <w:sz w:val="21"/>
                <w:szCs w:val="21"/>
                <w:highlight w:val="none"/>
                <w:lang w:eastAsia="zh-CN"/>
              </w:rPr>
              <w:t>hm²</w:t>
            </w:r>
            <w:r>
              <w:rPr>
                <w:rFonts w:hint="default" w:ascii="Times New Roman" w:hAnsi="Times New Roman" w:eastAsia="仿宋_GB2312" w:cs="Times New Roman"/>
                <w:kern w:val="0"/>
                <w:sz w:val="21"/>
                <w:szCs w:val="21"/>
                <w:highlight w:val="none"/>
              </w:rPr>
              <w:t>）</w:t>
            </w:r>
          </w:p>
        </w:tc>
        <w:tc>
          <w:tcPr>
            <w:tcW w:w="1383" w:type="pct"/>
            <w:tcBorders>
              <w:left w:val="single" w:color="auto" w:sz="4" w:space="0"/>
              <w:right w:val="single" w:color="000000" w:sz="12" w:space="0"/>
            </w:tcBorders>
            <w:noWrap w:val="0"/>
            <w:tcMar>
              <w:top w:w="0" w:type="dxa"/>
              <w:left w:w="0" w:type="dxa"/>
              <w:bottom w:w="0" w:type="dxa"/>
              <w:right w:w="0" w:type="dxa"/>
            </w:tcMar>
            <w:vAlign w:val="center"/>
          </w:tcPr>
          <w:p>
            <w:pPr>
              <w:pageBreakBefore w:val="0"/>
              <w:kinsoku/>
              <w:wordWrap/>
              <w:bidi w:val="0"/>
              <w:jc w:val="center"/>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占地类型（</w:t>
            </w:r>
            <w:r>
              <w:rPr>
                <w:rFonts w:hint="default" w:ascii="Times New Roman" w:hAnsi="Times New Roman" w:eastAsia="仿宋_GB2312" w:cs="Times New Roman"/>
                <w:kern w:val="0"/>
                <w:sz w:val="21"/>
                <w:szCs w:val="21"/>
                <w:highlight w:val="none"/>
                <w:lang w:eastAsia="zh-CN"/>
              </w:rPr>
              <w:t>hm²</w:t>
            </w:r>
            <w:r>
              <w:rPr>
                <w:rFonts w:hint="default" w:ascii="Times New Roman" w:hAnsi="Times New Roman" w:eastAsia="仿宋_GB2312" w:cs="Times New Roman"/>
                <w:kern w:val="0"/>
                <w:sz w:val="21"/>
                <w:szCs w:val="21"/>
                <w:highlight w:val="none"/>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079" w:type="pct"/>
            <w:vMerge w:val="continue"/>
            <w:noWrap w:val="0"/>
            <w:vAlign w:val="center"/>
          </w:tcPr>
          <w:p>
            <w:pPr>
              <w:pageBreakBefore w:val="0"/>
              <w:kinsoku/>
              <w:wordWrap/>
              <w:bidi w:val="0"/>
              <w:jc w:val="center"/>
              <w:rPr>
                <w:rFonts w:hint="default" w:ascii="Times New Roman" w:hAnsi="Times New Roman" w:eastAsia="仿宋_GB2312" w:cs="Times New Roman"/>
                <w:kern w:val="0"/>
                <w:sz w:val="21"/>
                <w:szCs w:val="21"/>
                <w:highlight w:val="none"/>
              </w:rPr>
            </w:pPr>
          </w:p>
        </w:tc>
        <w:tc>
          <w:tcPr>
            <w:tcW w:w="769" w:type="pct"/>
            <w:vMerge w:val="continue"/>
            <w:noWrap w:val="0"/>
            <w:vAlign w:val="center"/>
          </w:tcPr>
          <w:p>
            <w:pPr>
              <w:pageBreakBefore w:val="0"/>
              <w:kinsoku/>
              <w:wordWrap/>
              <w:bidi w:val="0"/>
              <w:jc w:val="center"/>
              <w:rPr>
                <w:rFonts w:hint="default" w:ascii="Times New Roman" w:hAnsi="Times New Roman" w:eastAsia="仿宋_GB2312" w:cs="Times New Roman"/>
                <w:kern w:val="0"/>
                <w:sz w:val="21"/>
                <w:szCs w:val="21"/>
                <w:highlight w:val="none"/>
              </w:rPr>
            </w:pPr>
          </w:p>
        </w:tc>
        <w:tc>
          <w:tcPr>
            <w:tcW w:w="903" w:type="pct"/>
            <w:tcBorders>
              <w:right w:val="single" w:color="auto" w:sz="4" w:space="0"/>
            </w:tcBorders>
            <w:noWrap w:val="0"/>
            <w:vAlign w:val="center"/>
          </w:tcPr>
          <w:p>
            <w:pPr>
              <w:pageBreakBefore w:val="0"/>
              <w:kinsoku/>
              <w:wordWrap/>
              <w:bidi w:val="0"/>
              <w:jc w:val="center"/>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永久征地</w:t>
            </w:r>
          </w:p>
        </w:tc>
        <w:tc>
          <w:tcPr>
            <w:tcW w:w="864" w:type="pct"/>
            <w:tcBorders>
              <w:left w:val="single" w:color="auto" w:sz="4" w:space="0"/>
              <w:right w:val="single" w:color="auto" w:sz="4" w:space="0"/>
            </w:tcBorders>
            <w:noWrap w:val="0"/>
            <w:vAlign w:val="center"/>
          </w:tcPr>
          <w:p>
            <w:pPr>
              <w:pageBreakBefore w:val="0"/>
              <w:kinsoku/>
              <w:wordWrap/>
              <w:bidi w:val="0"/>
              <w:jc w:val="center"/>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临时占地</w:t>
            </w:r>
          </w:p>
        </w:tc>
        <w:tc>
          <w:tcPr>
            <w:tcW w:w="1383" w:type="pct"/>
            <w:tcBorders>
              <w:left w:val="single" w:color="auto" w:sz="4" w:space="0"/>
            </w:tcBorders>
            <w:noWrap w:val="0"/>
            <w:vAlign w:val="center"/>
          </w:tcPr>
          <w:p>
            <w:pPr>
              <w:pageBreakBefore w:val="0"/>
              <w:kinsoku/>
              <w:wordWrap/>
              <w:bidi w:val="0"/>
              <w:jc w:val="center"/>
              <w:rPr>
                <w:rFonts w:hint="default" w:ascii="Times New Roman" w:hAnsi="Times New Roman" w:eastAsia="仿宋_GB2312" w:cs="Times New Roman"/>
                <w:kern w:val="0"/>
                <w:sz w:val="21"/>
                <w:szCs w:val="21"/>
                <w:highlight w:val="none"/>
                <w:lang w:val="en-US" w:eastAsia="zh-CN"/>
              </w:rPr>
            </w:pPr>
            <w:r>
              <w:rPr>
                <w:rFonts w:hint="default" w:ascii="Times New Roman" w:hAnsi="Times New Roman" w:eastAsia="仿宋_GB2312" w:cs="Times New Roman"/>
                <w:kern w:val="0"/>
                <w:sz w:val="21"/>
                <w:szCs w:val="21"/>
                <w:highlight w:val="none"/>
                <w:lang w:val="en-US" w:eastAsia="zh-CN"/>
              </w:rPr>
              <w:t>工矿及仓储用地</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079" w:type="pct"/>
            <w:noWrap w:val="0"/>
            <w:vAlign w:val="center"/>
          </w:tcPr>
          <w:p>
            <w:pPr>
              <w:pageBreakBefore w:val="0"/>
              <w:kinsoku/>
              <w:wordWrap/>
              <w:bidi w:val="0"/>
              <w:jc w:val="center"/>
              <w:rPr>
                <w:rFonts w:hint="default" w:ascii="Times New Roman" w:hAnsi="Times New Roman" w:eastAsia="仿宋_GB2312" w:cs="Times New Roman"/>
                <w:kern w:val="0"/>
                <w:sz w:val="21"/>
                <w:szCs w:val="21"/>
                <w:highlight w:val="none"/>
                <w:lang w:val="en-US" w:eastAsia="zh-CN"/>
              </w:rPr>
            </w:pPr>
            <w:r>
              <w:rPr>
                <w:rFonts w:hint="eastAsia" w:eastAsia="仿宋_GB2312" w:cs="Times New Roman"/>
                <w:kern w:val="0"/>
                <w:sz w:val="21"/>
                <w:szCs w:val="21"/>
                <w:highlight w:val="none"/>
                <w:lang w:val="en-US" w:eastAsia="zh-CN"/>
              </w:rPr>
              <w:t>生产建设区</w:t>
            </w:r>
          </w:p>
        </w:tc>
        <w:tc>
          <w:tcPr>
            <w:tcW w:w="769" w:type="pct"/>
            <w:noWrap w:val="0"/>
            <w:vAlign w:val="center"/>
          </w:tcPr>
          <w:p>
            <w:pPr>
              <w:pageBreakBefore w:val="0"/>
              <w:kinsoku/>
              <w:wordWrap/>
              <w:bidi w:val="0"/>
              <w:jc w:val="center"/>
              <w:rPr>
                <w:rFonts w:hint="default" w:ascii="Times New Roman" w:hAnsi="Times New Roman" w:eastAsia="仿宋_GB2312" w:cs="Times New Roman"/>
                <w:kern w:val="0"/>
                <w:sz w:val="21"/>
                <w:szCs w:val="21"/>
                <w:highlight w:val="none"/>
                <w:lang w:eastAsia="zh-CN"/>
              </w:rPr>
            </w:pPr>
            <w:r>
              <w:rPr>
                <w:rFonts w:hint="eastAsia" w:eastAsia="仿宋_GB2312" w:cs="Times New Roman"/>
                <w:kern w:val="0"/>
                <w:sz w:val="21"/>
                <w:szCs w:val="21"/>
                <w:highlight w:val="none"/>
                <w:lang w:eastAsia="zh-CN"/>
              </w:rPr>
              <w:t>19.98</w:t>
            </w:r>
          </w:p>
        </w:tc>
        <w:tc>
          <w:tcPr>
            <w:tcW w:w="903" w:type="pct"/>
            <w:tcBorders>
              <w:right w:val="single" w:color="auto" w:sz="4" w:space="0"/>
            </w:tcBorders>
            <w:noWrap w:val="0"/>
            <w:vAlign w:val="center"/>
          </w:tcPr>
          <w:p>
            <w:pPr>
              <w:pageBreakBefore w:val="0"/>
              <w:kinsoku/>
              <w:wordWrap/>
              <w:bidi w:val="0"/>
              <w:jc w:val="center"/>
              <w:rPr>
                <w:rFonts w:hint="default" w:ascii="Times New Roman" w:hAnsi="Times New Roman" w:eastAsia="仿宋_GB2312" w:cs="Times New Roman"/>
                <w:kern w:val="0"/>
                <w:sz w:val="21"/>
                <w:szCs w:val="21"/>
                <w:highlight w:val="none"/>
                <w:lang w:eastAsia="zh-CN"/>
              </w:rPr>
            </w:pPr>
            <w:r>
              <w:rPr>
                <w:rFonts w:hint="eastAsia" w:eastAsia="仿宋_GB2312" w:cs="Times New Roman"/>
                <w:kern w:val="0"/>
                <w:sz w:val="21"/>
                <w:szCs w:val="21"/>
                <w:highlight w:val="none"/>
                <w:lang w:eastAsia="zh-CN"/>
              </w:rPr>
              <w:t>19.98</w:t>
            </w:r>
          </w:p>
        </w:tc>
        <w:tc>
          <w:tcPr>
            <w:tcW w:w="864" w:type="pct"/>
            <w:tcBorders>
              <w:left w:val="single" w:color="auto" w:sz="4" w:space="0"/>
              <w:right w:val="single" w:color="auto" w:sz="4" w:space="0"/>
            </w:tcBorders>
            <w:noWrap w:val="0"/>
            <w:vAlign w:val="center"/>
          </w:tcPr>
          <w:p>
            <w:pPr>
              <w:pageBreakBefore w:val="0"/>
              <w:kinsoku/>
              <w:wordWrap/>
              <w:bidi w:val="0"/>
              <w:jc w:val="center"/>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w:t>
            </w:r>
          </w:p>
        </w:tc>
        <w:tc>
          <w:tcPr>
            <w:tcW w:w="1383" w:type="pct"/>
            <w:tcBorders>
              <w:left w:val="single" w:color="auto" w:sz="4" w:space="0"/>
            </w:tcBorders>
            <w:noWrap w:val="0"/>
            <w:vAlign w:val="center"/>
          </w:tcPr>
          <w:p>
            <w:pPr>
              <w:pageBreakBefore w:val="0"/>
              <w:kinsoku/>
              <w:wordWrap/>
              <w:bidi w:val="0"/>
              <w:jc w:val="center"/>
              <w:rPr>
                <w:rFonts w:hint="default" w:ascii="Times New Roman" w:hAnsi="Times New Roman" w:eastAsia="仿宋_GB2312" w:cs="Times New Roman"/>
                <w:kern w:val="0"/>
                <w:sz w:val="21"/>
                <w:szCs w:val="21"/>
                <w:highlight w:val="none"/>
                <w:lang w:eastAsia="zh-CN"/>
              </w:rPr>
            </w:pPr>
            <w:r>
              <w:rPr>
                <w:rFonts w:hint="eastAsia" w:eastAsia="仿宋_GB2312" w:cs="Times New Roman"/>
                <w:kern w:val="0"/>
                <w:sz w:val="21"/>
                <w:szCs w:val="21"/>
                <w:highlight w:val="none"/>
                <w:lang w:eastAsia="zh-CN"/>
              </w:rPr>
              <w:t>19.98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079" w:type="pct"/>
            <w:noWrap w:val="0"/>
            <w:vAlign w:val="center"/>
          </w:tcPr>
          <w:p>
            <w:pPr>
              <w:pageBreakBefore w:val="0"/>
              <w:kinsoku/>
              <w:wordWrap/>
              <w:bidi w:val="0"/>
              <w:jc w:val="center"/>
              <w:rPr>
                <w:rFonts w:hint="default" w:ascii="Times New Roman" w:hAnsi="Times New Roman" w:eastAsia="仿宋_GB2312" w:cs="Times New Roman"/>
                <w:kern w:val="0"/>
                <w:sz w:val="21"/>
                <w:szCs w:val="21"/>
                <w:highlight w:val="none"/>
                <w:lang w:val="en-US" w:eastAsia="zh-CN"/>
              </w:rPr>
            </w:pPr>
            <w:bookmarkStart w:id="181" w:name="_Toc18633"/>
            <w:r>
              <w:rPr>
                <w:rFonts w:hint="default" w:ascii="Times New Roman" w:hAnsi="Times New Roman" w:eastAsia="仿宋_GB2312" w:cs="Times New Roman"/>
                <w:kern w:val="0"/>
                <w:sz w:val="21"/>
                <w:szCs w:val="21"/>
                <w:highlight w:val="none"/>
                <w:lang w:val="en-US" w:eastAsia="zh-CN"/>
              </w:rPr>
              <w:t>合计</w:t>
            </w:r>
          </w:p>
        </w:tc>
        <w:tc>
          <w:tcPr>
            <w:tcW w:w="769" w:type="pct"/>
            <w:noWrap w:val="0"/>
            <w:vAlign w:val="center"/>
          </w:tcPr>
          <w:p>
            <w:pPr>
              <w:pageBreakBefore w:val="0"/>
              <w:kinsoku/>
              <w:wordWrap/>
              <w:bidi w:val="0"/>
              <w:jc w:val="center"/>
              <w:rPr>
                <w:rFonts w:hint="default" w:ascii="Times New Roman" w:hAnsi="Times New Roman" w:eastAsia="仿宋_GB2312" w:cs="Times New Roman"/>
                <w:kern w:val="0"/>
                <w:sz w:val="21"/>
                <w:szCs w:val="21"/>
                <w:highlight w:val="none"/>
                <w:lang w:val="en-US" w:eastAsia="zh-CN"/>
              </w:rPr>
            </w:pPr>
            <w:r>
              <w:rPr>
                <w:rFonts w:hint="eastAsia" w:eastAsia="仿宋_GB2312" w:cs="Times New Roman"/>
                <w:kern w:val="0"/>
                <w:sz w:val="21"/>
                <w:szCs w:val="21"/>
                <w:highlight w:val="none"/>
                <w:lang w:val="en-US" w:eastAsia="zh-CN"/>
              </w:rPr>
              <w:t>19.98</w:t>
            </w:r>
          </w:p>
        </w:tc>
        <w:tc>
          <w:tcPr>
            <w:tcW w:w="903" w:type="pct"/>
            <w:tcBorders>
              <w:right w:val="single" w:color="auto" w:sz="4" w:space="0"/>
            </w:tcBorders>
            <w:noWrap w:val="0"/>
            <w:vAlign w:val="center"/>
          </w:tcPr>
          <w:p>
            <w:pPr>
              <w:pageBreakBefore w:val="0"/>
              <w:kinsoku/>
              <w:wordWrap/>
              <w:bidi w:val="0"/>
              <w:jc w:val="center"/>
              <w:rPr>
                <w:rFonts w:hint="default" w:ascii="Times New Roman" w:hAnsi="Times New Roman" w:eastAsia="仿宋_GB2312" w:cs="Times New Roman"/>
                <w:kern w:val="0"/>
                <w:sz w:val="21"/>
                <w:szCs w:val="21"/>
                <w:highlight w:val="none"/>
                <w:lang w:eastAsia="zh-CN"/>
              </w:rPr>
            </w:pPr>
            <w:r>
              <w:rPr>
                <w:rFonts w:hint="eastAsia" w:eastAsia="仿宋_GB2312" w:cs="Times New Roman"/>
                <w:kern w:val="0"/>
                <w:sz w:val="21"/>
                <w:szCs w:val="21"/>
                <w:highlight w:val="none"/>
                <w:lang w:val="en-US" w:eastAsia="zh-CN"/>
              </w:rPr>
              <w:t>19.98</w:t>
            </w:r>
          </w:p>
        </w:tc>
        <w:tc>
          <w:tcPr>
            <w:tcW w:w="864" w:type="pct"/>
            <w:tcBorders>
              <w:left w:val="single" w:color="auto" w:sz="4" w:space="0"/>
              <w:right w:val="single" w:color="auto" w:sz="4" w:space="0"/>
            </w:tcBorders>
            <w:noWrap w:val="0"/>
            <w:vAlign w:val="center"/>
          </w:tcPr>
          <w:p>
            <w:pPr>
              <w:pageBreakBefore w:val="0"/>
              <w:kinsoku/>
              <w:wordWrap/>
              <w:bidi w:val="0"/>
              <w:jc w:val="center"/>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w:t>
            </w:r>
          </w:p>
        </w:tc>
        <w:tc>
          <w:tcPr>
            <w:tcW w:w="1383" w:type="pct"/>
            <w:tcBorders>
              <w:left w:val="single" w:color="auto" w:sz="4" w:space="0"/>
            </w:tcBorders>
            <w:noWrap w:val="0"/>
            <w:vAlign w:val="center"/>
          </w:tcPr>
          <w:p>
            <w:pPr>
              <w:pageBreakBefore w:val="0"/>
              <w:kinsoku/>
              <w:wordWrap/>
              <w:bidi w:val="0"/>
              <w:jc w:val="center"/>
              <w:rPr>
                <w:rFonts w:hint="default" w:ascii="Times New Roman" w:hAnsi="Times New Roman" w:eastAsia="仿宋_GB2312" w:cs="Times New Roman"/>
                <w:kern w:val="0"/>
                <w:sz w:val="21"/>
                <w:szCs w:val="21"/>
                <w:highlight w:val="none"/>
                <w:lang w:eastAsia="zh-CN"/>
              </w:rPr>
            </w:pPr>
            <w:r>
              <w:rPr>
                <w:rFonts w:hint="eastAsia" w:eastAsia="仿宋_GB2312" w:cs="Times New Roman"/>
                <w:kern w:val="0"/>
                <w:sz w:val="21"/>
                <w:szCs w:val="21"/>
                <w:highlight w:val="none"/>
                <w:lang w:val="en-US" w:eastAsia="zh-CN"/>
              </w:rPr>
              <w:t>19.98</w:t>
            </w:r>
          </w:p>
        </w:tc>
      </w:tr>
    </w:tbl>
    <w:p>
      <w:pPr>
        <w:pStyle w:val="5"/>
        <w:bidi w:val="0"/>
        <w:rPr>
          <w:rFonts w:hint="default" w:ascii="Times New Roman" w:hAnsi="Times New Roman" w:cs="Times New Roman"/>
        </w:rPr>
      </w:pPr>
      <w:r>
        <w:rPr>
          <w:rFonts w:hint="default" w:ascii="Times New Roman" w:hAnsi="Times New Roman" w:cs="Times New Roman"/>
        </w:rPr>
        <w:t>2.4土石方平衡</w:t>
      </w:r>
      <w:bookmarkEnd w:id="179"/>
      <w:bookmarkEnd w:id="180"/>
      <w:bookmarkEnd w:id="181"/>
    </w:p>
    <w:p>
      <w:pPr>
        <w:pStyle w:val="6"/>
        <w:bidi w:val="0"/>
        <w:rPr>
          <w:rFonts w:hint="default" w:ascii="Times New Roman" w:hAnsi="Times New Roman" w:cs="Times New Roman"/>
          <w:lang w:val="en-US" w:eastAsia="zh-CN"/>
        </w:rPr>
      </w:pPr>
      <w:bookmarkStart w:id="182" w:name="_Hlk95984700"/>
      <w:bookmarkStart w:id="183" w:name="OLE_LINK10"/>
      <w:r>
        <w:rPr>
          <w:rFonts w:hint="default" w:ascii="Times New Roman" w:hAnsi="Times New Roman" w:cs="Times New Roman"/>
          <w:lang w:val="en-US" w:eastAsia="zh-CN"/>
        </w:rPr>
        <w:t>2.4.1表土平衡</w:t>
      </w:r>
    </w:p>
    <w:p>
      <w:pPr>
        <w:pStyle w:val="29"/>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color w:val="auto"/>
          <w:sz w:val="24"/>
          <w:szCs w:val="28"/>
          <w:highlight w:val="none"/>
        </w:rPr>
        <w:t>根据</w:t>
      </w:r>
      <w:r>
        <w:rPr>
          <w:rFonts w:hint="default" w:ascii="Times New Roman" w:hAnsi="Times New Roman" w:eastAsia="仿宋_GB2312" w:cs="Times New Roman"/>
          <w:color w:val="auto"/>
          <w:sz w:val="24"/>
          <w:szCs w:val="28"/>
          <w:highlight w:val="none"/>
          <w:lang w:val="en-US" w:eastAsia="zh-CN"/>
        </w:rPr>
        <w:t>项目实际</w:t>
      </w:r>
      <w:r>
        <w:rPr>
          <w:rFonts w:hint="default" w:ascii="Times New Roman" w:hAnsi="Times New Roman" w:eastAsia="仿宋_GB2312" w:cs="Times New Roman"/>
          <w:color w:val="auto"/>
          <w:sz w:val="24"/>
          <w:szCs w:val="28"/>
          <w:highlight w:val="none"/>
        </w:rPr>
        <w:t>，</w:t>
      </w:r>
      <w:r>
        <w:rPr>
          <w:rFonts w:hint="default" w:ascii="Times New Roman" w:hAnsi="Times New Roman" w:eastAsia="仿宋_GB2312" w:cs="Times New Roman"/>
          <w:color w:val="auto"/>
          <w:sz w:val="24"/>
          <w:szCs w:val="28"/>
          <w:highlight w:val="none"/>
          <w:lang w:eastAsia="zh-CN"/>
        </w:rPr>
        <w:t>开发区</w:t>
      </w:r>
      <w:r>
        <w:rPr>
          <w:rFonts w:hint="default" w:ascii="Times New Roman" w:hAnsi="Times New Roman" w:eastAsia="仿宋_GB2312" w:cs="Times New Roman"/>
          <w:color w:val="auto"/>
          <w:sz w:val="24"/>
          <w:szCs w:val="28"/>
          <w:highlight w:val="none"/>
        </w:rPr>
        <w:t>为建设单位提供的土地达到</w:t>
      </w:r>
      <w:r>
        <w:rPr>
          <w:rFonts w:hint="default" w:ascii="Times New Roman" w:hAnsi="Times New Roman" w:eastAsia="仿宋_GB2312" w:cs="Times New Roman"/>
          <w:color w:val="auto"/>
          <w:sz w:val="24"/>
          <w:szCs w:val="28"/>
          <w:highlight w:val="none"/>
          <w:lang w:eastAsia="zh-CN"/>
        </w:rPr>
        <w:t>“</w:t>
      </w:r>
      <w:r>
        <w:rPr>
          <w:rFonts w:hint="default" w:ascii="Times New Roman" w:hAnsi="Times New Roman" w:eastAsia="仿宋_GB2312" w:cs="Times New Roman"/>
          <w:color w:val="auto"/>
          <w:sz w:val="24"/>
          <w:szCs w:val="28"/>
          <w:highlight w:val="none"/>
        </w:rPr>
        <w:t>净地</w:t>
      </w:r>
      <w:r>
        <w:rPr>
          <w:rFonts w:hint="default" w:ascii="Times New Roman" w:hAnsi="Times New Roman" w:eastAsia="仿宋_GB2312" w:cs="Times New Roman"/>
          <w:color w:val="auto"/>
          <w:sz w:val="24"/>
          <w:szCs w:val="28"/>
          <w:highlight w:val="none"/>
          <w:lang w:eastAsia="zh-CN"/>
        </w:rPr>
        <w:t>”</w:t>
      </w:r>
      <w:r>
        <w:rPr>
          <w:rFonts w:hint="default" w:ascii="Times New Roman" w:hAnsi="Times New Roman" w:eastAsia="仿宋_GB2312" w:cs="Times New Roman"/>
          <w:color w:val="auto"/>
          <w:sz w:val="24"/>
          <w:szCs w:val="28"/>
          <w:highlight w:val="none"/>
        </w:rPr>
        <w:t>即达到</w:t>
      </w:r>
      <w:r>
        <w:rPr>
          <w:rFonts w:hint="default" w:ascii="Times New Roman" w:hAnsi="Times New Roman" w:eastAsia="仿宋_GB2312" w:cs="Times New Roman"/>
          <w:color w:val="auto"/>
          <w:sz w:val="24"/>
          <w:szCs w:val="28"/>
          <w:highlight w:val="none"/>
          <w:lang w:eastAsia="zh-CN"/>
        </w:rPr>
        <w:t>“</w:t>
      </w:r>
      <w:r>
        <w:rPr>
          <w:rFonts w:hint="default" w:ascii="Times New Roman" w:hAnsi="Times New Roman" w:eastAsia="仿宋_GB2312" w:cs="Times New Roman"/>
          <w:color w:val="auto"/>
          <w:sz w:val="24"/>
          <w:szCs w:val="28"/>
          <w:highlight w:val="none"/>
        </w:rPr>
        <w:t>七通一平</w:t>
      </w:r>
      <w:r>
        <w:rPr>
          <w:rFonts w:hint="default" w:ascii="Times New Roman" w:hAnsi="Times New Roman" w:eastAsia="仿宋_GB2312" w:cs="Times New Roman"/>
          <w:color w:val="auto"/>
          <w:sz w:val="24"/>
          <w:szCs w:val="28"/>
          <w:highlight w:val="none"/>
          <w:lang w:eastAsia="zh-CN"/>
        </w:rPr>
        <w:t>”</w:t>
      </w:r>
      <w:r>
        <w:rPr>
          <w:rFonts w:hint="default" w:ascii="Times New Roman" w:hAnsi="Times New Roman" w:eastAsia="仿宋_GB2312" w:cs="Times New Roman"/>
          <w:color w:val="auto"/>
          <w:sz w:val="24"/>
          <w:szCs w:val="28"/>
          <w:highlight w:val="none"/>
        </w:rPr>
        <w:t>的要求，所以</w:t>
      </w:r>
      <w:r>
        <w:rPr>
          <w:rFonts w:hint="default" w:ascii="Times New Roman" w:hAnsi="Times New Roman" w:eastAsia="仿宋_GB2312" w:cs="Times New Roman"/>
          <w:color w:val="auto"/>
          <w:sz w:val="24"/>
          <w:szCs w:val="28"/>
          <w:highlight w:val="none"/>
          <w:lang w:eastAsia="zh-CN"/>
        </w:rPr>
        <w:t>本期项目</w:t>
      </w:r>
      <w:r>
        <w:rPr>
          <w:rFonts w:hint="default" w:ascii="Times New Roman" w:hAnsi="Times New Roman" w:eastAsia="仿宋_GB2312" w:cs="Times New Roman"/>
          <w:color w:val="auto"/>
          <w:sz w:val="24"/>
          <w:szCs w:val="28"/>
          <w:highlight w:val="none"/>
        </w:rPr>
        <w:t>表土剥离由开发区负责，运至开发区指定表土堆放场地，不纳入本方案的防治责任范围</w:t>
      </w:r>
      <w:r>
        <w:rPr>
          <w:rFonts w:hint="default" w:ascii="Times New Roman" w:hAnsi="Times New Roman" w:eastAsia="仿宋_GB2312" w:cs="Times New Roman"/>
          <w:color w:val="auto"/>
          <w:sz w:val="24"/>
          <w:szCs w:val="28"/>
          <w:highlight w:val="none"/>
          <w:lang w:eastAsia="zh-CN"/>
        </w:rPr>
        <w:t>。</w:t>
      </w:r>
      <w:r>
        <w:rPr>
          <w:rFonts w:hint="default" w:ascii="Times New Roman" w:hAnsi="Times New Roman" w:eastAsia="仿宋_GB2312" w:cs="Times New Roman"/>
          <w:sz w:val="24"/>
          <w:szCs w:val="24"/>
        </w:rPr>
        <w:t>待建筑物及硬化施工结束后，需对景观绿化区域进行绿化用土回覆，覆土面积</w:t>
      </w:r>
      <w:r>
        <w:rPr>
          <w:rFonts w:hint="eastAsia" w:eastAsia="仿宋_GB2312" w:cs="Times New Roman"/>
          <w:sz w:val="24"/>
          <w:szCs w:val="24"/>
          <w:lang w:val="en-US" w:eastAsia="zh-CN"/>
        </w:rPr>
        <w:t>3.99</w:t>
      </w:r>
      <w:r>
        <w:rPr>
          <w:rFonts w:hint="default" w:ascii="Times New Roman" w:hAnsi="Times New Roman" w:eastAsia="仿宋_GB2312" w:cs="Times New Roman"/>
          <w:sz w:val="24"/>
          <w:szCs w:val="24"/>
        </w:rPr>
        <w:t>hm²，覆土厚度0.</w:t>
      </w:r>
      <w:r>
        <w:rPr>
          <w:rFonts w:hint="default" w:ascii="Times New Roman" w:hAnsi="Times New Roman" w:eastAsia="仿宋_GB2312" w:cs="Times New Roman"/>
          <w:sz w:val="24"/>
          <w:szCs w:val="24"/>
          <w:lang w:val="en-US" w:eastAsia="zh-CN"/>
        </w:rPr>
        <w:t>3</w:t>
      </w:r>
      <w:r>
        <w:rPr>
          <w:rFonts w:hint="default" w:ascii="Times New Roman" w:hAnsi="Times New Roman" w:eastAsia="仿宋_GB2312" w:cs="Times New Roman"/>
          <w:sz w:val="24"/>
          <w:szCs w:val="24"/>
        </w:rPr>
        <w:t>m，覆土量为</w:t>
      </w:r>
      <w:r>
        <w:rPr>
          <w:rFonts w:hint="eastAsia" w:eastAsia="仿宋_GB2312" w:cs="Times New Roman"/>
          <w:sz w:val="24"/>
          <w:szCs w:val="24"/>
          <w:lang w:eastAsia="zh-CN"/>
        </w:rPr>
        <w:t>1.20</w:t>
      </w:r>
      <w:r>
        <w:rPr>
          <w:rFonts w:hint="default" w:ascii="Times New Roman" w:hAnsi="Times New Roman" w:eastAsia="仿宋_GB2312" w:cs="Times New Roman"/>
          <w:sz w:val="24"/>
          <w:szCs w:val="24"/>
        </w:rPr>
        <w:t>万m³，绿化用土由</w:t>
      </w:r>
      <w:r>
        <w:rPr>
          <w:rFonts w:hint="eastAsia" w:eastAsia="仿宋_GB2312" w:cs="Times New Roman"/>
          <w:sz w:val="24"/>
          <w:szCs w:val="24"/>
          <w:lang w:val="en-US" w:eastAsia="zh-CN"/>
        </w:rPr>
        <w:t>绿化公司负责</w:t>
      </w:r>
      <w:r>
        <w:rPr>
          <w:rFonts w:hint="default" w:ascii="Times New Roman" w:hAnsi="Times New Roman" w:eastAsia="仿宋_GB2312" w:cs="Times New Roman"/>
          <w:sz w:val="24"/>
          <w:szCs w:val="24"/>
        </w:rPr>
        <w:t>。</w:t>
      </w:r>
      <w:bookmarkEnd w:id="182"/>
    </w:p>
    <w:p>
      <w:pPr>
        <w:pStyle w:val="6"/>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2.4.2土石方平衡</w:t>
      </w:r>
    </w:p>
    <w:p>
      <w:pPr>
        <w:pStyle w:val="29"/>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_GB2312" w:cs="Times New Roman"/>
          <w:color w:val="auto"/>
          <w:sz w:val="24"/>
          <w:szCs w:val="28"/>
          <w:highlight w:val="none"/>
        </w:rPr>
      </w:pPr>
      <w:r>
        <w:rPr>
          <w:rFonts w:hint="default" w:ascii="Times New Roman" w:hAnsi="Times New Roman" w:eastAsia="仿宋_GB2312" w:cs="Times New Roman"/>
          <w:color w:val="auto"/>
          <w:sz w:val="24"/>
          <w:szCs w:val="28"/>
          <w:highlight w:val="none"/>
          <w:lang w:val="en-US" w:eastAsia="zh-CN"/>
        </w:rPr>
        <w:t>本工程挖填主要为建构筑物基础开挖回填、管线沟槽开挖回填及场地平整。建构筑基础开挖土石方部门用于基础回填，剩余的用于场地平整。管线沟槽开挖土石方部分用于沟槽回填，剩余的用于场地平整。厂区内布设1处回填土堆土区用于堆放基础土石方，占地面积为</w:t>
      </w:r>
      <w:r>
        <w:rPr>
          <w:rFonts w:hint="eastAsia" w:eastAsia="仿宋_GB2312" w:cs="Times New Roman"/>
          <w:color w:val="auto"/>
          <w:sz w:val="24"/>
          <w:szCs w:val="28"/>
          <w:highlight w:val="none"/>
          <w:lang w:val="en-US" w:eastAsia="zh-CN"/>
        </w:rPr>
        <w:t>2281</w:t>
      </w:r>
      <w:r>
        <w:rPr>
          <w:rFonts w:hint="default" w:ascii="Times New Roman" w:hAnsi="Times New Roman" w:eastAsia="仿宋_GB2312" w:cs="Times New Roman"/>
          <w:color w:val="auto"/>
          <w:sz w:val="24"/>
          <w:szCs w:val="28"/>
          <w:highlight w:val="none"/>
          <w:lang w:val="en-US" w:eastAsia="zh-CN"/>
        </w:rPr>
        <w:t>m</w:t>
      </w:r>
      <w:r>
        <w:rPr>
          <w:rFonts w:hint="default" w:ascii="Times New Roman" w:hAnsi="Times New Roman" w:eastAsia="仿宋_GB2312" w:cs="Times New Roman"/>
          <w:color w:val="auto"/>
          <w:sz w:val="24"/>
          <w:szCs w:val="28"/>
          <w:highlight w:val="none"/>
          <w:vertAlign w:val="superscript"/>
          <w:lang w:val="en-US" w:eastAsia="zh-CN"/>
        </w:rPr>
        <w:t>2</w:t>
      </w:r>
      <w:r>
        <w:rPr>
          <w:rFonts w:hint="default" w:ascii="Times New Roman" w:hAnsi="Times New Roman" w:eastAsia="仿宋_GB2312" w:cs="Times New Roman"/>
          <w:color w:val="auto"/>
          <w:sz w:val="24"/>
          <w:szCs w:val="28"/>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lang w:eastAsia="zh-CN"/>
        </w:rPr>
        <w:t>本期项目</w:t>
      </w:r>
      <w:r>
        <w:rPr>
          <w:rFonts w:hint="default" w:ascii="Times New Roman" w:hAnsi="Times New Roman" w:eastAsia="仿宋_GB2312" w:cs="Times New Roman"/>
          <w:sz w:val="24"/>
          <w:szCs w:val="24"/>
          <w:highlight w:val="none"/>
        </w:rPr>
        <w:t>土石方总量</w:t>
      </w:r>
      <w:r>
        <w:rPr>
          <w:rFonts w:hint="eastAsia" w:eastAsia="仿宋_GB2312" w:cs="Times New Roman"/>
          <w:sz w:val="24"/>
          <w:szCs w:val="24"/>
          <w:highlight w:val="none"/>
          <w:lang w:val="en-US" w:eastAsia="zh-CN"/>
        </w:rPr>
        <w:t>44.58</w:t>
      </w:r>
      <w:r>
        <w:rPr>
          <w:rFonts w:hint="default" w:ascii="Times New Roman" w:hAnsi="Times New Roman" w:eastAsia="仿宋_GB2312" w:cs="Times New Roman"/>
          <w:sz w:val="24"/>
          <w:szCs w:val="24"/>
          <w:highlight w:val="none"/>
        </w:rPr>
        <w:t>万m³，其中开挖土石方量</w:t>
      </w:r>
      <w:r>
        <w:rPr>
          <w:rFonts w:hint="eastAsia" w:eastAsia="仿宋_GB2312" w:cs="Times New Roman"/>
          <w:sz w:val="24"/>
          <w:szCs w:val="24"/>
          <w:highlight w:val="none"/>
          <w:lang w:val="en-US" w:eastAsia="zh-CN"/>
        </w:rPr>
        <w:t>21.69</w:t>
      </w:r>
      <w:r>
        <w:rPr>
          <w:rFonts w:hint="default" w:ascii="Times New Roman" w:hAnsi="Times New Roman" w:eastAsia="仿宋_GB2312" w:cs="Times New Roman"/>
          <w:sz w:val="24"/>
          <w:szCs w:val="24"/>
          <w:highlight w:val="none"/>
        </w:rPr>
        <w:t>万m³，回填土石方量</w:t>
      </w:r>
      <w:r>
        <w:rPr>
          <w:rFonts w:hint="eastAsia" w:eastAsia="仿宋_GB2312" w:cs="Times New Roman"/>
          <w:sz w:val="24"/>
          <w:szCs w:val="24"/>
          <w:highlight w:val="none"/>
          <w:lang w:val="en-US" w:eastAsia="zh-CN"/>
        </w:rPr>
        <w:t>22.89</w:t>
      </w:r>
      <w:r>
        <w:rPr>
          <w:rFonts w:hint="default" w:ascii="Times New Roman" w:hAnsi="Times New Roman" w:eastAsia="仿宋_GB2312" w:cs="Times New Roman"/>
          <w:sz w:val="24"/>
          <w:szCs w:val="24"/>
          <w:highlight w:val="none"/>
        </w:rPr>
        <w:t>万m³</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rPr>
        <w:t>绿化用土回覆</w:t>
      </w:r>
      <w:r>
        <w:rPr>
          <w:rFonts w:hint="eastAsia" w:eastAsia="仿宋_GB2312" w:cs="Times New Roman"/>
          <w:sz w:val="24"/>
          <w:szCs w:val="24"/>
          <w:highlight w:val="none"/>
          <w:lang w:eastAsia="zh-CN"/>
        </w:rPr>
        <w:t>1.20</w:t>
      </w:r>
      <w:r>
        <w:rPr>
          <w:rFonts w:hint="default" w:ascii="Times New Roman" w:hAnsi="Times New Roman" w:eastAsia="仿宋_GB2312" w:cs="Times New Roman"/>
          <w:sz w:val="24"/>
          <w:szCs w:val="24"/>
          <w:highlight w:val="none"/>
        </w:rPr>
        <w:t>万m³</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rPr>
        <w:t>，需外借绿化用土</w:t>
      </w:r>
      <w:r>
        <w:rPr>
          <w:rFonts w:hint="eastAsia" w:eastAsia="仿宋_GB2312" w:cs="Times New Roman"/>
          <w:sz w:val="24"/>
          <w:szCs w:val="24"/>
          <w:highlight w:val="none"/>
          <w:lang w:eastAsia="zh-CN"/>
        </w:rPr>
        <w:t>1.20</w:t>
      </w:r>
      <w:r>
        <w:rPr>
          <w:rFonts w:hint="default" w:ascii="Times New Roman" w:hAnsi="Times New Roman" w:eastAsia="仿宋_GB2312" w:cs="Times New Roman"/>
          <w:sz w:val="24"/>
          <w:szCs w:val="24"/>
          <w:highlight w:val="none"/>
        </w:rPr>
        <w:t>万m³，土方来源</w:t>
      </w:r>
      <w:r>
        <w:rPr>
          <w:rFonts w:hint="eastAsia" w:eastAsia="仿宋_GB2312" w:cs="Times New Roman"/>
          <w:sz w:val="24"/>
          <w:szCs w:val="24"/>
          <w:highlight w:val="none"/>
          <w:lang w:val="en-US" w:eastAsia="zh-CN"/>
        </w:rPr>
        <w:t>由绿化公司负责</w:t>
      </w:r>
      <w:r>
        <w:rPr>
          <w:rFonts w:hint="default" w:ascii="Times New Roman" w:hAnsi="Times New Roman" w:eastAsia="仿宋_GB2312" w:cs="Times New Roman"/>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sz w:val="24"/>
          <w:szCs w:val="24"/>
          <w:highlight w:val="none"/>
        </w:rPr>
      </w:pPr>
      <w:r>
        <w:rPr>
          <w:rFonts w:hint="default" w:ascii="Times New Roman" w:hAnsi="Times New Roman" w:eastAsia="仿宋_GB2312" w:cs="Times New Roman"/>
          <w:sz w:val="24"/>
          <w:szCs w:val="24"/>
          <w:highlight w:val="none"/>
        </w:rPr>
        <w:t>该项工程土石方平衡及土石方流向见表2-5、图2-</w:t>
      </w:r>
      <w:r>
        <w:rPr>
          <w:rFonts w:hint="eastAsia" w:eastAsia="仿宋_GB2312" w:cs="Times New Roman"/>
          <w:sz w:val="24"/>
          <w:szCs w:val="24"/>
          <w:highlight w:val="none"/>
          <w:lang w:val="en-US" w:eastAsia="zh-CN"/>
        </w:rPr>
        <w:t>4</w:t>
      </w:r>
      <w:r>
        <w:rPr>
          <w:rFonts w:hint="default" w:ascii="Times New Roman" w:hAnsi="Times New Roman" w:eastAsia="仿宋_GB2312" w:cs="Times New Roman"/>
          <w:sz w:val="24"/>
          <w:szCs w:val="24"/>
          <w:highlight w:val="none"/>
        </w:rPr>
        <w:t>。</w:t>
      </w:r>
    </w:p>
    <w:p>
      <w:pPr>
        <w:pStyle w:val="153"/>
        <w:keepNext w:val="0"/>
        <w:keepLines w:val="0"/>
        <w:pageBreakBefore w:val="0"/>
        <w:widowControl w:val="0"/>
        <w:kinsoku/>
        <w:wordWrap/>
        <w:overflowPunct/>
        <w:topLinePunct w:val="0"/>
        <w:autoSpaceDE/>
        <w:autoSpaceDN/>
        <w:bidi w:val="0"/>
        <w:adjustRightInd/>
        <w:snapToGrid w:val="0"/>
        <w:spacing w:line="240" w:lineRule="auto"/>
        <w:ind w:firstLine="0"/>
        <w:jc w:val="right"/>
        <w:textAlignment w:val="auto"/>
        <w:rPr>
          <w:rFonts w:hint="default" w:ascii="Times New Roman" w:hAnsi="Times New Roman" w:eastAsia="仿宋" w:cs="Times New Roman"/>
          <w:color w:val="auto"/>
          <w:sz w:val="18"/>
          <w:szCs w:val="18"/>
        </w:rPr>
      </w:pPr>
      <w:r>
        <w:rPr>
          <w:rFonts w:hint="default" w:ascii="Times New Roman" w:hAnsi="Times New Roman" w:eastAsia="微软雅黑" w:cs="Times New Roman"/>
          <w:b w:val="0"/>
          <w:bCs/>
          <w:color w:val="auto"/>
          <w:sz w:val="21"/>
          <w:szCs w:val="21"/>
          <w:lang w:val="en-US" w:eastAsia="zh-CN"/>
        </w:rPr>
        <w:t>表2-5  土石方平很表</w:t>
      </w:r>
      <w:r>
        <w:rPr>
          <w:rFonts w:hint="default" w:ascii="Times New Roman" w:hAnsi="Times New Roman" w:eastAsia="仿宋" w:cs="Times New Roman"/>
          <w:color w:val="auto"/>
          <w:sz w:val="21"/>
          <w:szCs w:val="21"/>
          <w:lang w:val="en-US" w:eastAsia="zh-CN"/>
        </w:rPr>
        <w:t xml:space="preserve">                      </w:t>
      </w:r>
      <w:r>
        <w:rPr>
          <w:rFonts w:hint="default" w:ascii="Times New Roman" w:hAnsi="Times New Roman" w:eastAsia="仿宋" w:cs="Times New Roman"/>
          <w:color w:val="auto"/>
          <w:sz w:val="18"/>
          <w:szCs w:val="18"/>
          <w:lang w:val="en-US" w:eastAsia="zh-CN"/>
        </w:rPr>
        <w:t>单位：</w:t>
      </w:r>
      <w:r>
        <w:rPr>
          <w:rFonts w:hint="default" w:ascii="Times New Roman" w:hAnsi="Times New Roman" w:eastAsia="仿宋" w:cs="Times New Roman"/>
          <w:color w:val="auto"/>
          <w:sz w:val="18"/>
          <w:szCs w:val="18"/>
        </w:rPr>
        <w:t>万m³</w:t>
      </w:r>
    </w:p>
    <w:tbl>
      <w:tblPr>
        <w:tblStyle w:val="88"/>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11"/>
        <w:gridCol w:w="853"/>
        <w:gridCol w:w="716"/>
        <w:gridCol w:w="666"/>
        <w:gridCol w:w="688"/>
        <w:gridCol w:w="1111"/>
        <w:gridCol w:w="650"/>
        <w:gridCol w:w="669"/>
        <w:gridCol w:w="666"/>
        <w:gridCol w:w="654"/>
        <w:gridCol w:w="650"/>
        <w:gridCol w:w="6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55"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sz w:val="20"/>
                <w:szCs w:val="20"/>
                <w:u w:val="none"/>
              </w:rPr>
            </w:pPr>
            <w:r>
              <w:rPr>
                <w:rFonts w:hint="default" w:ascii="Times New Roman" w:hAnsi="Times New Roman" w:eastAsia="仿宋_GB2312" w:cs="Times New Roman"/>
                <w:b w:val="0"/>
                <w:bCs w:val="0"/>
                <w:i w:val="0"/>
                <w:iCs w:val="0"/>
                <w:color w:val="000000"/>
                <w:kern w:val="0"/>
                <w:sz w:val="20"/>
                <w:szCs w:val="20"/>
                <w:u w:val="none"/>
                <w:lang w:val="en-US" w:eastAsia="zh-CN" w:bidi="ar"/>
              </w:rPr>
              <w:t>分区</w:t>
            </w:r>
          </w:p>
        </w:tc>
        <w:tc>
          <w:tcPr>
            <w:tcW w:w="495"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sz w:val="20"/>
                <w:szCs w:val="20"/>
                <w:u w:val="none"/>
              </w:rPr>
            </w:pPr>
            <w:r>
              <w:rPr>
                <w:rFonts w:hint="default" w:ascii="Times New Roman" w:hAnsi="Times New Roman" w:eastAsia="仿宋_GB2312" w:cs="Times New Roman"/>
                <w:b w:val="0"/>
                <w:bCs w:val="0"/>
                <w:i w:val="0"/>
                <w:iCs w:val="0"/>
                <w:color w:val="000000"/>
                <w:kern w:val="0"/>
                <w:sz w:val="20"/>
                <w:szCs w:val="20"/>
                <w:u w:val="none"/>
                <w:lang w:val="en-US" w:eastAsia="zh-CN" w:bidi="ar"/>
              </w:rPr>
              <w:t>分类</w:t>
            </w:r>
          </w:p>
        </w:tc>
        <w:tc>
          <w:tcPr>
            <w:tcW w:w="415"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sz w:val="20"/>
                <w:szCs w:val="20"/>
                <w:u w:val="none"/>
              </w:rPr>
            </w:pPr>
            <w:r>
              <w:rPr>
                <w:rFonts w:hint="default" w:ascii="Times New Roman" w:hAnsi="Times New Roman" w:eastAsia="仿宋_GB2312" w:cs="Times New Roman"/>
                <w:b w:val="0"/>
                <w:bCs w:val="0"/>
                <w:i w:val="0"/>
                <w:iCs w:val="0"/>
                <w:color w:val="000000"/>
                <w:kern w:val="0"/>
                <w:sz w:val="20"/>
                <w:szCs w:val="20"/>
                <w:u w:val="none"/>
                <w:lang w:val="en-US" w:eastAsia="zh-CN" w:bidi="ar"/>
              </w:rPr>
              <w:t>挖方</w:t>
            </w:r>
          </w:p>
        </w:tc>
        <w:tc>
          <w:tcPr>
            <w:tcW w:w="38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sz w:val="20"/>
                <w:szCs w:val="20"/>
                <w:u w:val="none"/>
              </w:rPr>
            </w:pPr>
            <w:r>
              <w:rPr>
                <w:rFonts w:hint="default" w:ascii="Times New Roman" w:hAnsi="Times New Roman" w:eastAsia="仿宋_GB2312" w:cs="Times New Roman"/>
                <w:b w:val="0"/>
                <w:bCs w:val="0"/>
                <w:i w:val="0"/>
                <w:iCs w:val="0"/>
                <w:color w:val="000000"/>
                <w:kern w:val="0"/>
                <w:sz w:val="20"/>
                <w:szCs w:val="20"/>
                <w:u w:val="none"/>
                <w:lang w:val="en-US" w:eastAsia="zh-CN" w:bidi="ar"/>
              </w:rPr>
              <w:t>填方</w:t>
            </w:r>
          </w:p>
        </w:tc>
        <w:tc>
          <w:tcPr>
            <w:tcW w:w="1043"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sz w:val="20"/>
                <w:szCs w:val="20"/>
                <w:u w:val="none"/>
              </w:rPr>
            </w:pPr>
            <w:r>
              <w:rPr>
                <w:rFonts w:hint="default" w:ascii="Times New Roman" w:hAnsi="Times New Roman" w:eastAsia="仿宋_GB2312" w:cs="Times New Roman"/>
                <w:b w:val="0"/>
                <w:bCs w:val="0"/>
                <w:i w:val="0"/>
                <w:iCs w:val="0"/>
                <w:color w:val="000000"/>
                <w:kern w:val="0"/>
                <w:sz w:val="20"/>
                <w:szCs w:val="20"/>
                <w:u w:val="none"/>
                <w:lang w:val="en-US" w:eastAsia="zh-CN" w:bidi="ar"/>
              </w:rPr>
              <w:t>调入方</w:t>
            </w:r>
          </w:p>
        </w:tc>
        <w:tc>
          <w:tcPr>
            <w:tcW w:w="765"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sz w:val="20"/>
                <w:szCs w:val="20"/>
                <w:u w:val="none"/>
              </w:rPr>
            </w:pPr>
            <w:r>
              <w:rPr>
                <w:rFonts w:hint="default" w:ascii="Times New Roman" w:hAnsi="Times New Roman" w:eastAsia="仿宋_GB2312" w:cs="Times New Roman"/>
                <w:b w:val="0"/>
                <w:bCs w:val="0"/>
                <w:i w:val="0"/>
                <w:iCs w:val="0"/>
                <w:color w:val="000000"/>
                <w:kern w:val="0"/>
                <w:sz w:val="20"/>
                <w:szCs w:val="20"/>
                <w:u w:val="none"/>
                <w:lang w:val="en-US" w:eastAsia="zh-CN" w:bidi="ar"/>
              </w:rPr>
              <w:t>调出方</w:t>
            </w:r>
          </w:p>
        </w:tc>
        <w:tc>
          <w:tcPr>
            <w:tcW w:w="765"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sz w:val="20"/>
                <w:szCs w:val="20"/>
                <w:u w:val="none"/>
              </w:rPr>
            </w:pPr>
            <w:r>
              <w:rPr>
                <w:rFonts w:hint="default" w:ascii="Times New Roman" w:hAnsi="Times New Roman" w:eastAsia="仿宋_GB2312" w:cs="Times New Roman"/>
                <w:b w:val="0"/>
                <w:bCs w:val="0"/>
                <w:i w:val="0"/>
                <w:iCs w:val="0"/>
                <w:color w:val="000000"/>
                <w:kern w:val="0"/>
                <w:sz w:val="20"/>
                <w:szCs w:val="20"/>
                <w:u w:val="none"/>
                <w:lang w:val="en-US" w:eastAsia="zh-CN" w:bidi="ar"/>
              </w:rPr>
              <w:t>外借方</w:t>
            </w:r>
          </w:p>
        </w:tc>
        <w:tc>
          <w:tcPr>
            <w:tcW w:w="774"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sz w:val="20"/>
                <w:szCs w:val="20"/>
                <w:u w:val="none"/>
              </w:rPr>
            </w:pPr>
            <w:r>
              <w:rPr>
                <w:rFonts w:hint="default" w:ascii="Times New Roman" w:hAnsi="Times New Roman" w:eastAsia="仿宋_GB2312" w:cs="Times New Roman"/>
                <w:b w:val="0"/>
                <w:bCs w:val="0"/>
                <w:i w:val="0"/>
                <w:iCs w:val="0"/>
                <w:color w:val="000000"/>
                <w:kern w:val="0"/>
                <w:sz w:val="20"/>
                <w:szCs w:val="20"/>
                <w:u w:val="none"/>
                <w:lang w:val="en-US" w:eastAsia="zh-CN" w:bidi="ar"/>
              </w:rPr>
              <w:t>余方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5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b w:val="0"/>
                <w:bCs w:val="0"/>
                <w:i w:val="0"/>
                <w:iCs w:val="0"/>
                <w:color w:val="000000"/>
                <w:sz w:val="20"/>
                <w:szCs w:val="20"/>
                <w:u w:val="none"/>
              </w:rPr>
            </w:pPr>
          </w:p>
        </w:tc>
        <w:tc>
          <w:tcPr>
            <w:tcW w:w="49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b w:val="0"/>
                <w:bCs w:val="0"/>
                <w:i w:val="0"/>
                <w:iCs w:val="0"/>
                <w:color w:val="000000"/>
                <w:sz w:val="20"/>
                <w:szCs w:val="20"/>
                <w:u w:val="none"/>
              </w:rPr>
            </w:pPr>
          </w:p>
        </w:tc>
        <w:tc>
          <w:tcPr>
            <w:tcW w:w="41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b w:val="0"/>
                <w:bCs w:val="0"/>
                <w:i w:val="0"/>
                <w:iCs w:val="0"/>
                <w:color w:val="000000"/>
                <w:sz w:val="20"/>
                <w:szCs w:val="20"/>
                <w:u w:val="none"/>
              </w:rPr>
            </w:pPr>
          </w:p>
        </w:tc>
        <w:tc>
          <w:tcPr>
            <w:tcW w:w="38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b w:val="0"/>
                <w:bCs w:val="0"/>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sz w:val="20"/>
                <w:szCs w:val="20"/>
                <w:u w:val="none"/>
              </w:rPr>
            </w:pPr>
            <w:r>
              <w:rPr>
                <w:rFonts w:hint="default" w:ascii="Times New Roman" w:hAnsi="Times New Roman" w:eastAsia="仿宋_GB2312" w:cs="Times New Roman"/>
                <w:b w:val="0"/>
                <w:bCs w:val="0"/>
                <w:i w:val="0"/>
                <w:iCs w:val="0"/>
                <w:color w:val="000000"/>
                <w:kern w:val="0"/>
                <w:sz w:val="20"/>
                <w:szCs w:val="20"/>
                <w:u w:val="none"/>
                <w:lang w:val="en-US" w:eastAsia="zh-CN" w:bidi="ar"/>
              </w:rPr>
              <w:t>数量</w:t>
            </w:r>
          </w:p>
        </w:tc>
        <w:tc>
          <w:tcPr>
            <w:tcW w:w="6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sz w:val="20"/>
                <w:szCs w:val="20"/>
                <w:u w:val="none"/>
              </w:rPr>
            </w:pPr>
            <w:r>
              <w:rPr>
                <w:rFonts w:hint="default" w:ascii="Times New Roman" w:hAnsi="Times New Roman" w:eastAsia="仿宋_GB2312" w:cs="Times New Roman"/>
                <w:b w:val="0"/>
                <w:bCs w:val="0"/>
                <w:i w:val="0"/>
                <w:iCs w:val="0"/>
                <w:color w:val="000000"/>
                <w:kern w:val="0"/>
                <w:sz w:val="20"/>
                <w:szCs w:val="20"/>
                <w:u w:val="none"/>
                <w:lang w:val="en-US" w:eastAsia="zh-CN" w:bidi="ar"/>
              </w:rPr>
              <w:t>来源</w:t>
            </w:r>
          </w:p>
        </w:tc>
        <w:tc>
          <w:tcPr>
            <w:tcW w:w="37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sz w:val="20"/>
                <w:szCs w:val="20"/>
                <w:u w:val="none"/>
              </w:rPr>
            </w:pPr>
            <w:r>
              <w:rPr>
                <w:rFonts w:hint="default" w:ascii="Times New Roman" w:hAnsi="Times New Roman" w:eastAsia="仿宋_GB2312" w:cs="Times New Roman"/>
                <w:b w:val="0"/>
                <w:bCs w:val="0"/>
                <w:i w:val="0"/>
                <w:iCs w:val="0"/>
                <w:color w:val="000000"/>
                <w:kern w:val="0"/>
                <w:sz w:val="20"/>
                <w:szCs w:val="20"/>
                <w:u w:val="none"/>
                <w:lang w:val="en-US" w:eastAsia="zh-CN" w:bidi="ar"/>
              </w:rPr>
              <w:t>数量</w:t>
            </w:r>
          </w:p>
        </w:tc>
        <w:tc>
          <w:tcPr>
            <w:tcW w:w="3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sz w:val="20"/>
                <w:szCs w:val="20"/>
                <w:u w:val="none"/>
              </w:rPr>
            </w:pPr>
            <w:r>
              <w:rPr>
                <w:rFonts w:hint="default" w:ascii="Times New Roman" w:hAnsi="Times New Roman" w:eastAsia="仿宋_GB2312" w:cs="Times New Roman"/>
                <w:b w:val="0"/>
                <w:bCs w:val="0"/>
                <w:i w:val="0"/>
                <w:iCs w:val="0"/>
                <w:color w:val="000000"/>
                <w:kern w:val="0"/>
                <w:sz w:val="20"/>
                <w:szCs w:val="20"/>
                <w:u w:val="none"/>
                <w:lang w:val="en-US" w:eastAsia="zh-CN" w:bidi="ar"/>
              </w:rPr>
              <w:t>去向</w:t>
            </w:r>
          </w:p>
        </w:tc>
        <w:tc>
          <w:tcPr>
            <w:tcW w:w="38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sz w:val="20"/>
                <w:szCs w:val="20"/>
                <w:u w:val="none"/>
              </w:rPr>
            </w:pPr>
            <w:r>
              <w:rPr>
                <w:rFonts w:hint="default" w:ascii="Times New Roman" w:hAnsi="Times New Roman" w:eastAsia="仿宋_GB2312" w:cs="Times New Roman"/>
                <w:b w:val="0"/>
                <w:bCs w:val="0"/>
                <w:i w:val="0"/>
                <w:iCs w:val="0"/>
                <w:color w:val="000000"/>
                <w:kern w:val="0"/>
                <w:sz w:val="20"/>
                <w:szCs w:val="20"/>
                <w:u w:val="none"/>
                <w:lang w:val="en-US" w:eastAsia="zh-CN" w:bidi="ar"/>
              </w:rPr>
              <w:t>数量</w:t>
            </w:r>
          </w:p>
        </w:tc>
        <w:tc>
          <w:tcPr>
            <w:tcW w:w="37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sz w:val="20"/>
                <w:szCs w:val="20"/>
                <w:u w:val="none"/>
              </w:rPr>
            </w:pPr>
            <w:r>
              <w:rPr>
                <w:rFonts w:hint="default" w:ascii="Times New Roman" w:hAnsi="Times New Roman" w:eastAsia="仿宋_GB2312" w:cs="Times New Roman"/>
                <w:b w:val="0"/>
                <w:bCs w:val="0"/>
                <w:i w:val="0"/>
                <w:iCs w:val="0"/>
                <w:color w:val="000000"/>
                <w:kern w:val="0"/>
                <w:sz w:val="20"/>
                <w:szCs w:val="20"/>
                <w:u w:val="none"/>
                <w:lang w:val="en-US" w:eastAsia="zh-CN" w:bidi="ar"/>
              </w:rPr>
              <w:t>来源</w:t>
            </w:r>
          </w:p>
        </w:tc>
        <w:tc>
          <w:tcPr>
            <w:tcW w:w="37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sz w:val="20"/>
                <w:szCs w:val="20"/>
                <w:u w:val="none"/>
              </w:rPr>
            </w:pPr>
            <w:r>
              <w:rPr>
                <w:rFonts w:hint="default" w:ascii="Times New Roman" w:hAnsi="Times New Roman" w:eastAsia="仿宋_GB2312" w:cs="Times New Roman"/>
                <w:b w:val="0"/>
                <w:bCs w:val="0"/>
                <w:i w:val="0"/>
                <w:iCs w:val="0"/>
                <w:color w:val="000000"/>
                <w:kern w:val="0"/>
                <w:sz w:val="20"/>
                <w:szCs w:val="20"/>
                <w:u w:val="none"/>
                <w:lang w:val="en-US" w:eastAsia="zh-CN" w:bidi="ar"/>
              </w:rPr>
              <w:t>数量</w:t>
            </w:r>
          </w:p>
        </w:tc>
        <w:tc>
          <w:tcPr>
            <w:tcW w:w="3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sz w:val="20"/>
                <w:szCs w:val="20"/>
                <w:u w:val="none"/>
              </w:rPr>
            </w:pPr>
            <w:r>
              <w:rPr>
                <w:rFonts w:hint="default" w:ascii="Times New Roman" w:hAnsi="Times New Roman" w:eastAsia="仿宋_GB2312" w:cs="Times New Roman"/>
                <w:b w:val="0"/>
                <w:bCs w:val="0"/>
                <w:i w:val="0"/>
                <w:iCs w:val="0"/>
                <w:color w:val="000000"/>
                <w:kern w:val="0"/>
                <w:sz w:val="20"/>
                <w:szCs w:val="20"/>
                <w:u w:val="none"/>
                <w:lang w:val="en-US" w:eastAsia="zh-CN" w:bidi="ar"/>
              </w:rPr>
              <w:t>去向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55" w:type="pct"/>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sz w:val="20"/>
                <w:szCs w:val="20"/>
                <w:u w:val="none"/>
              </w:rPr>
            </w:pPr>
            <w:r>
              <w:rPr>
                <w:rFonts w:hint="default" w:ascii="Times New Roman" w:hAnsi="Times New Roman" w:eastAsia="仿宋_GB2312" w:cs="Times New Roman"/>
                <w:b w:val="0"/>
                <w:bCs w:val="0"/>
                <w:i w:val="0"/>
                <w:iCs w:val="0"/>
                <w:color w:val="000000"/>
                <w:kern w:val="0"/>
                <w:sz w:val="20"/>
                <w:szCs w:val="20"/>
                <w:u w:val="none"/>
                <w:lang w:val="en-US" w:eastAsia="zh-CN" w:bidi="ar"/>
              </w:rPr>
              <w:t>工程建设区</w:t>
            </w:r>
          </w:p>
        </w:tc>
        <w:tc>
          <w:tcPr>
            <w:tcW w:w="49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sz w:val="20"/>
                <w:szCs w:val="20"/>
                <w:u w:val="none"/>
              </w:rPr>
            </w:pPr>
            <w:r>
              <w:rPr>
                <w:rFonts w:hint="default" w:ascii="Times New Roman" w:hAnsi="Times New Roman" w:eastAsia="仿宋_GB2312" w:cs="Times New Roman"/>
                <w:b w:val="0"/>
                <w:bCs w:val="0"/>
                <w:i w:val="0"/>
                <w:iCs w:val="0"/>
                <w:color w:val="000000"/>
                <w:kern w:val="0"/>
                <w:sz w:val="20"/>
                <w:szCs w:val="20"/>
                <w:u w:val="none"/>
                <w:lang w:val="en-US" w:eastAsia="zh-CN" w:bidi="ar"/>
              </w:rPr>
              <w:t>土石方</w:t>
            </w:r>
          </w:p>
        </w:tc>
        <w:tc>
          <w:tcPr>
            <w:tcW w:w="41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sz w:val="20"/>
                <w:szCs w:val="20"/>
                <w:u w:val="none"/>
                <w:lang w:val="en-US"/>
              </w:rPr>
            </w:pPr>
            <w:r>
              <w:rPr>
                <w:rFonts w:hint="eastAsia" w:eastAsia="仿宋_GB2312" w:cs="Times New Roman"/>
                <w:b w:val="0"/>
                <w:bCs w:val="0"/>
                <w:i w:val="0"/>
                <w:iCs w:val="0"/>
                <w:color w:val="000000"/>
                <w:kern w:val="0"/>
                <w:sz w:val="20"/>
                <w:szCs w:val="20"/>
                <w:u w:val="none"/>
                <w:lang w:val="en-US" w:eastAsia="zh-CN" w:bidi="ar"/>
              </w:rPr>
              <w:t>21.69</w:t>
            </w:r>
          </w:p>
        </w:tc>
        <w:tc>
          <w:tcPr>
            <w:tcW w:w="38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sz w:val="20"/>
                <w:szCs w:val="20"/>
                <w:u w:val="none"/>
                <w:lang w:val="en-US"/>
              </w:rPr>
            </w:pPr>
            <w:r>
              <w:rPr>
                <w:rFonts w:hint="eastAsia" w:eastAsia="仿宋_GB2312" w:cs="Times New Roman"/>
                <w:b w:val="0"/>
                <w:bCs w:val="0"/>
                <w:i w:val="0"/>
                <w:iCs w:val="0"/>
                <w:color w:val="000000"/>
                <w:kern w:val="0"/>
                <w:sz w:val="20"/>
                <w:szCs w:val="20"/>
                <w:u w:val="none"/>
                <w:lang w:val="en-US" w:eastAsia="zh-CN" w:bidi="ar"/>
              </w:rPr>
              <w:t>21.69</w:t>
            </w:r>
          </w:p>
        </w:tc>
        <w:tc>
          <w:tcPr>
            <w:tcW w:w="39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b w:val="0"/>
                <w:bCs w:val="0"/>
                <w:i w:val="0"/>
                <w:iCs w:val="0"/>
                <w:color w:val="000000"/>
                <w:sz w:val="20"/>
                <w:szCs w:val="20"/>
                <w:u w:val="none"/>
              </w:rPr>
            </w:pPr>
          </w:p>
        </w:tc>
        <w:tc>
          <w:tcPr>
            <w:tcW w:w="64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b w:val="0"/>
                <w:bCs w:val="0"/>
                <w:i w:val="0"/>
                <w:iCs w:val="0"/>
                <w:color w:val="000000"/>
                <w:sz w:val="20"/>
                <w:szCs w:val="20"/>
                <w:u w:val="none"/>
              </w:rPr>
            </w:pPr>
          </w:p>
        </w:tc>
        <w:tc>
          <w:tcPr>
            <w:tcW w:w="377"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b w:val="0"/>
                <w:bCs w:val="0"/>
                <w:i w:val="0"/>
                <w:iCs w:val="0"/>
                <w:color w:val="000000"/>
                <w:sz w:val="20"/>
                <w:szCs w:val="20"/>
                <w:u w:val="none"/>
              </w:rPr>
            </w:pPr>
          </w:p>
        </w:tc>
        <w:tc>
          <w:tcPr>
            <w:tcW w:w="387"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b w:val="0"/>
                <w:bCs w:val="0"/>
                <w:i w:val="0"/>
                <w:iCs w:val="0"/>
                <w:color w:val="000000"/>
                <w:sz w:val="20"/>
                <w:szCs w:val="20"/>
                <w:u w:val="none"/>
              </w:rPr>
            </w:pPr>
          </w:p>
        </w:tc>
        <w:tc>
          <w:tcPr>
            <w:tcW w:w="38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b w:val="0"/>
                <w:bCs w:val="0"/>
                <w:i w:val="0"/>
                <w:iCs w:val="0"/>
                <w:color w:val="000000"/>
                <w:sz w:val="20"/>
                <w:szCs w:val="20"/>
                <w:u w:val="none"/>
              </w:rPr>
            </w:pPr>
          </w:p>
        </w:tc>
        <w:tc>
          <w:tcPr>
            <w:tcW w:w="37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b w:val="0"/>
                <w:bCs w:val="0"/>
                <w:i w:val="0"/>
                <w:iCs w:val="0"/>
                <w:color w:val="000000"/>
                <w:sz w:val="20"/>
                <w:szCs w:val="20"/>
                <w:u w:val="none"/>
              </w:rPr>
            </w:pPr>
          </w:p>
        </w:tc>
        <w:tc>
          <w:tcPr>
            <w:tcW w:w="377"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b w:val="0"/>
                <w:bCs w:val="0"/>
                <w:i w:val="0"/>
                <w:iCs w:val="0"/>
                <w:color w:val="000000"/>
                <w:sz w:val="20"/>
                <w:szCs w:val="20"/>
                <w:u w:val="none"/>
              </w:rPr>
            </w:pPr>
          </w:p>
        </w:tc>
        <w:tc>
          <w:tcPr>
            <w:tcW w:w="39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55" w:type="pct"/>
            <w:vMerge w:val="continue"/>
            <w:tcBorders>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b w:val="0"/>
                <w:bCs w:val="0"/>
                <w:i w:val="0"/>
                <w:iCs w:val="0"/>
                <w:color w:val="000000"/>
                <w:sz w:val="20"/>
                <w:szCs w:val="20"/>
                <w:u w:val="none"/>
              </w:rPr>
            </w:pPr>
          </w:p>
        </w:tc>
        <w:tc>
          <w:tcPr>
            <w:tcW w:w="49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sz w:val="20"/>
                <w:szCs w:val="20"/>
                <w:u w:val="none"/>
              </w:rPr>
            </w:pPr>
            <w:r>
              <w:rPr>
                <w:rFonts w:hint="default" w:ascii="Times New Roman" w:hAnsi="Times New Roman" w:eastAsia="仿宋_GB2312" w:cs="Times New Roman"/>
                <w:b w:val="0"/>
                <w:bCs w:val="0"/>
                <w:i w:val="0"/>
                <w:iCs w:val="0"/>
                <w:color w:val="000000"/>
                <w:kern w:val="0"/>
                <w:sz w:val="20"/>
                <w:szCs w:val="20"/>
                <w:u w:val="none"/>
                <w:lang w:val="en-US" w:eastAsia="zh-CN" w:bidi="ar"/>
              </w:rPr>
              <w:t>表土</w:t>
            </w:r>
          </w:p>
        </w:tc>
        <w:tc>
          <w:tcPr>
            <w:tcW w:w="41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sz w:val="20"/>
                <w:szCs w:val="20"/>
                <w:u w:val="none"/>
              </w:rPr>
            </w:pPr>
            <w:r>
              <w:rPr>
                <w:rFonts w:hint="default" w:ascii="Times New Roman" w:hAnsi="Times New Roman" w:eastAsia="仿宋_GB2312" w:cs="Times New Roman"/>
                <w:b w:val="0"/>
                <w:bCs w:val="0"/>
                <w:i w:val="0"/>
                <w:iCs w:val="0"/>
                <w:color w:val="000000"/>
                <w:kern w:val="0"/>
                <w:sz w:val="20"/>
                <w:szCs w:val="20"/>
                <w:u w:val="none"/>
                <w:lang w:val="en-US" w:eastAsia="zh-CN" w:bidi="ar"/>
              </w:rPr>
              <w:t>/</w:t>
            </w:r>
          </w:p>
        </w:tc>
        <w:tc>
          <w:tcPr>
            <w:tcW w:w="38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sz w:val="20"/>
                <w:szCs w:val="20"/>
                <w:u w:val="none"/>
                <w:lang w:val="en-US"/>
              </w:rPr>
            </w:pPr>
            <w:r>
              <w:rPr>
                <w:rFonts w:hint="eastAsia" w:eastAsia="仿宋_GB2312" w:cs="Times New Roman"/>
                <w:b w:val="0"/>
                <w:bCs w:val="0"/>
                <w:i w:val="0"/>
                <w:iCs w:val="0"/>
                <w:color w:val="000000"/>
                <w:kern w:val="0"/>
                <w:sz w:val="20"/>
                <w:szCs w:val="20"/>
                <w:u w:val="none"/>
                <w:lang w:val="en-US" w:eastAsia="zh-CN" w:bidi="ar"/>
              </w:rPr>
              <w:t>1.20</w:t>
            </w:r>
          </w:p>
        </w:tc>
        <w:tc>
          <w:tcPr>
            <w:tcW w:w="39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b w:val="0"/>
                <w:bCs w:val="0"/>
                <w:i w:val="0"/>
                <w:iCs w:val="0"/>
                <w:color w:val="000000"/>
                <w:sz w:val="20"/>
                <w:szCs w:val="20"/>
                <w:u w:val="none"/>
                <w:lang w:val="en-US" w:eastAsia="zh-CN"/>
              </w:rPr>
            </w:pPr>
            <w:r>
              <w:rPr>
                <w:rFonts w:hint="eastAsia" w:eastAsia="仿宋_GB2312" w:cs="Times New Roman"/>
                <w:b w:val="0"/>
                <w:bCs w:val="0"/>
                <w:i w:val="0"/>
                <w:iCs w:val="0"/>
                <w:color w:val="000000"/>
                <w:sz w:val="20"/>
                <w:szCs w:val="20"/>
                <w:u w:val="none"/>
                <w:lang w:val="en-US" w:eastAsia="zh-CN"/>
              </w:rPr>
              <w:t>1.20</w:t>
            </w:r>
          </w:p>
        </w:tc>
        <w:tc>
          <w:tcPr>
            <w:tcW w:w="64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b w:val="0"/>
                <w:bCs w:val="0"/>
                <w:i w:val="0"/>
                <w:iCs w:val="0"/>
                <w:color w:val="000000"/>
                <w:sz w:val="20"/>
                <w:szCs w:val="20"/>
                <w:u w:val="none"/>
                <w:lang w:val="en-US"/>
              </w:rPr>
            </w:pPr>
            <w:r>
              <w:rPr>
                <w:rFonts w:hint="eastAsia" w:eastAsia="仿宋" w:cs="Times New Roman"/>
                <w:b w:val="0"/>
                <w:bCs w:val="0"/>
                <w:spacing w:val="3"/>
                <w:sz w:val="20"/>
                <w:szCs w:val="20"/>
                <w:lang w:val="en-US" w:eastAsia="zh-CN"/>
              </w:rPr>
              <w:t>绿化公司</w:t>
            </w:r>
          </w:p>
        </w:tc>
        <w:tc>
          <w:tcPr>
            <w:tcW w:w="37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sz w:val="20"/>
                <w:szCs w:val="20"/>
                <w:u w:val="none"/>
              </w:rPr>
            </w:pPr>
          </w:p>
        </w:tc>
        <w:tc>
          <w:tcPr>
            <w:tcW w:w="3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sz w:val="20"/>
                <w:szCs w:val="20"/>
                <w:u w:val="none"/>
              </w:rPr>
            </w:pPr>
          </w:p>
        </w:tc>
        <w:tc>
          <w:tcPr>
            <w:tcW w:w="38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b w:val="0"/>
                <w:bCs w:val="0"/>
                <w:i w:val="0"/>
                <w:iCs w:val="0"/>
                <w:color w:val="000000"/>
                <w:sz w:val="20"/>
                <w:szCs w:val="20"/>
                <w:u w:val="none"/>
              </w:rPr>
            </w:pPr>
          </w:p>
        </w:tc>
        <w:tc>
          <w:tcPr>
            <w:tcW w:w="37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b w:val="0"/>
                <w:bCs w:val="0"/>
                <w:i w:val="0"/>
                <w:iCs w:val="0"/>
                <w:color w:val="000000"/>
                <w:sz w:val="20"/>
                <w:szCs w:val="20"/>
                <w:u w:val="none"/>
              </w:rPr>
            </w:pPr>
          </w:p>
        </w:tc>
        <w:tc>
          <w:tcPr>
            <w:tcW w:w="377"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b w:val="0"/>
                <w:bCs w:val="0"/>
                <w:i w:val="0"/>
                <w:iCs w:val="0"/>
                <w:color w:val="000000"/>
                <w:sz w:val="20"/>
                <w:szCs w:val="20"/>
                <w:u w:val="none"/>
              </w:rPr>
            </w:pPr>
          </w:p>
        </w:tc>
        <w:tc>
          <w:tcPr>
            <w:tcW w:w="39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b w:val="0"/>
                <w:bCs w:val="0"/>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850"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sz w:val="20"/>
                <w:szCs w:val="20"/>
                <w:u w:val="none"/>
              </w:rPr>
            </w:pPr>
            <w:r>
              <w:rPr>
                <w:rFonts w:hint="default" w:ascii="Times New Roman" w:hAnsi="Times New Roman" w:eastAsia="仿宋_GB2312" w:cs="Times New Roman"/>
                <w:b w:val="0"/>
                <w:bCs w:val="0"/>
                <w:i w:val="0"/>
                <w:iCs w:val="0"/>
                <w:color w:val="000000"/>
                <w:kern w:val="0"/>
                <w:sz w:val="20"/>
                <w:szCs w:val="20"/>
                <w:u w:val="none"/>
                <w:lang w:val="en-US" w:eastAsia="zh-CN" w:bidi="ar"/>
              </w:rPr>
              <w:t>合计</w:t>
            </w:r>
          </w:p>
        </w:tc>
        <w:tc>
          <w:tcPr>
            <w:tcW w:w="41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sz w:val="20"/>
                <w:szCs w:val="20"/>
                <w:u w:val="none"/>
                <w:lang w:val="en-US"/>
              </w:rPr>
            </w:pPr>
            <w:r>
              <w:rPr>
                <w:rFonts w:hint="eastAsia" w:eastAsia="仿宋_GB2312" w:cs="Times New Roman"/>
                <w:b w:val="0"/>
                <w:bCs w:val="0"/>
                <w:i w:val="0"/>
                <w:iCs w:val="0"/>
                <w:color w:val="000000"/>
                <w:kern w:val="0"/>
                <w:sz w:val="20"/>
                <w:szCs w:val="20"/>
                <w:u w:val="none"/>
                <w:lang w:val="en-US" w:eastAsia="zh-CN" w:bidi="ar"/>
              </w:rPr>
              <w:t>21.69</w:t>
            </w:r>
          </w:p>
        </w:tc>
        <w:tc>
          <w:tcPr>
            <w:tcW w:w="38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sz w:val="20"/>
                <w:szCs w:val="20"/>
                <w:u w:val="none"/>
                <w:lang w:val="en-US"/>
              </w:rPr>
            </w:pPr>
            <w:r>
              <w:rPr>
                <w:rFonts w:hint="eastAsia" w:eastAsia="仿宋_GB2312" w:cs="Times New Roman"/>
                <w:b w:val="0"/>
                <w:bCs w:val="0"/>
                <w:i w:val="0"/>
                <w:iCs w:val="0"/>
                <w:color w:val="000000"/>
                <w:kern w:val="0"/>
                <w:sz w:val="20"/>
                <w:szCs w:val="20"/>
                <w:u w:val="none"/>
                <w:lang w:val="en-US" w:eastAsia="zh-CN" w:bidi="ar"/>
              </w:rPr>
              <w:t>22.89</w:t>
            </w:r>
          </w:p>
        </w:tc>
        <w:tc>
          <w:tcPr>
            <w:tcW w:w="39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b w:val="0"/>
                <w:bCs w:val="0"/>
                <w:i w:val="0"/>
                <w:iCs w:val="0"/>
                <w:color w:val="000000"/>
                <w:sz w:val="20"/>
                <w:szCs w:val="20"/>
                <w:u w:val="none"/>
                <w:lang w:val="en-US" w:eastAsia="zh-CN"/>
              </w:rPr>
            </w:pPr>
            <w:r>
              <w:rPr>
                <w:rFonts w:hint="eastAsia" w:eastAsia="仿宋_GB2312" w:cs="Times New Roman"/>
                <w:b w:val="0"/>
                <w:bCs w:val="0"/>
                <w:i w:val="0"/>
                <w:iCs w:val="0"/>
                <w:color w:val="000000"/>
                <w:sz w:val="20"/>
                <w:szCs w:val="20"/>
                <w:u w:val="none"/>
                <w:lang w:val="en-US" w:eastAsia="zh-CN"/>
              </w:rPr>
              <w:t>1.20</w:t>
            </w:r>
          </w:p>
        </w:tc>
        <w:tc>
          <w:tcPr>
            <w:tcW w:w="64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b w:val="0"/>
                <w:bCs w:val="0"/>
                <w:i w:val="0"/>
                <w:iCs w:val="0"/>
                <w:color w:val="000000"/>
                <w:sz w:val="20"/>
                <w:szCs w:val="20"/>
                <w:u w:val="none"/>
              </w:rPr>
            </w:pPr>
          </w:p>
        </w:tc>
        <w:tc>
          <w:tcPr>
            <w:tcW w:w="377"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b w:val="0"/>
                <w:bCs w:val="0"/>
                <w:i w:val="0"/>
                <w:iCs w:val="0"/>
                <w:color w:val="000000"/>
                <w:sz w:val="20"/>
                <w:szCs w:val="20"/>
                <w:u w:val="none"/>
              </w:rPr>
            </w:pPr>
          </w:p>
        </w:tc>
        <w:tc>
          <w:tcPr>
            <w:tcW w:w="387"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b w:val="0"/>
                <w:bCs w:val="0"/>
                <w:i w:val="0"/>
                <w:iCs w:val="0"/>
                <w:color w:val="000000"/>
                <w:sz w:val="20"/>
                <w:szCs w:val="20"/>
                <w:u w:val="none"/>
              </w:rPr>
            </w:pPr>
          </w:p>
        </w:tc>
        <w:tc>
          <w:tcPr>
            <w:tcW w:w="38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b w:val="0"/>
                <w:bCs w:val="0"/>
                <w:i w:val="0"/>
                <w:iCs w:val="0"/>
                <w:color w:val="000000"/>
                <w:sz w:val="20"/>
                <w:szCs w:val="20"/>
                <w:u w:val="none"/>
              </w:rPr>
            </w:pPr>
          </w:p>
        </w:tc>
        <w:tc>
          <w:tcPr>
            <w:tcW w:w="37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b w:val="0"/>
                <w:bCs w:val="0"/>
                <w:i w:val="0"/>
                <w:iCs w:val="0"/>
                <w:color w:val="000000"/>
                <w:sz w:val="20"/>
                <w:szCs w:val="20"/>
                <w:u w:val="none"/>
              </w:rPr>
            </w:pPr>
          </w:p>
        </w:tc>
        <w:tc>
          <w:tcPr>
            <w:tcW w:w="377"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b w:val="0"/>
                <w:bCs w:val="0"/>
                <w:i w:val="0"/>
                <w:iCs w:val="0"/>
                <w:color w:val="000000"/>
                <w:sz w:val="20"/>
                <w:szCs w:val="20"/>
                <w:u w:val="none"/>
              </w:rPr>
            </w:pPr>
          </w:p>
        </w:tc>
        <w:tc>
          <w:tcPr>
            <w:tcW w:w="39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_GB2312" w:cs="Times New Roman"/>
                <w:b w:val="0"/>
                <w:bCs w:val="0"/>
                <w:i w:val="0"/>
                <w:iCs w:val="0"/>
                <w:color w:val="000000"/>
                <w:sz w:val="20"/>
                <w:szCs w:val="20"/>
                <w:u w:val="none"/>
              </w:rPr>
            </w:pPr>
          </w:p>
        </w:tc>
      </w:tr>
    </w:tbl>
    <w:p>
      <w:pPr>
        <w:pageBreakBefore w:val="0"/>
        <w:kinsoku/>
        <w:wordWrap/>
        <w:bidi w:val="0"/>
        <w:jc w:val="center"/>
        <w:rPr>
          <w:rFonts w:hint="default" w:ascii="Times New Roman" w:hAnsi="Times New Roman" w:eastAsia="微软雅黑" w:cs="Times New Roman"/>
          <w:b w:val="0"/>
          <w:bCs/>
          <w:color w:val="auto"/>
          <w:kern w:val="2"/>
          <w:sz w:val="21"/>
          <w:szCs w:val="21"/>
          <w:lang w:val="en-US" w:eastAsia="zh-CN" w:bidi="ar-SA"/>
        </w:rPr>
      </w:pPr>
      <w:r>
        <w:rPr>
          <w:rFonts w:hint="default" w:ascii="Times New Roman" w:hAnsi="Times New Roman" w:eastAsia="微软雅黑" w:cs="Times New Roman"/>
          <w:b w:val="0"/>
          <w:bCs/>
          <w:color w:val="auto"/>
          <w:kern w:val="2"/>
          <w:sz w:val="21"/>
          <w:szCs w:val="21"/>
          <w:lang w:val="en-US" w:eastAsia="zh-CN" w:bidi="ar-SA"/>
        </w:rPr>
        <w:drawing>
          <wp:inline distT="0" distB="0" distL="114300" distR="114300">
            <wp:extent cx="5338445" cy="2589530"/>
            <wp:effectExtent l="0" t="0" r="0" b="0"/>
            <wp:docPr id="1" name="图片 1" descr="未命名文件(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未命名文件(4)"/>
                    <pic:cNvPicPr>
                      <a:picLocks noChangeAspect="1"/>
                    </pic:cNvPicPr>
                  </pic:nvPicPr>
                  <pic:blipFill>
                    <a:blip r:embed="rId49"/>
                    <a:stretch>
                      <a:fillRect/>
                    </a:stretch>
                  </pic:blipFill>
                  <pic:spPr>
                    <a:xfrm>
                      <a:off x="0" y="0"/>
                      <a:ext cx="5338445" cy="25895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微软雅黑" w:cs="Times New Roman"/>
          <w:b w:val="0"/>
          <w:bCs/>
          <w:color w:val="auto"/>
          <w:kern w:val="2"/>
          <w:sz w:val="21"/>
          <w:szCs w:val="21"/>
          <w:lang w:val="en-US" w:eastAsia="zh-CN" w:bidi="ar-SA"/>
        </w:rPr>
      </w:pPr>
      <w:r>
        <w:rPr>
          <w:rFonts w:hint="default" w:ascii="Times New Roman" w:hAnsi="Times New Roman" w:eastAsia="微软雅黑" w:cs="Times New Roman"/>
          <w:b w:val="0"/>
          <w:bCs/>
          <w:color w:val="auto"/>
          <w:kern w:val="2"/>
          <w:sz w:val="21"/>
          <w:szCs w:val="21"/>
          <w:lang w:val="en-US" w:eastAsia="zh-CN" w:bidi="ar-SA"/>
        </w:rPr>
        <w:t>图2-</w:t>
      </w:r>
      <w:r>
        <w:rPr>
          <w:rFonts w:hint="eastAsia" w:ascii="Times New Roman" w:hAnsi="Times New Roman" w:eastAsia="微软雅黑" w:cs="Times New Roman"/>
          <w:b w:val="0"/>
          <w:bCs/>
          <w:color w:val="auto"/>
          <w:kern w:val="2"/>
          <w:sz w:val="21"/>
          <w:szCs w:val="21"/>
          <w:lang w:val="en-US" w:eastAsia="zh-CN" w:bidi="ar-SA"/>
        </w:rPr>
        <w:t>4</w:t>
      </w:r>
      <w:r>
        <w:rPr>
          <w:rFonts w:hint="default" w:ascii="Times New Roman" w:hAnsi="Times New Roman" w:eastAsia="微软雅黑" w:cs="Times New Roman"/>
          <w:b w:val="0"/>
          <w:bCs/>
          <w:color w:val="auto"/>
          <w:kern w:val="2"/>
          <w:sz w:val="21"/>
          <w:szCs w:val="21"/>
          <w:lang w:val="en-US" w:eastAsia="zh-CN" w:bidi="ar-SA"/>
        </w:rPr>
        <w:t xml:space="preserve">  土石方流向图</w:t>
      </w:r>
    </w:p>
    <w:bookmarkEnd w:id="131"/>
    <w:bookmarkEnd w:id="132"/>
    <w:bookmarkEnd w:id="133"/>
    <w:bookmarkEnd w:id="134"/>
    <w:bookmarkEnd w:id="135"/>
    <w:bookmarkEnd w:id="136"/>
    <w:bookmarkEnd w:id="137"/>
    <w:bookmarkEnd w:id="138"/>
    <w:bookmarkEnd w:id="139"/>
    <w:bookmarkEnd w:id="183"/>
    <w:p>
      <w:pPr>
        <w:pStyle w:val="5"/>
        <w:bidi w:val="0"/>
        <w:rPr>
          <w:rFonts w:hint="default" w:ascii="Times New Roman" w:hAnsi="Times New Roman" w:cs="Times New Roman"/>
        </w:rPr>
      </w:pPr>
      <w:bookmarkStart w:id="184" w:name="_Toc2363"/>
      <w:bookmarkStart w:id="185" w:name="_Toc2388"/>
      <w:bookmarkStart w:id="186" w:name="_Toc36799679"/>
      <w:bookmarkStart w:id="187" w:name="_Toc6723"/>
      <w:bookmarkStart w:id="188" w:name="_Toc290366644"/>
      <w:bookmarkStart w:id="189" w:name="_Toc277836146"/>
      <w:r>
        <w:rPr>
          <w:rFonts w:hint="default" w:ascii="Times New Roman" w:hAnsi="Times New Roman" w:cs="Times New Roman"/>
        </w:rPr>
        <w:t>2.5拆迁安置与专项设施改（迁）建</w:t>
      </w:r>
      <w:bookmarkEnd w:id="184"/>
      <w:bookmarkEnd w:id="185"/>
      <w:bookmarkEnd w:id="186"/>
      <w:bookmarkEnd w:id="187"/>
    </w:p>
    <w:p>
      <w:pPr>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bidi w:val="0"/>
        <w:adjustRightInd w:val="0"/>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lang w:eastAsia="zh-CN"/>
        </w:rPr>
        <w:t>本期工程</w:t>
      </w:r>
      <w:r>
        <w:rPr>
          <w:rFonts w:hint="default" w:ascii="Times New Roman" w:hAnsi="Times New Roman" w:eastAsia="仿宋_GB2312" w:cs="Times New Roman"/>
          <w:sz w:val="24"/>
          <w:highlight w:val="none"/>
        </w:rPr>
        <w:t>不涉及拆迁安置及专项设施改（迁）建。</w:t>
      </w:r>
    </w:p>
    <w:p>
      <w:pPr>
        <w:pStyle w:val="5"/>
        <w:bidi w:val="0"/>
        <w:rPr>
          <w:rFonts w:hint="default" w:ascii="Times New Roman" w:hAnsi="Times New Roman" w:cs="Times New Roman"/>
        </w:rPr>
      </w:pPr>
      <w:bookmarkStart w:id="190" w:name="_Toc11721"/>
      <w:bookmarkStart w:id="191" w:name="_Toc15684"/>
      <w:bookmarkStart w:id="192" w:name="_Toc21836"/>
      <w:bookmarkStart w:id="193" w:name="_Toc36799680"/>
      <w:r>
        <w:rPr>
          <w:rFonts w:hint="default" w:ascii="Times New Roman" w:hAnsi="Times New Roman" w:cs="Times New Roman"/>
        </w:rPr>
        <w:t>2.6施工进度</w:t>
      </w:r>
      <w:bookmarkEnd w:id="190"/>
      <w:bookmarkEnd w:id="191"/>
      <w:bookmarkEnd w:id="192"/>
      <w:bookmarkEnd w:id="193"/>
    </w:p>
    <w:p>
      <w:pPr>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bidi w:val="0"/>
        <w:adjustRightInd w:val="0"/>
        <w:spacing w:line="360" w:lineRule="auto"/>
        <w:ind w:firstLine="480" w:firstLineChars="200"/>
        <w:rPr>
          <w:rFonts w:hint="default" w:ascii="Times New Roman" w:hAnsi="Times New Roman" w:eastAsia="仿宋_GB2312" w:cs="Times New Roman"/>
          <w:sz w:val="24"/>
          <w:highlight w:val="none"/>
        </w:rPr>
      </w:pPr>
      <w:bookmarkStart w:id="194" w:name="_Toc36799681"/>
      <w:r>
        <w:rPr>
          <w:rFonts w:hint="default" w:ascii="Times New Roman" w:hAnsi="Times New Roman" w:eastAsia="仿宋_GB2312" w:cs="Times New Roman"/>
          <w:sz w:val="24"/>
          <w:highlight w:val="none"/>
          <w:lang w:eastAsia="zh-CN"/>
        </w:rPr>
        <w:t>本期项目</w:t>
      </w:r>
      <w:r>
        <w:rPr>
          <w:rFonts w:hint="eastAsia" w:eastAsia="仿宋_GB2312" w:cs="Times New Roman"/>
          <w:sz w:val="24"/>
          <w:highlight w:val="none"/>
          <w:lang w:val="en-US" w:eastAsia="zh-CN"/>
        </w:rPr>
        <w:t>计划</w:t>
      </w:r>
      <w:r>
        <w:rPr>
          <w:rFonts w:hint="default" w:ascii="Times New Roman" w:hAnsi="Times New Roman" w:eastAsia="仿宋_GB2312" w:cs="Times New Roman"/>
          <w:sz w:val="24"/>
          <w:highlight w:val="none"/>
        </w:rPr>
        <w:t>于</w:t>
      </w:r>
      <w:r>
        <w:rPr>
          <w:rFonts w:hint="eastAsia" w:eastAsia="仿宋_GB2312" w:cs="Times New Roman"/>
          <w:sz w:val="24"/>
          <w:highlight w:val="none"/>
          <w:lang w:eastAsia="zh-CN"/>
        </w:rPr>
        <w:t>2023年7月</w:t>
      </w:r>
      <w:r>
        <w:rPr>
          <w:rFonts w:hint="default" w:ascii="Times New Roman" w:hAnsi="Times New Roman" w:eastAsia="仿宋_GB2312" w:cs="Times New Roman"/>
          <w:sz w:val="24"/>
          <w:highlight w:val="none"/>
        </w:rPr>
        <w:t>开工，</w:t>
      </w:r>
      <w:r>
        <w:rPr>
          <w:rFonts w:hint="eastAsia" w:eastAsia="仿宋_GB2312" w:cs="Times New Roman"/>
          <w:sz w:val="24"/>
          <w:highlight w:val="none"/>
          <w:lang w:eastAsia="zh-CN"/>
        </w:rPr>
        <w:t>2024年12月</w:t>
      </w:r>
      <w:r>
        <w:rPr>
          <w:rFonts w:hint="default" w:ascii="Times New Roman" w:hAnsi="Times New Roman" w:eastAsia="仿宋_GB2312" w:cs="Times New Roman"/>
          <w:sz w:val="24"/>
          <w:highlight w:val="none"/>
        </w:rPr>
        <w:t>完工，总工期为</w:t>
      </w:r>
      <w:r>
        <w:rPr>
          <w:rFonts w:hint="eastAsia" w:eastAsia="仿宋_GB2312" w:cs="Times New Roman"/>
          <w:sz w:val="24"/>
          <w:highlight w:val="none"/>
          <w:lang w:val="en-US" w:eastAsia="zh-CN"/>
        </w:rPr>
        <w:t>18个</w:t>
      </w:r>
      <w:r>
        <w:rPr>
          <w:rFonts w:hint="default" w:ascii="Times New Roman" w:hAnsi="Times New Roman" w:eastAsia="仿宋_GB2312" w:cs="Times New Roman"/>
          <w:sz w:val="24"/>
          <w:highlight w:val="none"/>
        </w:rPr>
        <w:t>月。</w:t>
      </w: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spacing w:line="360" w:lineRule="auto"/>
        <w:ind w:firstLine="420" w:firstLineChars="200"/>
        <w:textAlignment w:val="auto"/>
        <w:rPr>
          <w:rFonts w:hint="default" w:ascii="Times New Roman" w:hAnsi="Times New Roman" w:cs="Times New Roman"/>
        </w:rPr>
      </w:pPr>
    </w:p>
    <w:p>
      <w:pPr>
        <w:pStyle w:val="164"/>
        <w:pageBreakBefore w:val="0"/>
        <w:kinsoku/>
        <w:wordWrap/>
        <w:bidi w:val="0"/>
        <w:spacing w:line="360" w:lineRule="auto"/>
        <w:ind w:firstLine="480"/>
        <w:rPr>
          <w:rFonts w:hint="default" w:ascii="Times New Roman" w:hAnsi="Times New Roman" w:cs="Times New Roman"/>
        </w:rPr>
        <w:sectPr>
          <w:headerReference r:id="rId11" w:type="default"/>
          <w:footerReference r:id="rId12" w:type="default"/>
          <w:pgSz w:w="11906" w:h="16838"/>
          <w:pgMar w:top="1440" w:right="1701" w:bottom="1440" w:left="179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微软雅黑" w:cs="Times New Roman"/>
          <w:b w:val="0"/>
          <w:bCs w:val="0"/>
          <w:sz w:val="21"/>
          <w:szCs w:val="21"/>
          <w:highlight w:val="none"/>
        </w:rPr>
      </w:pPr>
      <w:r>
        <w:rPr>
          <w:rFonts w:hint="default" w:ascii="Times New Roman" w:hAnsi="Times New Roman" w:eastAsia="微软雅黑" w:cs="Times New Roman"/>
          <w:b w:val="0"/>
          <w:bCs w:val="0"/>
          <w:sz w:val="21"/>
          <w:szCs w:val="21"/>
          <w:highlight w:val="none"/>
        </w:rPr>
        <w:t>表2-</w:t>
      </w:r>
      <w:r>
        <w:rPr>
          <w:rFonts w:hint="default" w:ascii="Times New Roman" w:hAnsi="Times New Roman" w:eastAsia="微软雅黑" w:cs="Times New Roman"/>
          <w:b w:val="0"/>
          <w:bCs w:val="0"/>
          <w:sz w:val="21"/>
          <w:szCs w:val="21"/>
          <w:highlight w:val="none"/>
          <w:lang w:val="en-US" w:eastAsia="zh-CN"/>
        </w:rPr>
        <w:t xml:space="preserve">6  </w:t>
      </w:r>
      <w:r>
        <w:rPr>
          <w:rFonts w:hint="default" w:ascii="Times New Roman" w:hAnsi="Times New Roman" w:eastAsia="微软雅黑" w:cs="Times New Roman"/>
          <w:b w:val="0"/>
          <w:bCs w:val="0"/>
          <w:sz w:val="21"/>
          <w:szCs w:val="21"/>
          <w:highlight w:val="none"/>
        </w:rPr>
        <w:t>主体工程进度表</w:t>
      </w:r>
    </w:p>
    <w:tbl>
      <w:tblPr>
        <w:tblStyle w:val="88"/>
        <w:tblW w:w="4771"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109"/>
        <w:gridCol w:w="624"/>
        <w:gridCol w:w="624"/>
        <w:gridCol w:w="627"/>
        <w:gridCol w:w="628"/>
        <w:gridCol w:w="628"/>
        <w:gridCol w:w="633"/>
        <w:gridCol w:w="652"/>
        <w:gridCol w:w="628"/>
        <w:gridCol w:w="628"/>
        <w:gridCol w:w="628"/>
        <w:gridCol w:w="628"/>
        <w:gridCol w:w="628"/>
        <w:gridCol w:w="628"/>
        <w:gridCol w:w="628"/>
        <w:gridCol w:w="628"/>
        <w:gridCol w:w="628"/>
        <w:gridCol w:w="628"/>
        <w:gridCol w:w="72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80" w:type="pct"/>
            <w:vMerge w:val="restart"/>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Style w:val="560"/>
                <w:rFonts w:hint="default" w:ascii="Times New Roman" w:hAnsi="Times New Roman" w:cs="Times New Roman"/>
                <w:b w:val="0"/>
                <w:bCs w:val="0"/>
                <w:sz w:val="20"/>
                <w:szCs w:val="20"/>
                <w:highlight w:val="none"/>
                <w:lang w:bidi="ar"/>
              </w:rPr>
            </w:pPr>
            <w:r>
              <w:rPr>
                <w:rFonts w:hint="default" w:ascii="Times New Roman" w:hAnsi="Times New Roman" w:eastAsia="仿宋_GB2312" w:cs="Times New Roman"/>
                <w:b/>
                <w:sz w:val="20"/>
                <w:szCs w:val="20"/>
                <w:highlight w:val="none"/>
              </w:rPr>
              <w:t>工作阶段</w:t>
            </w:r>
          </w:p>
        </w:tc>
        <w:tc>
          <w:tcPr>
            <w:tcW w:w="1392" w:type="pct"/>
            <w:gridSpan w:val="6"/>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r>
              <w:rPr>
                <w:rStyle w:val="560"/>
                <w:rFonts w:hint="default" w:ascii="Times New Roman" w:hAnsi="Times New Roman" w:cs="Times New Roman"/>
                <w:sz w:val="20"/>
                <w:szCs w:val="20"/>
                <w:highlight w:val="none"/>
                <w:lang w:bidi="ar"/>
              </w:rPr>
              <w:t>202</w:t>
            </w:r>
            <w:r>
              <w:rPr>
                <w:rStyle w:val="560"/>
                <w:rFonts w:hint="eastAsia" w:ascii="Times New Roman" w:hAnsi="Times New Roman" w:eastAsia="仿宋_GB2312" w:cs="Times New Roman"/>
                <w:sz w:val="20"/>
                <w:szCs w:val="20"/>
                <w:highlight w:val="none"/>
                <w:lang w:val="en-US" w:eastAsia="zh-CN" w:bidi="ar"/>
              </w:rPr>
              <w:t>3</w:t>
            </w:r>
            <w:r>
              <w:rPr>
                <w:rStyle w:val="560"/>
                <w:rFonts w:hint="default" w:ascii="Times New Roman" w:hAnsi="Times New Roman" w:cs="Times New Roman"/>
                <w:sz w:val="20"/>
                <w:szCs w:val="20"/>
                <w:highlight w:val="none"/>
                <w:lang w:bidi="ar"/>
              </w:rPr>
              <w:t>年</w:t>
            </w:r>
          </w:p>
        </w:tc>
        <w:tc>
          <w:tcPr>
            <w:tcW w:w="2827" w:type="pct"/>
            <w:gridSpan w:val="12"/>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Style w:val="560"/>
                <w:rFonts w:hint="default" w:ascii="Times New Roman" w:hAnsi="Times New Roman" w:cs="Times New Roman"/>
                <w:sz w:val="20"/>
                <w:szCs w:val="20"/>
                <w:highlight w:val="none"/>
                <w:lang w:bidi="ar"/>
              </w:rPr>
            </w:pPr>
            <w:r>
              <w:rPr>
                <w:rStyle w:val="560"/>
                <w:rFonts w:hint="default" w:ascii="Times New Roman" w:hAnsi="Times New Roman" w:cs="Times New Roman"/>
                <w:sz w:val="20"/>
                <w:szCs w:val="20"/>
                <w:highlight w:val="none"/>
                <w:lang w:bidi="ar"/>
              </w:rPr>
              <w:t>202</w:t>
            </w:r>
            <w:r>
              <w:rPr>
                <w:rStyle w:val="560"/>
                <w:rFonts w:hint="eastAsia" w:ascii="Times New Roman" w:hAnsi="Times New Roman" w:eastAsia="仿宋_GB2312" w:cs="Times New Roman"/>
                <w:sz w:val="20"/>
                <w:szCs w:val="20"/>
                <w:highlight w:val="none"/>
                <w:lang w:val="en-US" w:eastAsia="zh-CN" w:bidi="ar"/>
              </w:rPr>
              <w:t>4</w:t>
            </w:r>
            <w:r>
              <w:rPr>
                <w:rStyle w:val="560"/>
                <w:rFonts w:hint="default" w:ascii="Times New Roman" w:hAnsi="Times New Roman" w:cs="Times New Roman"/>
                <w:sz w:val="20"/>
                <w:szCs w:val="20"/>
                <w:highlight w:val="none"/>
                <w:lang w:bidi="ar"/>
              </w:rPr>
              <w:t>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80" w:type="pct"/>
            <w:vMerge w:val="continue"/>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1" w:type="pct"/>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0"/>
                <w:szCs w:val="20"/>
                <w:highlight w:val="none"/>
                <w:lang w:val="en-US" w:eastAsia="zh-CN" w:bidi="ar"/>
              </w:rPr>
            </w:pPr>
            <w:r>
              <w:rPr>
                <w:rFonts w:hint="default" w:ascii="Times New Roman" w:hAnsi="Times New Roman" w:eastAsia="仿宋_GB2312" w:cs="Times New Roman"/>
                <w:color w:val="000000"/>
                <w:sz w:val="20"/>
                <w:szCs w:val="20"/>
                <w:highlight w:val="none"/>
                <w:lang w:val="en-US" w:eastAsia="zh-CN" w:bidi="ar"/>
              </w:rPr>
              <w:t>7</w:t>
            </w:r>
          </w:p>
        </w:tc>
        <w:tc>
          <w:tcPr>
            <w:tcW w:w="231" w:type="pct"/>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0"/>
                <w:szCs w:val="20"/>
                <w:highlight w:val="none"/>
                <w:lang w:val="en-US" w:eastAsia="zh-CN" w:bidi="ar"/>
              </w:rPr>
            </w:pPr>
            <w:r>
              <w:rPr>
                <w:rFonts w:hint="default" w:ascii="Times New Roman" w:hAnsi="Times New Roman" w:eastAsia="仿宋_GB2312" w:cs="Times New Roman"/>
                <w:color w:val="000000"/>
                <w:sz w:val="20"/>
                <w:szCs w:val="20"/>
                <w:highlight w:val="none"/>
                <w:lang w:val="en-US" w:eastAsia="zh-CN" w:bidi="ar"/>
              </w:rPr>
              <w:t>8</w:t>
            </w:r>
          </w:p>
        </w:tc>
        <w:tc>
          <w:tcPr>
            <w:tcW w:w="232" w:type="pct"/>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0"/>
                <w:szCs w:val="20"/>
                <w:highlight w:val="none"/>
                <w:lang w:val="en-US" w:eastAsia="zh-CN" w:bidi="ar"/>
              </w:rPr>
            </w:pPr>
            <w:r>
              <w:rPr>
                <w:rFonts w:hint="default" w:ascii="Times New Roman" w:hAnsi="Times New Roman" w:eastAsia="仿宋_GB2312" w:cs="Times New Roman"/>
                <w:color w:val="000000"/>
                <w:sz w:val="20"/>
                <w:szCs w:val="20"/>
                <w:highlight w:val="none"/>
                <w:lang w:val="en-US" w:eastAsia="zh-CN" w:bidi="ar"/>
              </w:rPr>
              <w:t>9</w:t>
            </w:r>
          </w:p>
        </w:tc>
        <w:tc>
          <w:tcPr>
            <w:tcW w:w="232" w:type="pct"/>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0"/>
                <w:szCs w:val="20"/>
                <w:highlight w:val="none"/>
                <w:lang w:val="en-US" w:eastAsia="zh-CN" w:bidi="ar-SA"/>
              </w:rPr>
            </w:pPr>
            <w:r>
              <w:rPr>
                <w:rFonts w:hint="default" w:ascii="Times New Roman" w:hAnsi="Times New Roman" w:eastAsia="仿宋_GB2312" w:cs="Times New Roman"/>
                <w:color w:val="000000"/>
                <w:sz w:val="20"/>
                <w:szCs w:val="20"/>
                <w:highlight w:val="none"/>
                <w:lang w:bidi="ar"/>
              </w:rPr>
              <w:t>10</w:t>
            </w:r>
          </w:p>
        </w:tc>
        <w:tc>
          <w:tcPr>
            <w:tcW w:w="232" w:type="pct"/>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0"/>
                <w:szCs w:val="20"/>
                <w:highlight w:val="none"/>
                <w:lang w:val="en-US" w:eastAsia="zh-CN" w:bidi="ar-SA"/>
              </w:rPr>
            </w:pPr>
            <w:r>
              <w:rPr>
                <w:rFonts w:hint="default" w:ascii="Times New Roman" w:hAnsi="Times New Roman" w:eastAsia="仿宋_GB2312" w:cs="Times New Roman"/>
                <w:color w:val="000000"/>
                <w:sz w:val="20"/>
                <w:szCs w:val="20"/>
                <w:highlight w:val="none"/>
                <w:lang w:bidi="ar"/>
              </w:rPr>
              <w:t>11</w:t>
            </w:r>
          </w:p>
        </w:tc>
        <w:tc>
          <w:tcPr>
            <w:tcW w:w="232" w:type="pct"/>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0"/>
                <w:szCs w:val="20"/>
                <w:highlight w:val="none"/>
                <w:lang w:val="en-US" w:eastAsia="zh-CN" w:bidi="ar-SA"/>
              </w:rPr>
            </w:pPr>
            <w:r>
              <w:rPr>
                <w:rFonts w:hint="default" w:ascii="Times New Roman" w:hAnsi="Times New Roman" w:eastAsia="仿宋_GB2312" w:cs="Times New Roman"/>
                <w:color w:val="000000"/>
                <w:sz w:val="20"/>
                <w:szCs w:val="20"/>
                <w:highlight w:val="none"/>
                <w:lang w:bidi="ar"/>
              </w:rPr>
              <w:t>12</w:t>
            </w:r>
          </w:p>
        </w:tc>
        <w:tc>
          <w:tcPr>
            <w:tcW w:w="241" w:type="pct"/>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0"/>
                <w:szCs w:val="20"/>
                <w:highlight w:val="none"/>
                <w:lang w:val="en-US" w:eastAsia="zh-CN" w:bidi="ar-SA"/>
              </w:rPr>
            </w:pPr>
            <w:r>
              <w:rPr>
                <w:rFonts w:hint="default" w:ascii="Times New Roman" w:hAnsi="Times New Roman" w:eastAsia="仿宋_GB2312" w:cs="Times New Roman"/>
                <w:color w:val="000000"/>
                <w:sz w:val="20"/>
                <w:szCs w:val="20"/>
                <w:highlight w:val="none"/>
                <w:lang w:bidi="ar"/>
              </w:rPr>
              <w:t>1</w:t>
            </w:r>
          </w:p>
        </w:tc>
        <w:tc>
          <w:tcPr>
            <w:tcW w:w="232" w:type="pct"/>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0"/>
                <w:szCs w:val="20"/>
                <w:highlight w:val="none"/>
                <w:lang w:val="en-US" w:eastAsia="zh-CN" w:bidi="ar-SA"/>
              </w:rPr>
            </w:pPr>
            <w:r>
              <w:rPr>
                <w:rFonts w:hint="default" w:ascii="Times New Roman" w:hAnsi="Times New Roman" w:eastAsia="仿宋_GB2312" w:cs="Times New Roman"/>
                <w:color w:val="000000"/>
                <w:sz w:val="20"/>
                <w:szCs w:val="20"/>
                <w:highlight w:val="none"/>
                <w:lang w:bidi="ar"/>
              </w:rPr>
              <w:t>2</w:t>
            </w:r>
          </w:p>
        </w:tc>
        <w:tc>
          <w:tcPr>
            <w:tcW w:w="232" w:type="pct"/>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0"/>
                <w:szCs w:val="20"/>
                <w:highlight w:val="none"/>
                <w:lang w:val="en-US" w:eastAsia="zh-CN" w:bidi="ar-SA"/>
              </w:rPr>
            </w:pPr>
            <w:r>
              <w:rPr>
                <w:rFonts w:hint="default" w:ascii="Times New Roman" w:hAnsi="Times New Roman" w:eastAsia="仿宋_GB2312" w:cs="Times New Roman"/>
                <w:color w:val="000000"/>
                <w:sz w:val="20"/>
                <w:szCs w:val="20"/>
                <w:highlight w:val="none"/>
                <w:lang w:bidi="ar"/>
              </w:rPr>
              <w:t>3</w:t>
            </w:r>
          </w:p>
        </w:tc>
        <w:tc>
          <w:tcPr>
            <w:tcW w:w="232" w:type="pct"/>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0"/>
                <w:szCs w:val="20"/>
                <w:highlight w:val="none"/>
                <w:lang w:val="en-US" w:eastAsia="zh-CN" w:bidi="ar-SA"/>
              </w:rPr>
            </w:pPr>
            <w:r>
              <w:rPr>
                <w:rFonts w:hint="default" w:ascii="Times New Roman" w:hAnsi="Times New Roman" w:eastAsia="仿宋_GB2312" w:cs="Times New Roman"/>
                <w:color w:val="000000"/>
                <w:sz w:val="20"/>
                <w:szCs w:val="20"/>
                <w:highlight w:val="none"/>
                <w:lang w:bidi="ar"/>
              </w:rPr>
              <w:t>4</w:t>
            </w:r>
          </w:p>
        </w:tc>
        <w:tc>
          <w:tcPr>
            <w:tcW w:w="232" w:type="pct"/>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0"/>
                <w:szCs w:val="20"/>
                <w:highlight w:val="none"/>
                <w:lang w:val="en-US" w:eastAsia="zh-CN" w:bidi="ar-SA"/>
              </w:rPr>
            </w:pPr>
            <w:r>
              <w:rPr>
                <w:rFonts w:hint="default" w:ascii="Times New Roman" w:hAnsi="Times New Roman" w:eastAsia="仿宋_GB2312" w:cs="Times New Roman"/>
                <w:color w:val="000000"/>
                <w:sz w:val="20"/>
                <w:szCs w:val="20"/>
                <w:highlight w:val="none"/>
                <w:lang w:bidi="ar"/>
              </w:rPr>
              <w:t>5</w:t>
            </w:r>
          </w:p>
        </w:tc>
        <w:tc>
          <w:tcPr>
            <w:tcW w:w="232" w:type="pct"/>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0"/>
                <w:szCs w:val="20"/>
                <w:highlight w:val="none"/>
                <w:lang w:val="en-US" w:eastAsia="zh-CN" w:bidi="ar-SA"/>
              </w:rPr>
            </w:pPr>
            <w:r>
              <w:rPr>
                <w:rFonts w:hint="default" w:ascii="Times New Roman" w:hAnsi="Times New Roman" w:eastAsia="仿宋_GB2312" w:cs="Times New Roman"/>
                <w:color w:val="000000"/>
                <w:sz w:val="20"/>
                <w:szCs w:val="20"/>
                <w:highlight w:val="none"/>
                <w:lang w:bidi="ar"/>
              </w:rPr>
              <w:t>6</w:t>
            </w:r>
          </w:p>
        </w:tc>
        <w:tc>
          <w:tcPr>
            <w:tcW w:w="232" w:type="pct"/>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0"/>
                <w:szCs w:val="20"/>
                <w:highlight w:val="none"/>
                <w:lang w:val="en-US" w:eastAsia="zh-CN" w:bidi="ar-SA"/>
              </w:rPr>
            </w:pPr>
            <w:r>
              <w:rPr>
                <w:rFonts w:hint="default" w:ascii="Times New Roman" w:hAnsi="Times New Roman" w:eastAsia="仿宋_GB2312" w:cs="Times New Roman"/>
                <w:color w:val="000000"/>
                <w:sz w:val="20"/>
                <w:szCs w:val="20"/>
                <w:highlight w:val="none"/>
                <w:lang w:bidi="ar"/>
              </w:rPr>
              <w:t>7</w:t>
            </w:r>
          </w:p>
        </w:tc>
        <w:tc>
          <w:tcPr>
            <w:tcW w:w="232" w:type="pct"/>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0"/>
                <w:szCs w:val="20"/>
                <w:highlight w:val="none"/>
                <w:lang w:val="en-US" w:eastAsia="zh-CN" w:bidi="ar-SA"/>
              </w:rPr>
            </w:pPr>
            <w:r>
              <w:rPr>
                <w:rFonts w:hint="default" w:ascii="Times New Roman" w:hAnsi="Times New Roman" w:eastAsia="仿宋_GB2312" w:cs="Times New Roman"/>
                <w:color w:val="000000"/>
                <w:sz w:val="20"/>
                <w:szCs w:val="20"/>
                <w:highlight w:val="none"/>
                <w:lang w:bidi="ar"/>
              </w:rPr>
              <w:t>8</w:t>
            </w:r>
          </w:p>
        </w:tc>
        <w:tc>
          <w:tcPr>
            <w:tcW w:w="232" w:type="pct"/>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0"/>
                <w:szCs w:val="20"/>
                <w:highlight w:val="none"/>
                <w:lang w:val="en-US" w:eastAsia="zh-CN" w:bidi="ar-SA"/>
              </w:rPr>
            </w:pPr>
            <w:r>
              <w:rPr>
                <w:rFonts w:hint="default" w:ascii="Times New Roman" w:hAnsi="Times New Roman" w:eastAsia="仿宋_GB2312" w:cs="Times New Roman"/>
                <w:color w:val="000000"/>
                <w:sz w:val="20"/>
                <w:szCs w:val="20"/>
                <w:highlight w:val="none"/>
                <w:lang w:bidi="ar"/>
              </w:rPr>
              <w:t>9</w:t>
            </w:r>
          </w:p>
        </w:tc>
        <w:tc>
          <w:tcPr>
            <w:tcW w:w="232" w:type="pct"/>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lang w:val="en-US" w:eastAsia="zh-CN"/>
              </w:rPr>
            </w:pPr>
            <w:r>
              <w:rPr>
                <w:rFonts w:hint="eastAsia" w:ascii="Times New Roman" w:hAnsi="Times New Roman" w:eastAsia="仿宋_GB2312" w:cs="Times New Roman"/>
                <w:color w:val="000000"/>
                <w:sz w:val="20"/>
                <w:szCs w:val="20"/>
                <w:highlight w:val="none"/>
                <w:lang w:val="en-US" w:eastAsia="zh-CN"/>
              </w:rPr>
              <w:t>10</w:t>
            </w:r>
          </w:p>
        </w:tc>
        <w:tc>
          <w:tcPr>
            <w:tcW w:w="232" w:type="pct"/>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lang w:val="en-US" w:eastAsia="zh-CN"/>
              </w:rPr>
            </w:pPr>
            <w:r>
              <w:rPr>
                <w:rFonts w:hint="eastAsia" w:ascii="Times New Roman" w:hAnsi="Times New Roman" w:eastAsia="仿宋_GB2312" w:cs="Times New Roman"/>
                <w:color w:val="000000"/>
                <w:sz w:val="20"/>
                <w:szCs w:val="20"/>
                <w:highlight w:val="none"/>
                <w:lang w:val="en-US" w:eastAsia="zh-CN"/>
              </w:rPr>
              <w:t>11</w:t>
            </w:r>
          </w:p>
        </w:tc>
        <w:tc>
          <w:tcPr>
            <w:tcW w:w="265" w:type="pct"/>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lang w:val="en-US" w:eastAsia="zh-CN"/>
              </w:rPr>
            </w:pPr>
            <w:r>
              <w:rPr>
                <w:rFonts w:hint="eastAsia" w:ascii="Times New Roman" w:hAnsi="Times New Roman" w:eastAsia="仿宋_GB2312" w:cs="Times New Roman"/>
                <w:color w:val="000000"/>
                <w:sz w:val="20"/>
                <w:szCs w:val="20"/>
                <w:highlight w:val="none"/>
                <w:lang w:val="en-US" w:eastAsia="zh-CN"/>
              </w:rPr>
              <w:t>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780" w:type="pct"/>
            <w:vMerge w:val="restart"/>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lang w:bidi="ar"/>
              </w:rPr>
            </w:pPr>
            <w:r>
              <w:rPr>
                <w:rFonts w:hint="default" w:ascii="Times New Roman" w:hAnsi="Times New Roman" w:eastAsia="仿宋" w:cs="Times New Roman"/>
                <w:spacing w:val="7"/>
                <w:sz w:val="20"/>
                <w:szCs w:val="20"/>
              </w:rPr>
              <w:t>施工准备期</w:t>
            </w:r>
          </w:p>
        </w:tc>
        <w:tc>
          <w:tcPr>
            <w:tcW w:w="231" w:type="pct"/>
            <w:tcBorders>
              <w:bottom w:val="single" w:color="auto"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cs="Times New Roman"/>
                <w:sz w:val="20"/>
                <w:szCs w:val="20"/>
                <w:highlight w:val="none"/>
              </w:rPr>
            </w:pPr>
          </w:p>
        </w:tc>
        <w:tc>
          <w:tcPr>
            <w:tcW w:w="231" w:type="pct"/>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cs="Times New Roman"/>
                <w:sz w:val="20"/>
                <w:szCs w:val="20"/>
                <w:highlight w:val="none"/>
              </w:rPr>
            </w:pPr>
          </w:p>
        </w:tc>
        <w:tc>
          <w:tcPr>
            <w:tcW w:w="232" w:type="pct"/>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cs="Times New Roman"/>
                <w:sz w:val="20"/>
                <w:szCs w:val="20"/>
                <w:highlight w:val="none"/>
              </w:rPr>
            </w:pPr>
          </w:p>
        </w:tc>
        <w:tc>
          <w:tcPr>
            <w:tcW w:w="232" w:type="pct"/>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cs="Times New Roman"/>
                <w:sz w:val="20"/>
                <w:szCs w:val="20"/>
                <w:highlight w:val="none"/>
              </w:rPr>
            </w:pPr>
          </w:p>
        </w:tc>
        <w:tc>
          <w:tcPr>
            <w:tcW w:w="232" w:type="pct"/>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2" w:type="pct"/>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41" w:type="pct"/>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2" w:type="pct"/>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2" w:type="pct"/>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2" w:type="pct"/>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2" w:type="pct"/>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2" w:type="pct"/>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2" w:type="pct"/>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2" w:type="pct"/>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lang w:bidi="ar"/>
              </w:rPr>
            </w:pPr>
          </w:p>
        </w:tc>
        <w:tc>
          <w:tcPr>
            <w:tcW w:w="232" w:type="pct"/>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2" w:type="pct"/>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2" w:type="pct"/>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65" w:type="pct"/>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780" w:type="pct"/>
            <w:vMerge w:val="continue"/>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lang w:bidi="ar"/>
              </w:rPr>
            </w:pPr>
          </w:p>
        </w:tc>
        <w:tc>
          <w:tcPr>
            <w:tcW w:w="231" w:type="pct"/>
            <w:tcBorders>
              <w:top w:val="single" w:color="auto" w:sz="12" w:space="0"/>
              <w:bottom w:val="single" w:color="auto"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cs="Times New Roman"/>
                <w:sz w:val="20"/>
                <w:szCs w:val="20"/>
                <w:highlight w:val="none"/>
              </w:rPr>
            </w:pPr>
          </w:p>
        </w:tc>
        <w:tc>
          <w:tcPr>
            <w:tcW w:w="231" w:type="pct"/>
            <w:tcBorders>
              <w:top w:val="nil"/>
              <w:bottom w:val="single" w:color="auto"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cs="Times New Roman"/>
                <w:sz w:val="20"/>
                <w:szCs w:val="20"/>
                <w:highlight w:val="none"/>
              </w:rPr>
            </w:pPr>
          </w:p>
        </w:tc>
        <w:tc>
          <w:tcPr>
            <w:tcW w:w="232" w:type="pct"/>
            <w:tcBorders>
              <w:top w:val="nil"/>
              <w:bottom w:val="single" w:color="auto"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cs="Times New Roman"/>
                <w:sz w:val="20"/>
                <w:szCs w:val="20"/>
                <w:highlight w:val="none"/>
              </w:rPr>
            </w:pPr>
          </w:p>
        </w:tc>
        <w:tc>
          <w:tcPr>
            <w:tcW w:w="232" w:type="pct"/>
            <w:tcBorders>
              <w:top w:val="nil"/>
              <w:bottom w:val="single" w:color="auto"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cs="Times New Roman"/>
                <w:sz w:val="20"/>
                <w:szCs w:val="20"/>
                <w:highlight w:val="none"/>
              </w:rPr>
            </w:pPr>
          </w:p>
        </w:tc>
        <w:tc>
          <w:tcPr>
            <w:tcW w:w="232" w:type="pct"/>
            <w:tcBorders>
              <w:top w:val="nil"/>
              <w:bottom w:val="single" w:color="auto"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2" w:type="pct"/>
            <w:tcBorders>
              <w:top w:val="nil"/>
              <w:bottom w:val="single" w:color="auto"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41" w:type="pct"/>
            <w:tcBorders>
              <w:top w:val="nil"/>
              <w:bottom w:val="single" w:color="auto"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2" w:type="pct"/>
            <w:tcBorders>
              <w:top w:val="nil"/>
              <w:bottom w:val="single" w:color="auto"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2" w:type="pct"/>
            <w:tcBorders>
              <w:top w:val="nil"/>
              <w:bottom w:val="single" w:color="auto"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2" w:type="pct"/>
            <w:tcBorders>
              <w:top w:val="nil"/>
              <w:bottom w:val="single" w:color="auto"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2" w:type="pct"/>
            <w:tcBorders>
              <w:top w:val="nil"/>
              <w:bottom w:val="single" w:color="auto"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2" w:type="pct"/>
            <w:tcBorders>
              <w:top w:val="nil"/>
              <w:bottom w:val="single" w:color="auto"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2" w:type="pct"/>
            <w:tcBorders>
              <w:top w:val="nil"/>
              <w:bottom w:val="single" w:color="auto"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2" w:type="pct"/>
            <w:tcBorders>
              <w:top w:val="nil"/>
              <w:bottom w:val="single" w:color="auto"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lang w:bidi="ar"/>
              </w:rPr>
            </w:pPr>
          </w:p>
        </w:tc>
        <w:tc>
          <w:tcPr>
            <w:tcW w:w="232" w:type="pct"/>
            <w:tcBorders>
              <w:top w:val="nil"/>
              <w:bottom w:val="single" w:color="auto"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2" w:type="pct"/>
            <w:tcBorders>
              <w:top w:val="nil"/>
              <w:bottom w:val="single" w:color="auto"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2" w:type="pct"/>
            <w:tcBorders>
              <w:top w:val="nil"/>
              <w:bottom w:val="single" w:color="auto"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65" w:type="pct"/>
            <w:tcBorders>
              <w:top w:val="nil"/>
              <w:bottom w:val="single" w:color="auto"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780" w:type="pct"/>
            <w:vMerge w:val="restart"/>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i w:val="0"/>
                <w:iCs w:val="0"/>
                <w:color w:val="000000"/>
                <w:kern w:val="2"/>
                <w:sz w:val="20"/>
                <w:szCs w:val="20"/>
                <w:highlight w:val="none"/>
                <w:u w:val="none"/>
                <w:lang w:val="en-US" w:eastAsia="zh-CN" w:bidi="ar"/>
              </w:rPr>
            </w:pPr>
            <w:r>
              <w:rPr>
                <w:rFonts w:hint="default" w:ascii="Times New Roman" w:hAnsi="Times New Roman" w:eastAsia="仿宋" w:cs="Times New Roman"/>
                <w:spacing w:val="7"/>
                <w:sz w:val="20"/>
                <w:szCs w:val="20"/>
              </w:rPr>
              <w:t>基础施工、土方回填</w:t>
            </w:r>
          </w:p>
        </w:tc>
        <w:tc>
          <w:tcPr>
            <w:tcW w:w="231" w:type="pct"/>
            <w:tcBorders>
              <w:top w:val="single" w:color="auto" w:sz="6" w:space="0"/>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0"/>
                <w:szCs w:val="20"/>
                <w:highlight w:val="none"/>
                <w:lang w:val="en-US" w:eastAsia="zh-CN" w:bidi="ar-SA"/>
              </w:rPr>
            </w:pPr>
          </w:p>
        </w:tc>
        <w:tc>
          <w:tcPr>
            <w:tcW w:w="231" w:type="pct"/>
            <w:tcBorders>
              <w:top w:val="single" w:color="auto" w:sz="6" w:space="0"/>
              <w:bottom w:val="single" w:color="auto"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0"/>
                <w:szCs w:val="20"/>
                <w:highlight w:val="none"/>
                <w:lang w:val="en-US" w:eastAsia="zh-CN" w:bidi="ar-SA"/>
              </w:rPr>
            </w:pPr>
          </w:p>
        </w:tc>
        <w:tc>
          <w:tcPr>
            <w:tcW w:w="232" w:type="pct"/>
            <w:tcBorders>
              <w:top w:val="single" w:color="auto" w:sz="6" w:space="0"/>
              <w:bottom w:val="single" w:color="auto"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0"/>
                <w:szCs w:val="20"/>
                <w:highlight w:val="none"/>
                <w:lang w:val="en-US" w:eastAsia="zh-CN" w:bidi="ar-SA"/>
              </w:rPr>
            </w:pPr>
          </w:p>
        </w:tc>
        <w:tc>
          <w:tcPr>
            <w:tcW w:w="232" w:type="pct"/>
            <w:tcBorders>
              <w:top w:val="single" w:color="auto" w:sz="6" w:space="0"/>
              <w:bottom w:val="single" w:color="auto"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0"/>
                <w:szCs w:val="20"/>
                <w:highlight w:val="none"/>
                <w:lang w:val="en-US" w:eastAsia="zh-CN" w:bidi="ar-SA"/>
              </w:rPr>
            </w:pPr>
          </w:p>
        </w:tc>
        <w:tc>
          <w:tcPr>
            <w:tcW w:w="232" w:type="pct"/>
            <w:tcBorders>
              <w:top w:val="single" w:color="auto" w:sz="6" w:space="0"/>
              <w:bottom w:val="single" w:color="auto"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0"/>
                <w:szCs w:val="20"/>
                <w:highlight w:val="none"/>
                <w:lang w:val="en-US" w:eastAsia="zh-CN" w:bidi="ar-SA"/>
              </w:rPr>
            </w:pPr>
          </w:p>
        </w:tc>
        <w:tc>
          <w:tcPr>
            <w:tcW w:w="232" w:type="pct"/>
            <w:tcBorders>
              <w:top w:val="single" w:color="auto" w:sz="6" w:space="0"/>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0"/>
                <w:szCs w:val="20"/>
                <w:highlight w:val="none"/>
                <w:lang w:val="en-US" w:eastAsia="zh-CN" w:bidi="ar-SA"/>
              </w:rPr>
            </w:pPr>
          </w:p>
        </w:tc>
        <w:tc>
          <w:tcPr>
            <w:tcW w:w="241" w:type="pct"/>
            <w:tcBorders>
              <w:top w:val="single" w:color="auto" w:sz="6" w:space="0"/>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0"/>
                <w:szCs w:val="20"/>
                <w:highlight w:val="none"/>
                <w:lang w:val="en-US" w:eastAsia="zh-CN" w:bidi="ar-SA"/>
              </w:rPr>
            </w:pPr>
          </w:p>
        </w:tc>
        <w:tc>
          <w:tcPr>
            <w:tcW w:w="232" w:type="pct"/>
            <w:tcBorders>
              <w:top w:val="single" w:color="auto" w:sz="6" w:space="0"/>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0"/>
                <w:szCs w:val="20"/>
                <w:highlight w:val="none"/>
                <w:lang w:val="en-US" w:eastAsia="zh-CN" w:bidi="ar-SA"/>
              </w:rPr>
            </w:pPr>
          </w:p>
        </w:tc>
        <w:tc>
          <w:tcPr>
            <w:tcW w:w="232" w:type="pct"/>
            <w:tcBorders>
              <w:top w:val="single" w:color="auto" w:sz="6" w:space="0"/>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0"/>
                <w:szCs w:val="20"/>
                <w:highlight w:val="none"/>
                <w:lang w:val="en-US" w:eastAsia="zh-CN" w:bidi="ar-SA"/>
              </w:rPr>
            </w:pPr>
          </w:p>
        </w:tc>
        <w:tc>
          <w:tcPr>
            <w:tcW w:w="232" w:type="pct"/>
            <w:tcBorders>
              <w:top w:val="single" w:color="auto" w:sz="6" w:space="0"/>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0"/>
                <w:szCs w:val="20"/>
                <w:highlight w:val="none"/>
                <w:lang w:val="en-US" w:eastAsia="zh-CN" w:bidi="ar-SA"/>
              </w:rPr>
            </w:pPr>
          </w:p>
        </w:tc>
        <w:tc>
          <w:tcPr>
            <w:tcW w:w="232" w:type="pct"/>
            <w:tcBorders>
              <w:top w:val="single" w:color="auto" w:sz="6" w:space="0"/>
              <w:bottom w:val="nil"/>
              <w:right w:val="single" w:color="auto" w:sz="4"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0"/>
                <w:szCs w:val="20"/>
                <w:highlight w:val="none"/>
                <w:lang w:val="en-US" w:eastAsia="zh-CN" w:bidi="ar-SA"/>
              </w:rPr>
            </w:pPr>
          </w:p>
        </w:tc>
        <w:tc>
          <w:tcPr>
            <w:tcW w:w="232" w:type="pct"/>
            <w:tcBorders>
              <w:top w:val="single" w:color="auto" w:sz="6" w:space="0"/>
              <w:left w:val="single" w:color="auto" w:sz="4" w:space="0"/>
              <w:bottom w:val="nil"/>
              <w:right w:val="single" w:color="auto" w:sz="4"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0"/>
                <w:szCs w:val="20"/>
                <w:highlight w:val="none"/>
                <w:lang w:val="en-US" w:eastAsia="zh-CN" w:bidi="ar-SA"/>
              </w:rPr>
            </w:pPr>
          </w:p>
        </w:tc>
        <w:tc>
          <w:tcPr>
            <w:tcW w:w="232" w:type="pct"/>
            <w:tcBorders>
              <w:top w:val="single" w:color="auto" w:sz="6" w:space="0"/>
              <w:left w:val="single" w:color="auto" w:sz="4" w:space="0"/>
              <w:bottom w:val="nil"/>
              <w:right w:val="single" w:color="auto" w:sz="4"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0"/>
                <w:szCs w:val="20"/>
                <w:highlight w:val="none"/>
                <w:lang w:val="en-US" w:eastAsia="zh-CN" w:bidi="ar-SA"/>
              </w:rPr>
            </w:pPr>
          </w:p>
        </w:tc>
        <w:tc>
          <w:tcPr>
            <w:tcW w:w="232" w:type="pct"/>
            <w:tcBorders>
              <w:top w:val="single" w:color="auto" w:sz="6" w:space="0"/>
              <w:left w:val="single" w:color="auto" w:sz="4" w:space="0"/>
              <w:bottom w:val="nil"/>
              <w:right w:val="single" w:color="auto"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0"/>
                <w:szCs w:val="20"/>
                <w:highlight w:val="none"/>
                <w:lang w:val="en-US" w:eastAsia="zh-CN" w:bidi="ar"/>
              </w:rPr>
            </w:pPr>
          </w:p>
        </w:tc>
        <w:tc>
          <w:tcPr>
            <w:tcW w:w="232" w:type="pct"/>
            <w:tcBorders>
              <w:top w:val="single" w:color="auto" w:sz="6" w:space="0"/>
              <w:left w:val="single" w:color="auto" w:sz="6" w:space="0"/>
              <w:bottom w:val="nil"/>
              <w:right w:val="single" w:color="auto"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0"/>
                <w:szCs w:val="20"/>
                <w:highlight w:val="none"/>
                <w:lang w:val="en-US" w:eastAsia="zh-CN" w:bidi="ar-SA"/>
              </w:rPr>
            </w:pPr>
          </w:p>
        </w:tc>
        <w:tc>
          <w:tcPr>
            <w:tcW w:w="232" w:type="pct"/>
            <w:tcBorders>
              <w:top w:val="single" w:color="auto" w:sz="6" w:space="0"/>
              <w:left w:val="single" w:color="auto" w:sz="6" w:space="0"/>
              <w:bottom w:val="nil"/>
              <w:right w:val="single" w:color="auto"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0"/>
                <w:szCs w:val="20"/>
                <w:highlight w:val="none"/>
                <w:lang w:val="en-US" w:eastAsia="zh-CN" w:bidi="ar-SA"/>
              </w:rPr>
            </w:pPr>
          </w:p>
        </w:tc>
        <w:tc>
          <w:tcPr>
            <w:tcW w:w="232" w:type="pct"/>
            <w:tcBorders>
              <w:top w:val="single" w:color="auto" w:sz="6" w:space="0"/>
              <w:left w:val="single" w:color="auto" w:sz="6" w:space="0"/>
              <w:bottom w:val="nil"/>
              <w:right w:val="single" w:color="auto"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0"/>
                <w:szCs w:val="20"/>
                <w:highlight w:val="none"/>
                <w:lang w:val="en-US" w:eastAsia="zh-CN" w:bidi="ar-SA"/>
              </w:rPr>
            </w:pPr>
          </w:p>
        </w:tc>
        <w:tc>
          <w:tcPr>
            <w:tcW w:w="265" w:type="pct"/>
            <w:tcBorders>
              <w:top w:val="single" w:color="auto" w:sz="6" w:space="0"/>
              <w:left w:val="single" w:color="auto" w:sz="6" w:space="0"/>
              <w:bottom w:val="nil"/>
              <w:right w:val="single" w:color="auto"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0"/>
                <w:szCs w:val="20"/>
                <w:highlight w:val="no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780" w:type="pct"/>
            <w:vMerge w:val="continue"/>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Style w:val="561"/>
                <w:rFonts w:hint="default" w:ascii="Times New Roman" w:hAnsi="Times New Roman" w:cs="Times New Roman"/>
                <w:sz w:val="20"/>
                <w:szCs w:val="20"/>
                <w:highlight w:val="none"/>
                <w:lang w:bidi="ar"/>
              </w:rPr>
            </w:pPr>
          </w:p>
        </w:tc>
        <w:tc>
          <w:tcPr>
            <w:tcW w:w="231" w:type="pct"/>
            <w:tcBorders>
              <w:top w:val="nil"/>
              <w:bottom w:val="single" w:color="auto"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0"/>
                <w:szCs w:val="20"/>
                <w:highlight w:val="none"/>
                <w:lang w:val="en-US" w:eastAsia="zh-CN" w:bidi="ar-SA"/>
              </w:rPr>
            </w:pPr>
          </w:p>
        </w:tc>
        <w:tc>
          <w:tcPr>
            <w:tcW w:w="231" w:type="pct"/>
            <w:tcBorders>
              <w:top w:val="single" w:color="auto" w:sz="12" w:space="0"/>
              <w:bottom w:val="single" w:color="auto"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0"/>
                <w:szCs w:val="20"/>
                <w:highlight w:val="none"/>
                <w:lang w:val="en-US" w:eastAsia="zh-CN" w:bidi="ar-SA"/>
              </w:rPr>
            </w:pPr>
          </w:p>
        </w:tc>
        <w:tc>
          <w:tcPr>
            <w:tcW w:w="232" w:type="pct"/>
            <w:tcBorders>
              <w:top w:val="single" w:color="auto" w:sz="12" w:space="0"/>
              <w:bottom w:val="single" w:color="auto"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0"/>
                <w:szCs w:val="20"/>
                <w:highlight w:val="none"/>
                <w:lang w:val="en-US" w:eastAsia="zh-CN" w:bidi="ar-SA"/>
              </w:rPr>
            </w:pPr>
          </w:p>
        </w:tc>
        <w:tc>
          <w:tcPr>
            <w:tcW w:w="232" w:type="pct"/>
            <w:tcBorders>
              <w:top w:val="single" w:color="auto" w:sz="12" w:space="0"/>
              <w:bottom w:val="single" w:color="auto"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0"/>
                <w:szCs w:val="20"/>
                <w:highlight w:val="none"/>
                <w:lang w:val="en-US" w:eastAsia="zh-CN" w:bidi="ar-SA"/>
              </w:rPr>
            </w:pPr>
          </w:p>
        </w:tc>
        <w:tc>
          <w:tcPr>
            <w:tcW w:w="232" w:type="pct"/>
            <w:tcBorders>
              <w:top w:val="single" w:color="auto" w:sz="12" w:space="0"/>
              <w:bottom w:val="single" w:color="auto"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0"/>
                <w:szCs w:val="20"/>
                <w:highlight w:val="none"/>
                <w:lang w:val="en-US" w:eastAsia="zh-CN" w:bidi="ar-SA"/>
              </w:rPr>
            </w:pPr>
          </w:p>
        </w:tc>
        <w:tc>
          <w:tcPr>
            <w:tcW w:w="232" w:type="pct"/>
            <w:tcBorders>
              <w:top w:val="nil"/>
              <w:bottom w:val="single" w:color="auto"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0"/>
                <w:szCs w:val="20"/>
                <w:highlight w:val="none"/>
                <w:lang w:val="en-US" w:eastAsia="zh-CN" w:bidi="ar-SA"/>
              </w:rPr>
            </w:pPr>
          </w:p>
        </w:tc>
        <w:tc>
          <w:tcPr>
            <w:tcW w:w="241" w:type="pct"/>
            <w:tcBorders>
              <w:top w:val="nil"/>
              <w:bottom w:val="single" w:color="auto"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0"/>
                <w:szCs w:val="20"/>
                <w:highlight w:val="none"/>
                <w:lang w:val="en-US" w:eastAsia="zh-CN" w:bidi="ar-SA"/>
              </w:rPr>
            </w:pPr>
          </w:p>
        </w:tc>
        <w:tc>
          <w:tcPr>
            <w:tcW w:w="232" w:type="pct"/>
            <w:tcBorders>
              <w:top w:val="nil"/>
              <w:bottom w:val="single" w:color="auto"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0"/>
                <w:szCs w:val="20"/>
                <w:highlight w:val="none"/>
                <w:lang w:val="en-US" w:eastAsia="zh-CN" w:bidi="ar-SA"/>
              </w:rPr>
            </w:pPr>
          </w:p>
        </w:tc>
        <w:tc>
          <w:tcPr>
            <w:tcW w:w="232" w:type="pct"/>
            <w:tcBorders>
              <w:top w:val="nil"/>
              <w:bottom w:val="single" w:color="auto"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0"/>
                <w:szCs w:val="20"/>
                <w:highlight w:val="none"/>
                <w:lang w:val="en-US" w:eastAsia="zh-CN" w:bidi="ar-SA"/>
              </w:rPr>
            </w:pPr>
          </w:p>
        </w:tc>
        <w:tc>
          <w:tcPr>
            <w:tcW w:w="232" w:type="pct"/>
            <w:tcBorders>
              <w:top w:val="nil"/>
              <w:bottom w:val="single" w:color="auto"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0"/>
                <w:szCs w:val="20"/>
                <w:highlight w:val="none"/>
                <w:lang w:val="en-US" w:eastAsia="zh-CN" w:bidi="ar-SA"/>
              </w:rPr>
            </w:pPr>
          </w:p>
        </w:tc>
        <w:tc>
          <w:tcPr>
            <w:tcW w:w="232" w:type="pct"/>
            <w:tcBorders>
              <w:top w:val="nil"/>
              <w:bottom w:val="single" w:color="auto" w:sz="6" w:space="0"/>
              <w:right w:val="single" w:color="auto" w:sz="4"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0"/>
                <w:szCs w:val="20"/>
                <w:highlight w:val="none"/>
                <w:lang w:val="en-US" w:eastAsia="zh-CN" w:bidi="ar-SA"/>
              </w:rPr>
            </w:pPr>
          </w:p>
        </w:tc>
        <w:tc>
          <w:tcPr>
            <w:tcW w:w="232" w:type="pct"/>
            <w:tcBorders>
              <w:top w:val="nil"/>
              <w:left w:val="single" w:color="auto" w:sz="4" w:space="0"/>
              <w:bottom w:val="single" w:color="auto" w:sz="6" w:space="0"/>
              <w:right w:val="single" w:color="auto" w:sz="4"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0"/>
                <w:szCs w:val="20"/>
                <w:highlight w:val="none"/>
              </w:rPr>
            </w:pPr>
          </w:p>
        </w:tc>
        <w:tc>
          <w:tcPr>
            <w:tcW w:w="232" w:type="pct"/>
            <w:tcBorders>
              <w:top w:val="nil"/>
              <w:left w:val="single" w:color="auto" w:sz="4" w:space="0"/>
              <w:bottom w:val="single" w:color="auto" w:sz="6" w:space="0"/>
              <w:right w:val="single" w:color="auto" w:sz="4"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0"/>
                <w:szCs w:val="20"/>
                <w:highlight w:val="none"/>
                <w:lang w:val="en-US" w:eastAsia="zh-CN" w:bidi="ar-SA"/>
              </w:rPr>
            </w:pPr>
          </w:p>
        </w:tc>
        <w:tc>
          <w:tcPr>
            <w:tcW w:w="232" w:type="pct"/>
            <w:tcBorders>
              <w:top w:val="nil"/>
              <w:left w:val="single" w:color="auto" w:sz="4" w:space="0"/>
              <w:right w:val="single" w:color="auto"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0"/>
                <w:szCs w:val="20"/>
                <w:highlight w:val="none"/>
                <w:lang w:val="en-US" w:eastAsia="zh-CN" w:bidi="ar"/>
              </w:rPr>
            </w:pPr>
          </w:p>
        </w:tc>
        <w:tc>
          <w:tcPr>
            <w:tcW w:w="232" w:type="pct"/>
            <w:tcBorders>
              <w:top w:val="nil"/>
              <w:left w:val="single" w:color="auto" w:sz="6" w:space="0"/>
              <w:right w:val="single" w:color="auto"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0"/>
                <w:szCs w:val="20"/>
                <w:highlight w:val="none"/>
                <w:lang w:val="en-US" w:eastAsia="zh-CN" w:bidi="ar-SA"/>
              </w:rPr>
            </w:pPr>
          </w:p>
        </w:tc>
        <w:tc>
          <w:tcPr>
            <w:tcW w:w="232" w:type="pct"/>
            <w:tcBorders>
              <w:top w:val="nil"/>
              <w:left w:val="single" w:color="auto" w:sz="6" w:space="0"/>
              <w:right w:val="single" w:color="auto"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0"/>
                <w:szCs w:val="20"/>
                <w:highlight w:val="none"/>
                <w:lang w:val="en-US" w:eastAsia="zh-CN" w:bidi="ar-SA"/>
              </w:rPr>
            </w:pPr>
          </w:p>
        </w:tc>
        <w:tc>
          <w:tcPr>
            <w:tcW w:w="232" w:type="pct"/>
            <w:tcBorders>
              <w:top w:val="nil"/>
              <w:left w:val="single" w:color="auto" w:sz="6" w:space="0"/>
              <w:right w:val="single" w:color="auto"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0"/>
                <w:szCs w:val="20"/>
                <w:highlight w:val="none"/>
                <w:lang w:val="en-US" w:eastAsia="zh-CN" w:bidi="ar-SA"/>
              </w:rPr>
            </w:pPr>
          </w:p>
        </w:tc>
        <w:tc>
          <w:tcPr>
            <w:tcW w:w="265" w:type="pct"/>
            <w:tcBorders>
              <w:top w:val="nil"/>
              <w:left w:val="single" w:color="auto" w:sz="6" w:space="0"/>
              <w:right w:val="single" w:color="auto"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0"/>
                <w:szCs w:val="20"/>
                <w:highlight w:val="no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780" w:type="pct"/>
            <w:vMerge w:val="restart"/>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Style w:val="561"/>
                <w:rFonts w:hint="default" w:ascii="Times New Roman" w:hAnsi="Times New Roman" w:cs="Times New Roman"/>
                <w:sz w:val="20"/>
                <w:szCs w:val="20"/>
                <w:highlight w:val="none"/>
                <w:lang w:bidi="ar"/>
              </w:rPr>
            </w:pPr>
            <w:r>
              <w:rPr>
                <w:rFonts w:hint="default" w:ascii="Times New Roman" w:hAnsi="Times New Roman" w:eastAsia="仿宋" w:cs="Times New Roman"/>
                <w:spacing w:val="7"/>
                <w:sz w:val="20"/>
                <w:szCs w:val="20"/>
              </w:rPr>
              <w:t>主体建筑施工、装修</w:t>
            </w:r>
          </w:p>
        </w:tc>
        <w:tc>
          <w:tcPr>
            <w:tcW w:w="231" w:type="pct"/>
            <w:tcBorders>
              <w:top w:val="single" w:color="auto" w:sz="6" w:space="0"/>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1" w:type="pct"/>
            <w:tcBorders>
              <w:top w:val="single" w:color="auto" w:sz="6" w:space="0"/>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2" w:type="pct"/>
            <w:tcBorders>
              <w:top w:val="single" w:color="auto" w:sz="6" w:space="0"/>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2" w:type="pct"/>
            <w:tcBorders>
              <w:top w:val="single" w:color="auto" w:sz="6" w:space="0"/>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2" w:type="pct"/>
            <w:tcBorders>
              <w:top w:val="single" w:color="auto" w:sz="6" w:space="0"/>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2" w:type="pct"/>
            <w:tcBorders>
              <w:top w:val="single" w:color="auto" w:sz="6" w:space="0"/>
              <w:bottom w:val="single" w:color="auto"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41" w:type="pct"/>
            <w:tcBorders>
              <w:top w:val="single" w:color="auto" w:sz="6" w:space="0"/>
              <w:bottom w:val="single" w:color="auto"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2" w:type="pct"/>
            <w:tcBorders>
              <w:top w:val="single" w:color="auto" w:sz="6" w:space="0"/>
              <w:bottom w:val="single" w:color="auto"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2" w:type="pct"/>
            <w:tcBorders>
              <w:top w:val="single" w:color="auto" w:sz="6" w:space="0"/>
              <w:bottom w:val="single" w:color="auto"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2" w:type="pct"/>
            <w:tcBorders>
              <w:top w:val="single" w:color="auto" w:sz="6" w:space="0"/>
              <w:bottom w:val="single" w:color="auto"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2" w:type="pct"/>
            <w:tcBorders>
              <w:top w:val="single" w:color="auto" w:sz="6" w:space="0"/>
              <w:bottom w:val="single" w:color="auto"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2" w:type="pct"/>
            <w:tcBorders>
              <w:top w:val="single" w:color="auto" w:sz="6" w:space="0"/>
              <w:bottom w:val="single" w:color="auto"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2" w:type="pct"/>
            <w:tcBorders>
              <w:top w:val="single" w:color="auto" w:sz="6" w:space="0"/>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2" w:type="pct"/>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lang w:bidi="ar"/>
              </w:rPr>
            </w:pPr>
          </w:p>
        </w:tc>
        <w:tc>
          <w:tcPr>
            <w:tcW w:w="232" w:type="pct"/>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2" w:type="pct"/>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2" w:type="pct"/>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65" w:type="pct"/>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780" w:type="pct"/>
            <w:vMerge w:val="continue"/>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Style w:val="561"/>
                <w:rFonts w:hint="default" w:ascii="Times New Roman" w:hAnsi="Times New Roman" w:cs="Times New Roman"/>
                <w:sz w:val="20"/>
                <w:szCs w:val="20"/>
                <w:highlight w:val="none"/>
                <w:lang w:bidi="ar"/>
              </w:rPr>
            </w:pPr>
          </w:p>
        </w:tc>
        <w:tc>
          <w:tcPr>
            <w:tcW w:w="231" w:type="pct"/>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1" w:type="pct"/>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2" w:type="pct"/>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2" w:type="pct"/>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2" w:type="pct"/>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2" w:type="pct"/>
            <w:tcBorders>
              <w:top w:val="single" w:color="auto"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41" w:type="pct"/>
            <w:tcBorders>
              <w:top w:val="single" w:color="auto"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2" w:type="pct"/>
            <w:tcBorders>
              <w:top w:val="single" w:color="auto"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2" w:type="pct"/>
            <w:tcBorders>
              <w:top w:val="single" w:color="auto"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2" w:type="pct"/>
            <w:tcBorders>
              <w:top w:val="single" w:color="auto"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2" w:type="pct"/>
            <w:tcBorders>
              <w:top w:val="single" w:color="auto"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2" w:type="pct"/>
            <w:tcBorders>
              <w:top w:val="single" w:color="auto"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2" w:type="pct"/>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2" w:type="pct"/>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0"/>
                <w:szCs w:val="20"/>
                <w:highlight w:val="none"/>
              </w:rPr>
            </w:pPr>
          </w:p>
        </w:tc>
        <w:tc>
          <w:tcPr>
            <w:tcW w:w="232" w:type="pct"/>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2" w:type="pct"/>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2" w:type="pct"/>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65" w:type="pct"/>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780" w:type="pct"/>
            <w:vMerge w:val="restart"/>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Style w:val="561"/>
                <w:rFonts w:hint="default" w:ascii="Times New Roman" w:hAnsi="Times New Roman" w:cs="Times New Roman"/>
                <w:sz w:val="20"/>
                <w:szCs w:val="20"/>
                <w:highlight w:val="none"/>
                <w:lang w:bidi="ar"/>
              </w:rPr>
            </w:pPr>
            <w:r>
              <w:rPr>
                <w:rFonts w:hint="default" w:ascii="Times New Roman" w:hAnsi="Times New Roman" w:eastAsia="仿宋" w:cs="Times New Roman"/>
                <w:spacing w:val="7"/>
                <w:sz w:val="20"/>
                <w:szCs w:val="20"/>
              </w:rPr>
              <w:t>道路及附属设施工程施工</w:t>
            </w:r>
          </w:p>
        </w:tc>
        <w:tc>
          <w:tcPr>
            <w:tcW w:w="231" w:type="pct"/>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1" w:type="pct"/>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2" w:type="pct"/>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2" w:type="pct"/>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2" w:type="pct"/>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2" w:type="pct"/>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41" w:type="pct"/>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2" w:type="pct"/>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2" w:type="pct"/>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2" w:type="pct"/>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2" w:type="pct"/>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2" w:type="pct"/>
            <w:tcBorders>
              <w:bottom w:val="single" w:color="auto"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2" w:type="pct"/>
            <w:tcBorders>
              <w:bottom w:val="single" w:color="auto"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2" w:type="pct"/>
            <w:tcBorders>
              <w:bottom w:val="single" w:color="auto"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lang w:bidi="ar"/>
              </w:rPr>
            </w:pPr>
          </w:p>
        </w:tc>
        <w:tc>
          <w:tcPr>
            <w:tcW w:w="232" w:type="pct"/>
            <w:tcBorders>
              <w:bottom w:val="single" w:color="auto"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2" w:type="pct"/>
            <w:tcBorders>
              <w:bottom w:val="single" w:color="auto"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2" w:type="pct"/>
            <w:tcBorders>
              <w:bottom w:val="single" w:color="auto"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65" w:type="pct"/>
            <w:tcBorders>
              <w:bottom w:val="single" w:color="auto"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780" w:type="pct"/>
            <w:vMerge w:val="continue"/>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Style w:val="561"/>
                <w:rFonts w:hint="default" w:ascii="Times New Roman" w:hAnsi="Times New Roman" w:cs="Times New Roman"/>
                <w:sz w:val="20"/>
                <w:szCs w:val="20"/>
                <w:highlight w:val="none"/>
                <w:lang w:bidi="ar"/>
              </w:rPr>
            </w:pPr>
          </w:p>
        </w:tc>
        <w:tc>
          <w:tcPr>
            <w:tcW w:w="231" w:type="pct"/>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1" w:type="pct"/>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2" w:type="pct"/>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2" w:type="pct"/>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2" w:type="pct"/>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2" w:type="pct"/>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41" w:type="pct"/>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2" w:type="pct"/>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2" w:type="pct"/>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2" w:type="pct"/>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2" w:type="pct"/>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2" w:type="pct"/>
            <w:tcBorders>
              <w:top w:val="single" w:color="auto"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2" w:type="pct"/>
            <w:tcBorders>
              <w:top w:val="single" w:color="auto"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2" w:type="pct"/>
            <w:tcBorders>
              <w:top w:val="single" w:color="auto"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0"/>
                <w:szCs w:val="20"/>
                <w:highlight w:val="none"/>
              </w:rPr>
            </w:pPr>
          </w:p>
        </w:tc>
        <w:tc>
          <w:tcPr>
            <w:tcW w:w="232" w:type="pct"/>
            <w:tcBorders>
              <w:top w:val="single" w:color="auto"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2" w:type="pct"/>
            <w:tcBorders>
              <w:top w:val="single" w:color="auto"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2" w:type="pct"/>
            <w:tcBorders>
              <w:top w:val="single" w:color="auto"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65" w:type="pct"/>
            <w:tcBorders>
              <w:top w:val="single" w:color="auto"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780" w:type="pct"/>
            <w:vMerge w:val="restart"/>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Style w:val="561"/>
                <w:rFonts w:hint="default" w:ascii="Times New Roman" w:hAnsi="Times New Roman" w:cs="Times New Roman"/>
                <w:sz w:val="20"/>
                <w:szCs w:val="20"/>
                <w:highlight w:val="none"/>
                <w:lang w:bidi="ar"/>
              </w:rPr>
            </w:pPr>
            <w:r>
              <w:rPr>
                <w:rFonts w:hint="default" w:ascii="Times New Roman" w:hAnsi="Times New Roman" w:eastAsia="仿宋" w:cs="Times New Roman"/>
                <w:spacing w:val="4"/>
                <w:sz w:val="20"/>
                <w:szCs w:val="20"/>
              </w:rPr>
              <w:t>园林绿化施</w:t>
            </w:r>
            <w:r>
              <w:rPr>
                <w:rFonts w:hint="default" w:ascii="Times New Roman" w:hAnsi="Times New Roman" w:eastAsia="仿宋" w:cs="Times New Roman"/>
                <w:spacing w:val="3"/>
                <w:sz w:val="20"/>
                <w:szCs w:val="20"/>
              </w:rPr>
              <w:t>工</w:t>
            </w:r>
          </w:p>
        </w:tc>
        <w:tc>
          <w:tcPr>
            <w:tcW w:w="231" w:type="pct"/>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1" w:type="pct"/>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2" w:type="pct"/>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2" w:type="pct"/>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2" w:type="pct"/>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2" w:type="pct"/>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41" w:type="pct"/>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2" w:type="pct"/>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2" w:type="pct"/>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2" w:type="pct"/>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2" w:type="pct"/>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0"/>
                <w:szCs w:val="20"/>
                <w:highlight w:val="none"/>
              </w:rPr>
            </w:pPr>
          </w:p>
        </w:tc>
        <w:tc>
          <w:tcPr>
            <w:tcW w:w="232" w:type="pct"/>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2" w:type="pct"/>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2" w:type="pct"/>
            <w:tcBorders>
              <w:bottom w:val="single" w:color="000000" w:themeColor="text1"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lang w:bidi="ar"/>
              </w:rPr>
            </w:pPr>
          </w:p>
        </w:tc>
        <w:tc>
          <w:tcPr>
            <w:tcW w:w="232" w:type="pct"/>
            <w:tcBorders>
              <w:bottom w:val="single" w:color="000000" w:themeColor="text1"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2" w:type="pct"/>
            <w:tcBorders>
              <w:bottom w:val="single" w:color="000000" w:themeColor="text1"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2" w:type="pct"/>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65" w:type="pct"/>
            <w:tcBorders>
              <w:bottom w:val="nil"/>
              <w:right w:val="single" w:color="auto"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780" w:type="pct"/>
            <w:vMerge w:val="continue"/>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Style w:val="561"/>
                <w:rFonts w:hint="default" w:ascii="Times New Roman" w:hAnsi="Times New Roman" w:cs="Times New Roman"/>
                <w:sz w:val="20"/>
                <w:szCs w:val="20"/>
                <w:highlight w:val="none"/>
                <w:lang w:bidi="ar"/>
              </w:rPr>
            </w:pPr>
          </w:p>
        </w:tc>
        <w:tc>
          <w:tcPr>
            <w:tcW w:w="231" w:type="pct"/>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1" w:type="pct"/>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2" w:type="pct"/>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2" w:type="pct"/>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2" w:type="pct"/>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2" w:type="pct"/>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41" w:type="pct"/>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2" w:type="pct"/>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2" w:type="pct"/>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2" w:type="pct"/>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2" w:type="pct"/>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0"/>
                <w:szCs w:val="20"/>
                <w:highlight w:val="none"/>
              </w:rPr>
            </w:pPr>
          </w:p>
        </w:tc>
        <w:tc>
          <w:tcPr>
            <w:tcW w:w="232" w:type="pct"/>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2" w:type="pct"/>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2" w:type="pct"/>
            <w:tcBorders>
              <w:top w:val="single" w:color="000000" w:themeColor="text1"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0"/>
                <w:szCs w:val="20"/>
                <w:highlight w:val="none"/>
              </w:rPr>
            </w:pPr>
          </w:p>
        </w:tc>
        <w:tc>
          <w:tcPr>
            <w:tcW w:w="232" w:type="pct"/>
            <w:tcBorders>
              <w:top w:val="single" w:color="000000" w:themeColor="text1"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2" w:type="pct"/>
            <w:tcBorders>
              <w:top w:val="single" w:color="000000" w:themeColor="text1"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32" w:type="pct"/>
            <w:tcBorders>
              <w:top w:val="nil"/>
              <w:bottom w:val="single" w:color="auto"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c>
          <w:tcPr>
            <w:tcW w:w="265" w:type="pct"/>
            <w:tcBorders>
              <w:top w:val="nil"/>
              <w:bottom w:val="single" w:color="auto" w:sz="12" w:space="0"/>
              <w:right w:val="single" w:color="auto"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0"/>
                <w:szCs w:val="20"/>
                <w:highlight w:val="none"/>
              </w:rPr>
            </w:pPr>
          </w:p>
        </w:tc>
      </w:tr>
    </w:tbl>
    <w:p>
      <w:pPr>
        <w:pStyle w:val="152"/>
        <w:rPr>
          <w:rFonts w:hint="default" w:ascii="Times New Roman" w:hAnsi="Times New Roman" w:eastAsia="微软雅黑" w:cs="Times New Roman"/>
          <w:b w:val="0"/>
          <w:bCs w:val="0"/>
          <w:sz w:val="21"/>
          <w:szCs w:val="21"/>
          <w:highlight w:val="none"/>
        </w:rPr>
      </w:pPr>
    </w:p>
    <w:p>
      <w:pPr>
        <w:pStyle w:val="164"/>
        <w:pageBreakBefore w:val="0"/>
        <w:kinsoku/>
        <w:wordWrap/>
        <w:bidi w:val="0"/>
        <w:spacing w:line="360" w:lineRule="auto"/>
        <w:ind w:firstLine="0" w:firstLineChars="0"/>
        <w:rPr>
          <w:rFonts w:hint="default" w:ascii="Times New Roman" w:hAnsi="Times New Roman" w:eastAsia="仿宋_GB2312" w:cs="Times New Roman"/>
          <w:sz w:val="24"/>
          <w:highlight w:val="none"/>
        </w:rPr>
      </w:pPr>
    </w:p>
    <w:p>
      <w:pPr>
        <w:pStyle w:val="164"/>
        <w:pageBreakBefore w:val="0"/>
        <w:kinsoku/>
        <w:wordWrap/>
        <w:bidi w:val="0"/>
        <w:spacing w:line="360" w:lineRule="auto"/>
        <w:ind w:firstLine="0" w:firstLineChars="0"/>
        <w:rPr>
          <w:rFonts w:hint="default" w:ascii="Times New Roman" w:hAnsi="Times New Roman" w:eastAsia="仿宋_GB2312" w:cs="Times New Roman"/>
          <w:sz w:val="24"/>
          <w:highlight w:val="none"/>
        </w:rPr>
      </w:pPr>
    </w:p>
    <w:p>
      <w:pPr>
        <w:pStyle w:val="164"/>
        <w:pageBreakBefore w:val="0"/>
        <w:kinsoku/>
        <w:wordWrap/>
        <w:bidi w:val="0"/>
        <w:spacing w:line="360" w:lineRule="auto"/>
        <w:ind w:firstLine="0" w:firstLineChars="0"/>
        <w:rPr>
          <w:rFonts w:hint="default" w:ascii="Times New Roman" w:hAnsi="Times New Roman" w:eastAsia="仿宋_GB2312" w:cs="Times New Roman"/>
          <w:sz w:val="24"/>
          <w:highlight w:val="none"/>
        </w:rPr>
        <w:sectPr>
          <w:pgSz w:w="16838" w:h="11906" w:orient="landscape"/>
          <w:pgMar w:top="1797" w:right="1440" w:bottom="1701"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bookmarkEnd w:id="194"/>
    <w:p>
      <w:pPr>
        <w:pStyle w:val="5"/>
        <w:bidi w:val="0"/>
        <w:rPr>
          <w:rFonts w:hint="default" w:ascii="Times New Roman" w:hAnsi="Times New Roman" w:cs="Times New Roman"/>
        </w:rPr>
      </w:pPr>
      <w:bookmarkStart w:id="195" w:name="_Toc5140"/>
      <w:bookmarkStart w:id="196" w:name="_Toc30702"/>
      <w:bookmarkStart w:id="197" w:name="_Toc22653"/>
      <w:r>
        <w:rPr>
          <w:rFonts w:hint="default" w:ascii="Times New Roman" w:hAnsi="Times New Roman" w:cs="Times New Roman"/>
        </w:rPr>
        <w:t>2.7自然概况</w:t>
      </w:r>
      <w:bookmarkEnd w:id="195"/>
      <w:bookmarkEnd w:id="196"/>
      <w:bookmarkEnd w:id="197"/>
    </w:p>
    <w:p>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2.7.1地质构造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长春市在大地构造中位于新华夏系一级构造单元的第二隆起带和第二沉降带的过渡区，天山—阴山复杂纬向构造带影响区。长春市位于松辽凹陷的东部边缘，是中朝地台的一部分，古生代沉积物较少，局部有二迭系地层出露。中生代以白垩系地层为主，形成厚层状泥岩、泥质粉砂岩。第四纪中更新世有长白山岩浆活动。长春东南部有NE-SW向深大断裂，范家屯附近有NW-SE向断裂。松辽盆地第四纪以来表现西部缓慢下降，东部山区缓慢上升。项目区地上部地层主要由第四纪冲积粘性土层及砂层组成，下部为白垩纪泥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项目区地下水主要为第四系松散岩层孔隙潜水，含水顶板为亚粘土，淤泥质亚粘土，潜水带地下水主要赋存于地面以下7~8m的砂砾石层中。补给方式主要是大气降水和地表水体的入渗。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按照GB18306《中国地震动参数区划图》及《中国地震动峰值加速度区划图》，项目区地震基本烈度为VII度区，设计地震基本加速度为0.1g。属地震稳定地区。项目区地下水为第四系孔隙潜水及白垩系基岩裂隙水，</w:t>
      </w:r>
      <w:r>
        <w:rPr>
          <w:rFonts w:hint="default" w:ascii="Times New Roman" w:hAnsi="Times New Roman" w:eastAsia="仿宋_GB2312" w:cs="Times New Roman"/>
          <w:sz w:val="24"/>
          <w:szCs w:val="24"/>
          <w:lang w:eastAsia="zh-CN"/>
        </w:rPr>
        <w:t>本期项目</w:t>
      </w:r>
      <w:r>
        <w:rPr>
          <w:rFonts w:hint="default" w:ascii="Times New Roman" w:hAnsi="Times New Roman" w:eastAsia="仿宋_GB2312" w:cs="Times New Roman"/>
          <w:sz w:val="24"/>
          <w:szCs w:val="24"/>
        </w:rPr>
        <w:t>占地范围内地下水初见水位埋深一般在6.5m左右，地下水位年变化幅度0.3m~0.6m。项目区无崩塌、滑坡、泥石流、塌陷等不良地质现象。地下水对钢混基础结构腐蚀性较低。项目区工程地质条件为简单类型。</w:t>
      </w:r>
    </w:p>
    <w:p>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2.7.2地形地貌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highlight w:val="yellow"/>
        </w:rPr>
      </w:pPr>
      <w:r>
        <w:rPr>
          <w:rFonts w:hint="default" w:ascii="Times New Roman" w:hAnsi="Times New Roman" w:eastAsia="仿宋_GB2312" w:cs="Times New Roman"/>
          <w:sz w:val="24"/>
          <w:szCs w:val="24"/>
        </w:rPr>
        <w:t>长春市地处东北地区东部山地的西缘和松嫩平原的东缘，是东部低山丘陵向中西部台地平原的过渡地带。地势东高西低，南高北低，相对高度和缓，最高大顶山海拔406.5m，相对高差50~100m。地形起伏不一，山体顶圆坡缓。境内饮马河、伊通河、拉林河等主要河流自东南流向南北，切穿大黑山脉，在山前台地之间形成了宽广的平原。市区以台地、平原为主，兼有山地、丘陵等地貌形态。长春市区位于松花江三级支流伊通河谷阶地上，属平原型城市。</w:t>
      </w:r>
    </w:p>
    <w:p>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2.7.3气象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工程区属于温带大陆性季风气候，地处半湿润区向亚干旱区的过度地带。据长春市气象台1989年~2018年的统计资料，工程区年平均气温4.6C，≥10C积温3131.9C，年蒸发量1251mm，年降水量587.6mm，无霜期152d，多年平均风速为3.2m/s，主导风向为西南风，降水量年内分配不均衡，主要集中在7~8月份，约占全年降水总量的60%以上，风季时段2~6月，最大冻土深1.70m，10年一遇24h最大降雨量为118.36mm。各项气温要素统计见表2-</w:t>
      </w:r>
      <w:r>
        <w:rPr>
          <w:rFonts w:hint="default" w:ascii="Times New Roman" w:hAnsi="Times New Roman" w:eastAsia="仿宋_GB2312" w:cs="Times New Roman"/>
          <w:sz w:val="24"/>
          <w:szCs w:val="24"/>
          <w:lang w:val="en-US" w:eastAsia="zh-CN"/>
        </w:rPr>
        <w:t>7</w:t>
      </w:r>
      <w:r>
        <w:rPr>
          <w:rFonts w:hint="default" w:ascii="Times New Roman" w:hAnsi="Times New Roman" w:eastAsia="仿宋_GB2312" w:cs="Times New Roman"/>
          <w:sz w:val="24"/>
          <w:szCs w:val="24"/>
        </w:rPr>
        <w:t>。</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lang w:val="en-US" w:eastAsia="zh-CN"/>
        </w:rPr>
        <w:t>表</w:t>
      </w:r>
      <w:r>
        <w:rPr>
          <w:rFonts w:hint="default" w:ascii="Times New Roman" w:hAnsi="Times New Roman" w:eastAsia="微软雅黑" w:cs="Times New Roman"/>
          <w:sz w:val="21"/>
          <w:szCs w:val="21"/>
        </w:rPr>
        <w:t>2-7</w:t>
      </w:r>
      <w:r>
        <w:rPr>
          <w:rFonts w:hint="default" w:ascii="Times New Roman" w:hAnsi="Times New Roman" w:eastAsia="微软雅黑" w:cs="Times New Roman"/>
          <w:sz w:val="21"/>
          <w:szCs w:val="21"/>
          <w:lang w:val="en-US" w:eastAsia="zh-CN"/>
        </w:rPr>
        <w:t xml:space="preserve">  </w:t>
      </w:r>
      <w:r>
        <w:rPr>
          <w:rFonts w:hint="default" w:ascii="Times New Roman" w:hAnsi="Times New Roman" w:eastAsia="微软雅黑" w:cs="Times New Roman"/>
          <w:sz w:val="21"/>
          <w:szCs w:val="21"/>
        </w:rPr>
        <w:t>气象要素表</w:t>
      </w:r>
    </w:p>
    <w:tbl>
      <w:tblPr>
        <w:tblStyle w:val="556"/>
        <w:tblW w:w="4999" w:type="pct"/>
        <w:jc w:val="center"/>
        <w:tblBorders>
          <w:top w:val="double" w:color="000000" w:sz="4" w:space="0"/>
          <w:left w:val="none" w:color="auto" w:sz="0" w:space="0"/>
          <w:bottom w:val="double" w:color="000000" w:sz="4"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726"/>
        <w:gridCol w:w="3484"/>
        <w:gridCol w:w="2090"/>
        <w:gridCol w:w="2106"/>
      </w:tblGrid>
      <w:tr>
        <w:tblPrEx>
          <w:tblBorders>
            <w:top w:val="double" w:color="000000" w:sz="4" w:space="0"/>
            <w:left w:val="none" w:color="auto" w:sz="0" w:space="0"/>
            <w:bottom w:val="double" w:color="000000" w:sz="4"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2"/>
                <w:sz w:val="21"/>
                <w:szCs w:val="21"/>
              </w:rPr>
              <w:t>序号</w:t>
            </w:r>
          </w:p>
        </w:tc>
        <w:tc>
          <w:tcPr>
            <w:tcW w:w="20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4"/>
                <w:sz w:val="21"/>
                <w:szCs w:val="21"/>
              </w:rPr>
              <w:t>气象特</w:t>
            </w:r>
            <w:r>
              <w:rPr>
                <w:rFonts w:hint="default" w:ascii="Times New Roman" w:hAnsi="Times New Roman" w:eastAsia="仿宋_GB2312" w:cs="Times New Roman"/>
                <w:spacing w:val="3"/>
                <w:sz w:val="21"/>
                <w:szCs w:val="21"/>
              </w:rPr>
              <w:t>征</w:t>
            </w:r>
          </w:p>
        </w:tc>
        <w:tc>
          <w:tcPr>
            <w:tcW w:w="12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1"/>
                <w:sz w:val="21"/>
                <w:szCs w:val="21"/>
              </w:rPr>
              <w:t>单</w:t>
            </w:r>
            <w:r>
              <w:rPr>
                <w:rFonts w:hint="default" w:ascii="Times New Roman" w:hAnsi="Times New Roman" w:eastAsia="仿宋_GB2312" w:cs="Times New Roman"/>
                <w:sz w:val="21"/>
                <w:szCs w:val="21"/>
              </w:rPr>
              <w:t>位</w:t>
            </w:r>
          </w:p>
        </w:tc>
        <w:tc>
          <w:tcPr>
            <w:tcW w:w="12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2"/>
                <w:sz w:val="21"/>
                <w:szCs w:val="21"/>
              </w:rPr>
              <w:t>数值</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1</w:t>
            </w:r>
          </w:p>
        </w:tc>
        <w:tc>
          <w:tcPr>
            <w:tcW w:w="20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6"/>
                <w:sz w:val="21"/>
                <w:szCs w:val="21"/>
              </w:rPr>
              <w:t>年平均气温</w:t>
            </w:r>
          </w:p>
        </w:tc>
        <w:tc>
          <w:tcPr>
            <w:tcW w:w="12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position w:val="2"/>
                <w:sz w:val="21"/>
                <w:szCs w:val="21"/>
              </w:rPr>
              <w:t>℃</w:t>
            </w:r>
          </w:p>
        </w:tc>
        <w:tc>
          <w:tcPr>
            <w:tcW w:w="12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6"/>
                <w:sz w:val="21"/>
                <w:szCs w:val="21"/>
              </w:rPr>
              <w:t>4</w:t>
            </w:r>
            <w:r>
              <w:rPr>
                <w:rFonts w:hint="default" w:ascii="Times New Roman" w:hAnsi="Times New Roman" w:eastAsia="仿宋_GB2312" w:cs="Times New Roman"/>
                <w:spacing w:val="4"/>
                <w:sz w:val="21"/>
                <w:szCs w:val="21"/>
              </w:rPr>
              <w:t>.6</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2</w:t>
            </w:r>
          </w:p>
        </w:tc>
        <w:tc>
          <w:tcPr>
            <w:tcW w:w="20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4"/>
                <w:sz w:val="21"/>
                <w:szCs w:val="21"/>
              </w:rPr>
              <w:t>无霜期</w:t>
            </w:r>
          </w:p>
        </w:tc>
        <w:tc>
          <w:tcPr>
            <w:tcW w:w="12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position w:val="1"/>
                <w:sz w:val="21"/>
                <w:szCs w:val="21"/>
              </w:rPr>
              <w:t>d</w:t>
            </w:r>
          </w:p>
        </w:tc>
        <w:tc>
          <w:tcPr>
            <w:tcW w:w="12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3"/>
                <w:sz w:val="21"/>
                <w:szCs w:val="21"/>
              </w:rPr>
              <w:t>152</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3</w:t>
            </w:r>
          </w:p>
        </w:tc>
        <w:tc>
          <w:tcPr>
            <w:tcW w:w="20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5"/>
                <w:sz w:val="21"/>
                <w:szCs w:val="21"/>
              </w:rPr>
              <w:t>年降水</w:t>
            </w:r>
            <w:r>
              <w:rPr>
                <w:rFonts w:hint="default" w:ascii="Times New Roman" w:hAnsi="Times New Roman" w:eastAsia="仿宋_GB2312" w:cs="Times New Roman"/>
                <w:spacing w:val="4"/>
                <w:sz w:val="21"/>
                <w:szCs w:val="21"/>
              </w:rPr>
              <w:t>量</w:t>
            </w:r>
          </w:p>
        </w:tc>
        <w:tc>
          <w:tcPr>
            <w:tcW w:w="12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5"/>
                <w:sz w:val="21"/>
                <w:szCs w:val="21"/>
              </w:rPr>
              <w:t>mm</w:t>
            </w:r>
          </w:p>
        </w:tc>
        <w:tc>
          <w:tcPr>
            <w:tcW w:w="12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6"/>
                <w:sz w:val="21"/>
                <w:szCs w:val="21"/>
              </w:rPr>
              <w:t>5</w:t>
            </w:r>
            <w:r>
              <w:rPr>
                <w:rFonts w:hint="default" w:ascii="Times New Roman" w:hAnsi="Times New Roman" w:eastAsia="仿宋_GB2312" w:cs="Times New Roman"/>
                <w:spacing w:val="3"/>
                <w:sz w:val="21"/>
                <w:szCs w:val="21"/>
              </w:rPr>
              <w:t>87</w:t>
            </w:r>
            <w:r>
              <w:rPr>
                <w:rFonts w:hint="default" w:ascii="Times New Roman" w:hAnsi="Times New Roman" w:eastAsia="仿宋_GB2312" w:cs="Times New Roman"/>
                <w:spacing w:val="3"/>
                <w:sz w:val="21"/>
                <w:szCs w:val="21"/>
                <w:lang w:eastAsia="zh-CN"/>
              </w:rPr>
              <w:t>.</w:t>
            </w:r>
            <w:r>
              <w:rPr>
                <w:rFonts w:hint="default" w:ascii="Times New Roman" w:hAnsi="Times New Roman" w:eastAsia="仿宋_GB2312" w:cs="Times New Roman"/>
                <w:spacing w:val="3"/>
                <w:sz w:val="21"/>
                <w:szCs w:val="21"/>
              </w:rPr>
              <w:t>6</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1"/>
                <w:sz w:val="21"/>
                <w:szCs w:val="21"/>
              </w:rPr>
              <w:t>4</w:t>
            </w:r>
          </w:p>
        </w:tc>
        <w:tc>
          <w:tcPr>
            <w:tcW w:w="20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8"/>
                <w:sz w:val="21"/>
                <w:szCs w:val="21"/>
              </w:rPr>
              <w:t>最</w:t>
            </w:r>
            <w:r>
              <w:rPr>
                <w:rFonts w:hint="default" w:ascii="Times New Roman" w:hAnsi="Times New Roman" w:eastAsia="仿宋_GB2312" w:cs="Times New Roman"/>
                <w:spacing w:val="6"/>
                <w:sz w:val="21"/>
                <w:szCs w:val="21"/>
              </w:rPr>
              <w:t>大冻土深度</w:t>
            </w:r>
          </w:p>
        </w:tc>
        <w:tc>
          <w:tcPr>
            <w:tcW w:w="12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5"/>
                <w:sz w:val="21"/>
                <w:szCs w:val="21"/>
              </w:rPr>
              <w:t>m</w:t>
            </w:r>
          </w:p>
        </w:tc>
        <w:tc>
          <w:tcPr>
            <w:tcW w:w="12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2"/>
                <w:sz w:val="21"/>
                <w:szCs w:val="21"/>
              </w:rPr>
              <w:t>1.</w:t>
            </w:r>
            <w:r>
              <w:rPr>
                <w:rFonts w:hint="default" w:ascii="Times New Roman" w:hAnsi="Times New Roman" w:eastAsia="仿宋_GB2312" w:cs="Times New Roman"/>
                <w:spacing w:val="-1"/>
                <w:sz w:val="21"/>
                <w:szCs w:val="21"/>
              </w:rPr>
              <w:t>70</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5</w:t>
            </w:r>
          </w:p>
        </w:tc>
        <w:tc>
          <w:tcPr>
            <w:tcW w:w="20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2"/>
                <w:position w:val="1"/>
                <w:sz w:val="21"/>
                <w:szCs w:val="21"/>
              </w:rPr>
              <w:t>≥1</w:t>
            </w:r>
            <w:r>
              <w:rPr>
                <w:rFonts w:hint="default" w:ascii="Times New Roman" w:hAnsi="Times New Roman" w:eastAsia="仿宋_GB2312" w:cs="Times New Roman"/>
                <w:spacing w:val="-1"/>
                <w:position w:val="1"/>
                <w:sz w:val="21"/>
                <w:szCs w:val="21"/>
              </w:rPr>
              <w:t>0℃积温</w:t>
            </w:r>
          </w:p>
        </w:tc>
        <w:tc>
          <w:tcPr>
            <w:tcW w:w="12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position w:val="2"/>
                <w:sz w:val="21"/>
                <w:szCs w:val="21"/>
              </w:rPr>
              <w:t>℃</w:t>
            </w:r>
          </w:p>
        </w:tc>
        <w:tc>
          <w:tcPr>
            <w:tcW w:w="12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6"/>
                <w:sz w:val="21"/>
                <w:szCs w:val="21"/>
              </w:rPr>
              <w:t>3</w:t>
            </w:r>
            <w:r>
              <w:rPr>
                <w:rFonts w:hint="default" w:ascii="Times New Roman" w:hAnsi="Times New Roman" w:eastAsia="仿宋_GB2312" w:cs="Times New Roman"/>
                <w:spacing w:val="4"/>
                <w:sz w:val="21"/>
                <w:szCs w:val="21"/>
              </w:rPr>
              <w:t>1</w:t>
            </w:r>
            <w:r>
              <w:rPr>
                <w:rFonts w:hint="default" w:ascii="Times New Roman" w:hAnsi="Times New Roman" w:eastAsia="仿宋_GB2312" w:cs="Times New Roman"/>
                <w:spacing w:val="3"/>
                <w:sz w:val="21"/>
                <w:szCs w:val="21"/>
              </w:rPr>
              <w:t>31.9</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6</w:t>
            </w:r>
          </w:p>
        </w:tc>
        <w:tc>
          <w:tcPr>
            <w:tcW w:w="20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5"/>
                <w:sz w:val="21"/>
                <w:szCs w:val="21"/>
              </w:rPr>
              <w:t>年蒸发</w:t>
            </w:r>
            <w:r>
              <w:rPr>
                <w:rFonts w:hint="default" w:ascii="Times New Roman" w:hAnsi="Times New Roman" w:eastAsia="仿宋_GB2312" w:cs="Times New Roman"/>
                <w:spacing w:val="4"/>
                <w:sz w:val="21"/>
                <w:szCs w:val="21"/>
              </w:rPr>
              <w:t>量</w:t>
            </w:r>
          </w:p>
        </w:tc>
        <w:tc>
          <w:tcPr>
            <w:tcW w:w="12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5"/>
                <w:sz w:val="21"/>
                <w:szCs w:val="21"/>
              </w:rPr>
              <w:t>mm</w:t>
            </w:r>
          </w:p>
        </w:tc>
        <w:tc>
          <w:tcPr>
            <w:tcW w:w="12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1"/>
                <w:sz w:val="21"/>
                <w:szCs w:val="21"/>
              </w:rPr>
              <w:t>1251</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7</w:t>
            </w:r>
          </w:p>
        </w:tc>
        <w:tc>
          <w:tcPr>
            <w:tcW w:w="20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6"/>
                <w:sz w:val="21"/>
                <w:szCs w:val="21"/>
              </w:rPr>
              <w:t>平均风</w:t>
            </w:r>
            <w:r>
              <w:rPr>
                <w:rFonts w:hint="default" w:ascii="Times New Roman" w:hAnsi="Times New Roman" w:eastAsia="仿宋_GB2312" w:cs="Times New Roman"/>
                <w:spacing w:val="5"/>
                <w:sz w:val="21"/>
                <w:szCs w:val="21"/>
              </w:rPr>
              <w:t>速</w:t>
            </w:r>
          </w:p>
        </w:tc>
        <w:tc>
          <w:tcPr>
            <w:tcW w:w="12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position w:val="2"/>
                <w:sz w:val="21"/>
                <w:szCs w:val="21"/>
              </w:rPr>
              <w:t>m</w:t>
            </w:r>
            <w:r>
              <w:rPr>
                <w:rFonts w:hint="default" w:ascii="Times New Roman" w:hAnsi="Times New Roman" w:eastAsia="仿宋_GB2312" w:cs="Times New Roman"/>
                <w:spacing w:val="18"/>
                <w:position w:val="2"/>
                <w:sz w:val="21"/>
                <w:szCs w:val="21"/>
              </w:rPr>
              <w:t>/</w:t>
            </w:r>
            <w:r>
              <w:rPr>
                <w:rFonts w:hint="default" w:ascii="Times New Roman" w:hAnsi="Times New Roman" w:eastAsia="仿宋_GB2312" w:cs="Times New Roman"/>
                <w:position w:val="2"/>
                <w:sz w:val="21"/>
                <w:szCs w:val="21"/>
              </w:rPr>
              <w:t>s</w:t>
            </w:r>
          </w:p>
        </w:tc>
        <w:tc>
          <w:tcPr>
            <w:tcW w:w="12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2"/>
                <w:sz w:val="21"/>
                <w:szCs w:val="21"/>
              </w:rPr>
              <w:t>3</w:t>
            </w:r>
            <w:r>
              <w:rPr>
                <w:rFonts w:hint="default" w:ascii="Times New Roman" w:hAnsi="Times New Roman" w:eastAsia="仿宋_GB2312" w:cs="Times New Roman"/>
                <w:spacing w:val="1"/>
                <w:sz w:val="21"/>
                <w:szCs w:val="21"/>
              </w:rPr>
              <w:t>.2</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8</w:t>
            </w:r>
          </w:p>
        </w:tc>
        <w:tc>
          <w:tcPr>
            <w:tcW w:w="20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6"/>
                <w:sz w:val="21"/>
                <w:szCs w:val="21"/>
              </w:rPr>
              <w:t>主</w:t>
            </w:r>
            <w:r>
              <w:rPr>
                <w:rFonts w:hint="default" w:ascii="Times New Roman" w:hAnsi="Times New Roman" w:eastAsia="仿宋_GB2312" w:cs="Times New Roman"/>
                <w:spacing w:val="4"/>
                <w:sz w:val="21"/>
                <w:szCs w:val="21"/>
              </w:rPr>
              <w:t>导风向</w:t>
            </w:r>
          </w:p>
        </w:tc>
        <w:tc>
          <w:tcPr>
            <w:tcW w:w="12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p>
        </w:tc>
        <w:tc>
          <w:tcPr>
            <w:tcW w:w="12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1"/>
                <w:sz w:val="21"/>
                <w:szCs w:val="21"/>
              </w:rPr>
              <w:t>S</w:t>
            </w:r>
            <w:r>
              <w:rPr>
                <w:rFonts w:hint="default" w:ascii="Times New Roman" w:hAnsi="Times New Roman" w:eastAsia="仿宋_GB2312" w:cs="Times New Roman"/>
                <w:sz w:val="21"/>
                <w:szCs w:val="21"/>
              </w:rPr>
              <w:t>W</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9</w:t>
            </w:r>
          </w:p>
        </w:tc>
        <w:tc>
          <w:tcPr>
            <w:tcW w:w="20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6"/>
                <w:sz w:val="21"/>
                <w:szCs w:val="21"/>
              </w:rPr>
              <w:t>大</w:t>
            </w:r>
            <w:r>
              <w:rPr>
                <w:rFonts w:hint="default" w:ascii="Times New Roman" w:hAnsi="Times New Roman" w:eastAsia="仿宋_GB2312" w:cs="Times New Roman"/>
                <w:spacing w:val="5"/>
                <w:sz w:val="21"/>
                <w:szCs w:val="21"/>
              </w:rPr>
              <w:t>风日数</w:t>
            </w:r>
          </w:p>
        </w:tc>
        <w:tc>
          <w:tcPr>
            <w:tcW w:w="12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position w:val="2"/>
                <w:sz w:val="21"/>
                <w:szCs w:val="21"/>
              </w:rPr>
              <w:t>d</w:t>
            </w:r>
          </w:p>
        </w:tc>
        <w:tc>
          <w:tcPr>
            <w:tcW w:w="12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5"/>
                <w:sz w:val="21"/>
                <w:szCs w:val="21"/>
              </w:rPr>
              <w:t>2</w:t>
            </w:r>
            <w:r>
              <w:rPr>
                <w:rFonts w:hint="default" w:ascii="Times New Roman" w:hAnsi="Times New Roman" w:eastAsia="仿宋_GB2312" w:cs="Times New Roman"/>
                <w:spacing w:val="3"/>
                <w:sz w:val="21"/>
                <w:szCs w:val="21"/>
              </w:rPr>
              <w:t>3.2</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8"/>
                <w:sz w:val="21"/>
                <w:szCs w:val="21"/>
              </w:rPr>
              <w:t>1</w:t>
            </w:r>
            <w:r>
              <w:rPr>
                <w:rFonts w:hint="default" w:ascii="Times New Roman" w:hAnsi="Times New Roman" w:eastAsia="仿宋_GB2312" w:cs="Times New Roman"/>
                <w:spacing w:val="-7"/>
                <w:sz w:val="21"/>
                <w:szCs w:val="21"/>
              </w:rPr>
              <w:t>0</w:t>
            </w:r>
          </w:p>
        </w:tc>
        <w:tc>
          <w:tcPr>
            <w:tcW w:w="20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6"/>
                <w:sz w:val="21"/>
                <w:szCs w:val="21"/>
              </w:rPr>
              <w:t>雨季时</w:t>
            </w:r>
            <w:r>
              <w:rPr>
                <w:rFonts w:hint="default" w:ascii="Times New Roman" w:hAnsi="Times New Roman" w:eastAsia="仿宋_GB2312" w:cs="Times New Roman"/>
                <w:spacing w:val="5"/>
                <w:sz w:val="21"/>
                <w:szCs w:val="21"/>
              </w:rPr>
              <w:t>段</w:t>
            </w:r>
          </w:p>
        </w:tc>
        <w:tc>
          <w:tcPr>
            <w:tcW w:w="12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p>
        </w:tc>
        <w:tc>
          <w:tcPr>
            <w:tcW w:w="12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8"/>
                <w:sz w:val="21"/>
                <w:szCs w:val="21"/>
              </w:rPr>
              <w:t>7</w:t>
            </w:r>
            <w:r>
              <w:rPr>
                <w:rFonts w:hint="default" w:ascii="Times New Roman" w:hAnsi="Times New Roman" w:eastAsia="仿宋_GB2312" w:cs="Times New Roman"/>
                <w:spacing w:val="6"/>
                <w:sz w:val="21"/>
                <w:szCs w:val="21"/>
              </w:rPr>
              <w:t>~8月</w:t>
            </w:r>
          </w:p>
        </w:tc>
      </w:tr>
    </w:tbl>
    <w:p>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2.7.4水文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长春市的地表水属松花江水系，位于松花江、饮马河、伊通河的中下游。还有沐石河、双阳河、雾开河、新凯河及卡岔河等流经境内，有波罗泡子、敖宝洼泡子、元宝泡子等主要湖泊7处。饮马河是松花江一级支流，发源于伊通县老爷岭南侧，经磐石、双阳、九台，在农安红石垒屯东南处注入松花江。长春境内河长293.6km，流域面积为11122.9km²。主要支流有伊通河、雾开河、双阳河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雾开河属饮马河支流，源出长春市双阳区西北，北流至德惠市东南注入饮马河。长132km，流域面积1198km²。上游建有五一水库，总库容4180万m³，河道纵向坡度4‰，河流弯曲系数0.2。干雾海河为雾开河左岸的一级支流，饮马河的二级支流，由四家子河、太平沟、岫岩大沟、顺山卜沟、刘糖房沟等多条支流构成。流域面积477km²，河长65.6km，河道坡度0.6，项目区距离干雾海河0.6km，50年一遇洪水位226.6m，</w:t>
      </w:r>
      <w:r>
        <w:rPr>
          <w:rFonts w:hint="eastAsia" w:eastAsia="仿宋_GB2312" w:cs="Times New Roman"/>
          <w:sz w:val="24"/>
          <w:szCs w:val="24"/>
          <w:lang w:val="en-US" w:eastAsia="zh-CN"/>
        </w:rPr>
        <w:t>本项目</w:t>
      </w:r>
      <w:r>
        <w:rPr>
          <w:rFonts w:hint="eastAsia" w:ascii="Times New Roman" w:hAnsi="Times New Roman" w:eastAsia="仿宋_GB2312" w:cs="Times New Roman"/>
          <w:sz w:val="24"/>
          <w:szCs w:val="24"/>
          <w:highlight w:val="none"/>
          <w:lang w:val="en-US" w:eastAsia="zh-CN"/>
        </w:rPr>
        <w:t>设计标高234.75~241.95m。</w:t>
      </w:r>
      <w:r>
        <w:rPr>
          <w:rFonts w:hint="default" w:ascii="Times New Roman" w:hAnsi="Times New Roman" w:eastAsia="仿宋_GB2312" w:cs="Times New Roman"/>
          <w:sz w:val="24"/>
          <w:szCs w:val="24"/>
        </w:rPr>
        <w:t>项目区水系图见图2。</w:t>
      </w:r>
    </w:p>
    <w:p>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2.7.5土壤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项目区土壤类型以黑土为主。黑土表层具有良好的团粒结构，土体疏软多孔隙，耐旱、耐涝。有较深厚的腐殖质层，土壤表层厚度为30cm~50cm，有机质含量2%~6%；剖面中无钙积层，淀积层呈灰棕色，核状结构，结构体表面有胶膜及铁锰结核，pH值6.5~7.5。土壤容重1.0~1.5，黑土表层最大吸水量为6.5%，田间持水量为30%，土壤水分适中，透水性差，排水良好，土壤抗蚀性一般。</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项目区内土地利用现状为政府平整后的土地，地表以杂填土为主，项目现状地面为净地，无可剥离表土。</w:t>
      </w:r>
    </w:p>
    <w:p>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2.7.6植被</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区域自然植被类型为温带落叶阔叶林及灌丛，人工植被类型为农作物和人工林。主要群落类型为蒙古栎林、阔叶杂木林、榛丛、落叶松人工林、樟子松人工林等。当地适生的乔木树种有：加杨、三北1号杨、小城黑杨，刺槐、樟子松、梓树等；适生的灌木树种有榆叶梅、丁香、锦带、绣线菊等；适生的草本植物有苜蓿、羊草、小叶章、三棱草、苔草、无芒雀麦、冰草、黑麦草等。区域林草覆盖率为25.36%。项目区占地范围内无林草植被覆盖。</w:t>
      </w:r>
    </w:p>
    <w:p>
      <w:pPr>
        <w:pStyle w:val="153"/>
        <w:pageBreakBefore w:val="0"/>
        <w:kinsoku/>
        <w:wordWrap/>
        <w:bidi w:val="0"/>
        <w:rPr>
          <w:rFonts w:hint="default" w:ascii="Times New Roman" w:hAnsi="Times New Roman" w:eastAsia="仿宋" w:cs="Times New Roman"/>
          <w:spacing w:val="3"/>
          <w:sz w:val="23"/>
          <w:szCs w:val="23"/>
        </w:rPr>
      </w:pPr>
    </w:p>
    <w:p>
      <w:pPr>
        <w:pStyle w:val="153"/>
        <w:pageBreakBefore w:val="0"/>
        <w:kinsoku/>
        <w:wordWrap/>
        <w:bidi w:val="0"/>
        <w:rPr>
          <w:rFonts w:hint="default" w:ascii="Times New Roman" w:hAnsi="Times New Roman" w:eastAsia="仿宋" w:cs="Times New Roman"/>
          <w:spacing w:val="3"/>
          <w:sz w:val="23"/>
          <w:szCs w:val="23"/>
        </w:rPr>
      </w:pPr>
    </w:p>
    <w:p>
      <w:pPr>
        <w:pStyle w:val="153"/>
        <w:pageBreakBefore w:val="0"/>
        <w:kinsoku/>
        <w:wordWrap/>
        <w:bidi w:val="0"/>
        <w:rPr>
          <w:rFonts w:hint="default" w:ascii="Times New Roman" w:hAnsi="Times New Roman" w:eastAsia="仿宋" w:cs="Times New Roman"/>
          <w:spacing w:val="3"/>
          <w:sz w:val="23"/>
          <w:szCs w:val="23"/>
        </w:rPr>
      </w:pPr>
    </w:p>
    <w:p>
      <w:pPr>
        <w:pStyle w:val="153"/>
        <w:pageBreakBefore w:val="0"/>
        <w:kinsoku/>
        <w:wordWrap/>
        <w:bidi w:val="0"/>
        <w:rPr>
          <w:rFonts w:hint="default" w:ascii="Times New Roman" w:hAnsi="Times New Roman" w:eastAsia="仿宋" w:cs="Times New Roman"/>
          <w:spacing w:val="3"/>
          <w:sz w:val="23"/>
          <w:szCs w:val="23"/>
        </w:rPr>
      </w:pPr>
    </w:p>
    <w:p>
      <w:pPr>
        <w:pStyle w:val="153"/>
        <w:pageBreakBefore w:val="0"/>
        <w:kinsoku/>
        <w:wordWrap/>
        <w:bidi w:val="0"/>
        <w:rPr>
          <w:rFonts w:hint="default" w:ascii="Times New Roman" w:hAnsi="Times New Roman" w:eastAsia="仿宋" w:cs="Times New Roman"/>
          <w:spacing w:val="3"/>
          <w:sz w:val="23"/>
          <w:szCs w:val="23"/>
        </w:rPr>
        <w:sectPr>
          <w:headerReference r:id="rId13" w:type="default"/>
          <w:footerReference r:id="rId15" w:type="default"/>
          <w:headerReference r:id="rId14" w:type="even"/>
          <w:pgSz w:w="11906" w:h="16838"/>
          <w:pgMar w:top="1418" w:right="1701" w:bottom="1418" w:left="1797" w:header="851" w:footer="992" w:gutter="0"/>
          <w:pgBorders>
            <w:top w:val="none" w:sz="0" w:space="0"/>
            <w:left w:val="none" w:sz="0" w:space="0"/>
            <w:bottom w:val="none" w:sz="0" w:space="0"/>
            <w:right w:val="none" w:sz="0" w:space="0"/>
          </w:pgBorders>
          <w:pgNumType w:fmt="decimal"/>
          <w:cols w:space="720" w:num="1"/>
          <w:docGrid w:linePitch="312" w:charSpace="0"/>
        </w:sectPr>
      </w:pPr>
    </w:p>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88"/>
    <w:bookmarkEnd w:id="189"/>
    <w:p>
      <w:pPr>
        <w:pStyle w:val="4"/>
        <w:bidi w:val="0"/>
        <w:rPr>
          <w:rFonts w:hint="default" w:ascii="Times New Roman" w:hAnsi="Times New Roman" w:cs="Times New Roman"/>
        </w:rPr>
      </w:pPr>
      <w:bookmarkStart w:id="198" w:name="_Toc23177"/>
      <w:bookmarkStart w:id="199" w:name="_Toc6227"/>
      <w:bookmarkStart w:id="200" w:name="_Toc13336"/>
      <w:bookmarkStart w:id="201" w:name="_Toc93231797"/>
      <w:bookmarkStart w:id="202" w:name="_Toc93231902"/>
      <w:bookmarkStart w:id="203" w:name="_Toc93562126"/>
      <w:r>
        <w:rPr>
          <w:rFonts w:hint="default" w:ascii="Times New Roman" w:hAnsi="Times New Roman" w:cs="Times New Roman"/>
        </w:rPr>
        <w:t>3项目水土保持评价</w:t>
      </w:r>
      <w:bookmarkEnd w:id="198"/>
      <w:bookmarkEnd w:id="199"/>
      <w:bookmarkEnd w:id="200"/>
    </w:p>
    <w:p>
      <w:pPr>
        <w:pStyle w:val="5"/>
        <w:bidi w:val="0"/>
        <w:rPr>
          <w:rFonts w:hint="default" w:ascii="Times New Roman" w:hAnsi="Times New Roman" w:cs="Times New Roman"/>
        </w:rPr>
      </w:pPr>
      <w:bookmarkStart w:id="204" w:name="_Toc11350"/>
      <w:bookmarkStart w:id="205" w:name="_Toc11308"/>
      <w:bookmarkStart w:id="206" w:name="_Toc22821"/>
      <w:r>
        <w:rPr>
          <w:rFonts w:hint="default" w:ascii="Times New Roman" w:hAnsi="Times New Roman" w:cs="Times New Roman"/>
        </w:rPr>
        <w:t>3.1主体工程选址（线）水土保持评价</w:t>
      </w:r>
      <w:bookmarkEnd w:id="204"/>
      <w:bookmarkEnd w:id="205"/>
      <w:bookmarkEnd w:id="20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bCs/>
          <w:sz w:val="24"/>
          <w:highlight w:val="none"/>
        </w:rPr>
      </w:pPr>
      <w:r>
        <w:rPr>
          <w:rFonts w:hint="default" w:ascii="Times New Roman" w:hAnsi="Times New Roman" w:eastAsia="仿宋_GB2312" w:cs="Times New Roman"/>
          <w:bCs/>
          <w:sz w:val="24"/>
          <w:highlight w:val="none"/>
        </w:rPr>
        <w:t>根据水土保持</w:t>
      </w:r>
      <w:r>
        <w:rPr>
          <w:rFonts w:hint="eastAsia" w:eastAsia="仿宋_GB2312" w:cs="Times New Roman"/>
          <w:bCs/>
          <w:sz w:val="24"/>
          <w:highlight w:val="none"/>
          <w:lang w:val="en-US" w:eastAsia="zh-CN"/>
        </w:rPr>
        <w:t>法律法规以及</w:t>
      </w:r>
      <w:r>
        <w:rPr>
          <w:rFonts w:hint="default" w:ascii="Times New Roman" w:hAnsi="Times New Roman" w:eastAsia="仿宋_GB2312" w:cs="Times New Roman"/>
          <w:bCs/>
          <w:sz w:val="24"/>
          <w:highlight w:val="none"/>
        </w:rPr>
        <w:t>水土保持技术标准</w:t>
      </w:r>
      <w:r>
        <w:rPr>
          <w:rFonts w:hint="eastAsia" w:eastAsia="仿宋_GB2312" w:cs="Times New Roman"/>
          <w:bCs/>
          <w:sz w:val="24"/>
          <w:highlight w:val="none"/>
          <w:lang w:val="en-US" w:eastAsia="zh-CN"/>
        </w:rPr>
        <w:t>规范等</w:t>
      </w:r>
      <w:r>
        <w:rPr>
          <w:rFonts w:hint="default" w:ascii="Times New Roman" w:hAnsi="Times New Roman" w:eastAsia="仿宋_GB2312" w:cs="Times New Roman"/>
          <w:bCs/>
          <w:sz w:val="24"/>
          <w:highlight w:val="none"/>
        </w:rPr>
        <w:t>关于水土保持限制和约束性规定，</w:t>
      </w:r>
      <w:r>
        <w:rPr>
          <w:rFonts w:hint="default" w:ascii="Times New Roman" w:hAnsi="Times New Roman" w:eastAsia="仿宋_GB2312" w:cs="Times New Roman"/>
          <w:bCs/>
          <w:sz w:val="24"/>
          <w:highlight w:val="none"/>
          <w:lang w:eastAsia="zh-CN"/>
        </w:rPr>
        <w:t>本期工程</w:t>
      </w:r>
      <w:r>
        <w:rPr>
          <w:rFonts w:hint="default" w:ascii="Times New Roman" w:hAnsi="Times New Roman" w:eastAsia="仿宋_GB2312" w:cs="Times New Roman"/>
          <w:bCs/>
          <w:sz w:val="24"/>
          <w:highlight w:val="none"/>
        </w:rPr>
        <w:t>不涉及河流两岸、湖泊和水库周边的植物保护带；不涉及全国水土保持监测网络中的水土保持监测站点、重点试验区及国家确定的水土保持长期定位观测点；</w:t>
      </w:r>
      <w:r>
        <w:rPr>
          <w:rFonts w:hint="default" w:ascii="Times New Roman" w:hAnsi="Times New Roman" w:eastAsia="仿宋_GB2312" w:cs="Times New Roman"/>
          <w:bCs/>
          <w:sz w:val="24"/>
          <w:highlight w:val="none"/>
          <w:lang w:eastAsia="zh-CN"/>
        </w:rPr>
        <w:t>本期项目</w:t>
      </w:r>
      <w:r>
        <w:rPr>
          <w:rFonts w:hint="default" w:ascii="Times New Roman" w:hAnsi="Times New Roman" w:eastAsia="仿宋_GB2312" w:cs="Times New Roman"/>
          <w:bCs/>
          <w:sz w:val="24"/>
          <w:highlight w:val="none"/>
        </w:rPr>
        <w:t>选址无法避让国家级水土流失重点治理区，本水土保持方案通过严格执行东北黑土区水土流失防治一级标准，提高水土流失防治指标</w:t>
      </w:r>
      <w:r>
        <w:rPr>
          <w:rFonts w:hint="default" w:ascii="Times New Roman" w:hAnsi="Times New Roman" w:eastAsia="仿宋_GB2312" w:cs="Times New Roman"/>
          <w:bCs/>
          <w:sz w:val="24"/>
          <w:highlight w:val="none"/>
          <w:lang w:val="en-US" w:eastAsia="zh-CN"/>
        </w:rPr>
        <w:t>值</w:t>
      </w:r>
      <w:r>
        <w:rPr>
          <w:rFonts w:hint="default" w:ascii="Times New Roman" w:hAnsi="Times New Roman" w:eastAsia="仿宋_GB2312" w:cs="Times New Roman"/>
          <w:bCs/>
          <w:sz w:val="24"/>
          <w:highlight w:val="none"/>
        </w:rPr>
        <w:t>，补充和完善水土保持措施，通过在优化施工布置，施工生产生活区均布设在项目区内，同时，要求项目建设时严格控制扰动地表和损毁植被面积，建设单位通过加强工程施工管理、优化施工工艺和时序，减少项目建设可能产生的水土流失。基本满足《生产建设项目水土保持技术标准》</w:t>
      </w:r>
      <w:r>
        <w:rPr>
          <w:rFonts w:hint="default" w:ascii="Times New Roman" w:hAnsi="Times New Roman" w:eastAsia="仿宋_GB2312" w:cs="Times New Roman"/>
          <w:bCs/>
          <w:sz w:val="24"/>
          <w:highlight w:val="none"/>
          <w:lang w:eastAsia="zh-CN"/>
        </w:rPr>
        <w:t>（</w:t>
      </w:r>
      <w:r>
        <w:rPr>
          <w:rFonts w:hint="default" w:ascii="Times New Roman" w:hAnsi="Times New Roman" w:eastAsia="仿宋_GB2312" w:cs="Times New Roman"/>
          <w:bCs/>
          <w:sz w:val="24"/>
          <w:highlight w:val="none"/>
        </w:rPr>
        <w:t>GB50433—2018</w:t>
      </w:r>
      <w:r>
        <w:rPr>
          <w:rFonts w:hint="default" w:ascii="Times New Roman" w:hAnsi="Times New Roman" w:eastAsia="仿宋_GB2312" w:cs="Times New Roman"/>
          <w:bCs/>
          <w:sz w:val="24"/>
          <w:highlight w:val="none"/>
          <w:lang w:eastAsia="zh-CN"/>
        </w:rPr>
        <w:t>）</w:t>
      </w:r>
      <w:r>
        <w:rPr>
          <w:rFonts w:hint="default" w:ascii="Times New Roman" w:hAnsi="Times New Roman" w:eastAsia="仿宋_GB2312" w:cs="Times New Roman"/>
          <w:bCs/>
          <w:sz w:val="24"/>
          <w:highlight w:val="none"/>
        </w:rPr>
        <w:t>对主体工程选址水土保持规定的要求。因此，从水土保持角度评价认为</w:t>
      </w:r>
      <w:r>
        <w:rPr>
          <w:rFonts w:hint="default" w:ascii="Times New Roman" w:hAnsi="Times New Roman" w:eastAsia="仿宋_GB2312" w:cs="Times New Roman"/>
          <w:bCs/>
          <w:sz w:val="24"/>
          <w:highlight w:val="none"/>
          <w:lang w:eastAsia="zh-CN"/>
        </w:rPr>
        <w:t>本期项目</w:t>
      </w:r>
      <w:r>
        <w:rPr>
          <w:rFonts w:hint="default" w:ascii="Times New Roman" w:hAnsi="Times New Roman" w:eastAsia="仿宋_GB2312" w:cs="Times New Roman"/>
          <w:bCs/>
          <w:sz w:val="24"/>
          <w:highlight w:val="none"/>
        </w:rPr>
        <w:t>选址合理，符合水土保持要求。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bCs/>
          <w:sz w:val="24"/>
          <w:highlight w:val="none"/>
        </w:rPr>
      </w:pPr>
      <w:r>
        <w:rPr>
          <w:rFonts w:hint="default" w:ascii="Times New Roman" w:hAnsi="Times New Roman" w:eastAsia="仿宋_GB2312" w:cs="Times New Roman"/>
          <w:bCs/>
          <w:sz w:val="24"/>
          <w:highlight w:val="none"/>
        </w:rPr>
        <w:t>主体工程约束性分析表见表3-1。</w:t>
      </w:r>
    </w:p>
    <w:p>
      <w:pPr>
        <w:pStyle w:val="164"/>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val="0"/>
          <w:bCs w:val="0"/>
          <w:sz w:val="21"/>
          <w:szCs w:val="21"/>
          <w:highlight w:val="none"/>
          <w:lang w:val="en-US" w:eastAsia="zh-CN"/>
        </w:rPr>
      </w:pPr>
      <w:r>
        <w:rPr>
          <w:rFonts w:hint="default" w:ascii="Times New Roman" w:hAnsi="Times New Roman" w:eastAsia="微软雅黑" w:cs="Times New Roman"/>
          <w:b w:val="0"/>
          <w:bCs w:val="0"/>
          <w:sz w:val="21"/>
          <w:szCs w:val="21"/>
          <w:highlight w:val="none"/>
          <w:lang w:val="en-US" w:eastAsia="zh-CN"/>
        </w:rPr>
        <w:t>表3-1  主体工程选址水土保持限制性因素分析评价表</w:t>
      </w:r>
    </w:p>
    <w:tbl>
      <w:tblPr>
        <w:tblStyle w:val="88"/>
        <w:tblW w:w="4998" w:type="pct"/>
        <w:jc w:val="center"/>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78"/>
        <w:gridCol w:w="2927"/>
        <w:gridCol w:w="4126"/>
        <w:gridCol w:w="1090"/>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序号</w:t>
            </w:r>
          </w:p>
        </w:tc>
        <w:tc>
          <w:tcPr>
            <w:tcW w:w="16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约束性条件</w:t>
            </w:r>
          </w:p>
        </w:tc>
        <w:tc>
          <w:tcPr>
            <w:tcW w:w="23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lang w:eastAsia="zh-CN"/>
              </w:rPr>
              <w:t>本期项目</w:t>
            </w:r>
            <w:r>
              <w:rPr>
                <w:rFonts w:hint="default" w:ascii="Times New Roman" w:hAnsi="Times New Roman" w:eastAsia="仿宋_GB2312" w:cs="Times New Roman"/>
                <w:sz w:val="20"/>
                <w:szCs w:val="20"/>
              </w:rPr>
              <w:t>情况</w:t>
            </w:r>
          </w:p>
        </w:tc>
        <w:tc>
          <w:tcPr>
            <w:tcW w:w="6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符合性规定</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1</w:t>
            </w:r>
          </w:p>
        </w:tc>
        <w:tc>
          <w:tcPr>
            <w:tcW w:w="16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400" w:firstLineChars="200"/>
              <w:jc w:val="both"/>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生产建设项目选址、选线应当避让水土流失重点预防区和重点治理区；无法避让的，应当提高防治标准，优化施工工艺，减少地表扰动和植被损坏范围，有效控制可能造成的水土流失。</w:t>
            </w:r>
          </w:p>
        </w:tc>
        <w:tc>
          <w:tcPr>
            <w:tcW w:w="23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400" w:firstLineChars="200"/>
              <w:jc w:val="both"/>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项目区属于东北漫川漫岗国家级水土流失重点治理区。工程施工优化了施工工艺，提高相关指标标准减少地表扰动和植被损坏范围，有效控制可能造成的水土流失；工程未涉及和影响到饮水安全、防洪安全、水资源安全；工程未占用重要基础设施建设、重要民生工程、国防工程。</w:t>
            </w:r>
          </w:p>
        </w:tc>
        <w:tc>
          <w:tcPr>
            <w:tcW w:w="6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基本符合</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2</w:t>
            </w:r>
          </w:p>
        </w:tc>
        <w:tc>
          <w:tcPr>
            <w:tcW w:w="16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400" w:firstLineChars="200"/>
              <w:jc w:val="both"/>
              <w:textAlignment w:val="auto"/>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rPr>
              <w:t>主体工程选址（线）应避让河流两岸、湖泊和水库周边的植物保护带。</w:t>
            </w:r>
          </w:p>
        </w:tc>
        <w:tc>
          <w:tcPr>
            <w:tcW w:w="23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400" w:firstLineChars="200"/>
              <w:jc w:val="both"/>
              <w:textAlignment w:val="auto"/>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rPr>
              <w:t>主体工程选址不位于河流两岸、湖泊和水库周边的植物保护带。</w:t>
            </w:r>
          </w:p>
        </w:tc>
        <w:tc>
          <w:tcPr>
            <w:tcW w:w="6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符合</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rPr>
              <w:t>3</w:t>
            </w:r>
          </w:p>
        </w:tc>
        <w:tc>
          <w:tcPr>
            <w:tcW w:w="16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400" w:firstLineChars="200"/>
              <w:jc w:val="both"/>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主体工程选址（线）应避让全国水土保持监测网络中的水土保持监测站点、重点实验区，是否占用了国家确定的水土保持长期定位观测站。</w:t>
            </w:r>
          </w:p>
        </w:tc>
        <w:tc>
          <w:tcPr>
            <w:tcW w:w="23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400" w:firstLineChars="200"/>
              <w:jc w:val="both"/>
              <w:textAlignment w:val="auto"/>
              <w:rPr>
                <w:rFonts w:hint="default" w:ascii="Times New Roman" w:hAnsi="Times New Roman" w:eastAsia="仿宋_GB2312" w:cs="Times New Roman"/>
                <w:sz w:val="20"/>
                <w:szCs w:val="20"/>
                <w:lang w:eastAsia="zh-CN"/>
              </w:rPr>
            </w:pPr>
            <w:r>
              <w:rPr>
                <w:rFonts w:hint="default" w:ascii="Times New Roman" w:hAnsi="Times New Roman" w:eastAsia="仿宋_GB2312" w:cs="Times New Roman"/>
                <w:sz w:val="20"/>
                <w:szCs w:val="20"/>
              </w:rPr>
              <w:t>项目区不属于上述地区</w:t>
            </w:r>
            <w:r>
              <w:rPr>
                <w:rFonts w:hint="default" w:ascii="Times New Roman" w:hAnsi="Times New Roman" w:eastAsia="仿宋_GB2312" w:cs="Times New Roman"/>
                <w:sz w:val="20"/>
                <w:szCs w:val="20"/>
                <w:lang w:eastAsia="zh-CN"/>
              </w:rPr>
              <w:t>。</w:t>
            </w:r>
          </w:p>
        </w:tc>
        <w:tc>
          <w:tcPr>
            <w:tcW w:w="6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符合</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rPr>
              <w:t>4</w:t>
            </w:r>
          </w:p>
        </w:tc>
        <w:tc>
          <w:tcPr>
            <w:tcW w:w="16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400" w:firstLineChars="200"/>
              <w:jc w:val="both"/>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严禁在崩塌和滑坡危险区、泥石流易发区内设置取土（石、砂）场。</w:t>
            </w:r>
          </w:p>
        </w:tc>
        <w:tc>
          <w:tcPr>
            <w:tcW w:w="23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400" w:firstLineChars="200"/>
              <w:jc w:val="both"/>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项目区未设置取土场。</w:t>
            </w:r>
          </w:p>
        </w:tc>
        <w:tc>
          <w:tcPr>
            <w:tcW w:w="6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符合</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sz w:val="20"/>
                <w:szCs w:val="20"/>
              </w:rPr>
            </w:pPr>
            <w:bookmarkStart w:id="207" w:name="_Toc12955"/>
            <w:bookmarkStart w:id="208" w:name="_Toc5422"/>
            <w:bookmarkStart w:id="209" w:name="_Toc423769745"/>
            <w:r>
              <w:rPr>
                <w:rFonts w:hint="default" w:ascii="Times New Roman" w:hAnsi="Times New Roman" w:eastAsia="仿宋_GB2312" w:cs="Times New Roman"/>
                <w:sz w:val="20"/>
                <w:szCs w:val="20"/>
                <w:lang w:val="en-US" w:eastAsia="zh-CN"/>
              </w:rPr>
              <w:t>5</w:t>
            </w:r>
          </w:p>
        </w:tc>
        <w:tc>
          <w:tcPr>
            <w:tcW w:w="16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400" w:firstLineChars="200"/>
              <w:jc w:val="both"/>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严禁在对公共设施、基础设施、工业企业、居民点等有重大影响区域设置弃土（石、渣、灰、矸石、尾矿）场。</w:t>
            </w:r>
          </w:p>
        </w:tc>
        <w:tc>
          <w:tcPr>
            <w:tcW w:w="23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400" w:firstLineChars="200"/>
              <w:jc w:val="both"/>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项目区未设置弃土场。</w:t>
            </w:r>
          </w:p>
        </w:tc>
        <w:tc>
          <w:tcPr>
            <w:tcW w:w="6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符合</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lang w:val="en-US" w:eastAsia="zh-CN"/>
              </w:rPr>
              <w:t>6</w:t>
            </w:r>
          </w:p>
        </w:tc>
        <w:tc>
          <w:tcPr>
            <w:tcW w:w="16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400" w:firstLineChars="200"/>
              <w:jc w:val="both"/>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是否处于水土流失严重、生态脆弱的地区。</w:t>
            </w:r>
          </w:p>
        </w:tc>
        <w:tc>
          <w:tcPr>
            <w:tcW w:w="23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400" w:firstLineChars="200"/>
              <w:jc w:val="both"/>
              <w:textAlignment w:val="auto"/>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rPr>
              <w:t>项目区不属于上述地区</w:t>
            </w:r>
          </w:p>
        </w:tc>
        <w:tc>
          <w:tcPr>
            <w:tcW w:w="6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符合</w:t>
            </w:r>
          </w:p>
        </w:tc>
      </w:tr>
    </w:tbl>
    <w:p>
      <w:pPr>
        <w:pStyle w:val="5"/>
        <w:bidi w:val="0"/>
        <w:rPr>
          <w:rFonts w:hint="default" w:ascii="Times New Roman" w:hAnsi="Times New Roman" w:cs="Times New Roman"/>
        </w:rPr>
      </w:pPr>
      <w:bookmarkStart w:id="210" w:name="_Toc30491"/>
      <w:r>
        <w:rPr>
          <w:rFonts w:hint="default" w:ascii="Times New Roman" w:hAnsi="Times New Roman" w:cs="Times New Roman"/>
        </w:rPr>
        <w:t>3.2</w:t>
      </w:r>
      <w:bookmarkEnd w:id="207"/>
      <w:bookmarkEnd w:id="208"/>
      <w:bookmarkEnd w:id="209"/>
      <w:r>
        <w:rPr>
          <w:rFonts w:hint="default" w:ascii="Times New Roman" w:hAnsi="Times New Roman" w:cs="Times New Roman"/>
        </w:rPr>
        <w:t>建设方案与布局水土保持评价</w:t>
      </w:r>
      <w:bookmarkEnd w:id="210"/>
    </w:p>
    <w:p>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3.2.1建设方案评价</w:t>
      </w:r>
    </w:p>
    <w:p>
      <w:pPr>
        <w:pageBreakBefore w:val="0"/>
        <w:kinsoku/>
        <w:wordWrap/>
        <w:bidi w:val="0"/>
        <w:spacing w:line="360" w:lineRule="auto"/>
        <w:ind w:firstLine="480" w:firstLineChars="200"/>
        <w:rPr>
          <w:rFonts w:hint="default" w:ascii="Times New Roman" w:hAnsi="Times New Roman" w:eastAsia="仿宋_GB2312" w:cs="Times New Roman"/>
          <w:bCs/>
          <w:sz w:val="24"/>
          <w:highlight w:val="none"/>
        </w:rPr>
      </w:pPr>
      <w:r>
        <w:rPr>
          <w:rFonts w:hint="default" w:ascii="Times New Roman" w:hAnsi="Times New Roman" w:eastAsia="仿宋_GB2312" w:cs="Times New Roman"/>
          <w:bCs/>
          <w:sz w:val="24"/>
          <w:highlight w:val="none"/>
          <w:lang w:eastAsia="zh-CN"/>
        </w:rPr>
        <w:t>本期项目</w:t>
      </w:r>
      <w:r>
        <w:rPr>
          <w:rFonts w:hint="default" w:ascii="Times New Roman" w:hAnsi="Times New Roman" w:eastAsia="仿宋_GB2312" w:cs="Times New Roman"/>
          <w:bCs/>
          <w:sz w:val="24"/>
          <w:highlight w:val="none"/>
        </w:rPr>
        <w:t>建设地点行政隶属位于</w:t>
      </w:r>
      <w:r>
        <w:rPr>
          <w:rFonts w:hint="default" w:ascii="Times New Roman" w:hAnsi="Times New Roman" w:eastAsia="仿宋_GB2312" w:cs="Times New Roman"/>
          <w:bCs/>
          <w:sz w:val="24"/>
          <w:highlight w:val="none"/>
          <w:lang w:val="en-US" w:eastAsia="zh-CN"/>
        </w:rPr>
        <w:t>长春市二道区</w:t>
      </w:r>
      <w:r>
        <w:rPr>
          <w:rFonts w:hint="default" w:ascii="Times New Roman" w:hAnsi="Times New Roman" w:eastAsia="仿宋_GB2312" w:cs="Times New Roman"/>
          <w:bCs/>
          <w:sz w:val="24"/>
          <w:highlight w:val="none"/>
        </w:rPr>
        <w:t>，无法避让东北漫川漫岗国家级水土流失重点治理区，项目区内排水</w:t>
      </w:r>
      <w:r>
        <w:rPr>
          <w:rFonts w:hint="eastAsia" w:eastAsia="仿宋_GB2312" w:cs="Times New Roman"/>
          <w:bCs/>
          <w:sz w:val="24"/>
          <w:highlight w:val="none"/>
          <w:lang w:val="en-US" w:eastAsia="zh-CN"/>
        </w:rPr>
        <w:t>管线</w:t>
      </w:r>
      <w:r>
        <w:rPr>
          <w:rFonts w:hint="default" w:ascii="Times New Roman" w:hAnsi="Times New Roman" w:eastAsia="仿宋_GB2312" w:cs="Times New Roman"/>
          <w:sz w:val="24"/>
          <w:szCs w:val="24"/>
          <w:lang w:eastAsia="zh-CN"/>
        </w:rPr>
        <w:t>沿场区道路方向敷设</w:t>
      </w:r>
      <w:r>
        <w:rPr>
          <w:rFonts w:hint="default" w:ascii="Times New Roman" w:hAnsi="Times New Roman" w:eastAsia="仿宋_GB2312" w:cs="Times New Roman"/>
          <w:bCs/>
          <w:sz w:val="24"/>
          <w:highlight w:val="none"/>
        </w:rPr>
        <w:t>，全部采用地埋管线，利用</w:t>
      </w:r>
      <w:r>
        <w:rPr>
          <w:rFonts w:hint="eastAsia" w:eastAsia="仿宋_GB2312" w:cs="Times New Roman"/>
          <w:bCs/>
          <w:sz w:val="24"/>
          <w:highlight w:val="none"/>
          <w:lang w:eastAsia="zh-CN"/>
        </w:rPr>
        <w:t>雨水口</w:t>
      </w:r>
      <w:r>
        <w:rPr>
          <w:rFonts w:hint="default" w:ascii="Times New Roman" w:hAnsi="Times New Roman" w:eastAsia="仿宋_GB2312" w:cs="Times New Roman"/>
          <w:bCs/>
          <w:sz w:val="24"/>
          <w:highlight w:val="none"/>
        </w:rPr>
        <w:t>收集地表径流，有效的减少了开挖断面，减少了非必要的土石方开挖；建构筑物施工除必要的地下建筑物挖方外，均采用钢筋混凝土基础</w:t>
      </w:r>
      <w:r>
        <w:rPr>
          <w:rFonts w:hint="default" w:ascii="Times New Roman" w:hAnsi="Times New Roman" w:eastAsia="仿宋_GB2312" w:cs="Times New Roman"/>
          <w:bCs/>
          <w:sz w:val="24"/>
          <w:highlight w:val="none"/>
          <w:lang w:val="en-US" w:eastAsia="zh-CN"/>
        </w:rPr>
        <w:t>和轻钢</w:t>
      </w:r>
      <w:r>
        <w:rPr>
          <w:rFonts w:hint="default" w:ascii="Times New Roman" w:hAnsi="Times New Roman" w:eastAsia="仿宋_GB2312" w:cs="Times New Roman"/>
          <w:bCs/>
          <w:sz w:val="24"/>
          <w:highlight w:val="none"/>
        </w:rPr>
        <w:t>框架结构；主体工程绿化设计标准采用1级标准；主体工程雨水管线工程按照《室外排水设计标准》要求设计重现期以2年为标准进行设计。工程建设方案布局结合地形、地貌、交通、经济等具体情况，最大限度地减少了占地，平面布局合理。工程建设方案总体布局在充分利用现有条件的前提下，最大满足工程布局合理、交通运输方便、减少土石方量的要求，总体布局基本合理。</w:t>
      </w:r>
    </w:p>
    <w:p>
      <w:pPr>
        <w:pageBreakBefore w:val="0"/>
        <w:kinsoku/>
        <w:wordWrap/>
        <w:bidi w:val="0"/>
        <w:spacing w:line="360" w:lineRule="auto"/>
        <w:ind w:firstLine="480" w:firstLineChars="200"/>
        <w:rPr>
          <w:rFonts w:hint="default" w:ascii="Times New Roman" w:hAnsi="Times New Roman" w:cs="Times New Roman"/>
        </w:rPr>
      </w:pPr>
      <w:r>
        <w:rPr>
          <w:rFonts w:hint="default" w:ascii="Times New Roman" w:hAnsi="Times New Roman" w:eastAsia="仿宋_GB2312" w:cs="Times New Roman"/>
          <w:bCs/>
          <w:sz w:val="24"/>
          <w:highlight w:val="none"/>
        </w:rPr>
        <w:t>从水土保持角度来分析，项目选址基本合理，总体布局紧凑，尽量减少对原地貌、地表植被的占用和破坏，减少对周边生态环境的影响，可使项目区的水土流失降至最低。因此，工程建设方案与布局符合水土保持的要求。</w:t>
      </w:r>
    </w:p>
    <w:p>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3.2.2工程占地评价</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_GB2312" w:cs="Times New Roman"/>
          <w:sz w:val="24"/>
          <w:szCs w:val="24"/>
          <w:highlight w:val="none"/>
        </w:rPr>
      </w:pPr>
      <w:bookmarkStart w:id="211" w:name="_Toc165190167"/>
      <w:bookmarkStart w:id="212" w:name="_Toc165093787"/>
      <w:bookmarkStart w:id="213" w:name="_Toc152040110"/>
      <w:bookmarkStart w:id="214" w:name="_Toc156179562"/>
      <w:r>
        <w:rPr>
          <w:rFonts w:hint="default" w:ascii="Times New Roman" w:hAnsi="Times New Roman" w:eastAsia="仿宋_GB2312" w:cs="Times New Roman"/>
          <w:sz w:val="24"/>
          <w:szCs w:val="24"/>
          <w:highlight w:val="none"/>
          <w:lang w:val="en-US" w:eastAsia="zh-CN"/>
        </w:rPr>
        <w:t>本期</w:t>
      </w:r>
      <w:r>
        <w:rPr>
          <w:rFonts w:hint="default" w:ascii="Times New Roman" w:hAnsi="Times New Roman" w:eastAsia="仿宋_GB2312" w:cs="Times New Roman"/>
          <w:sz w:val="24"/>
          <w:szCs w:val="24"/>
          <w:highlight w:val="none"/>
        </w:rPr>
        <w:t>项目施工期间直接利用</w:t>
      </w:r>
      <w:r>
        <w:rPr>
          <w:rFonts w:hint="default" w:ascii="Times New Roman" w:hAnsi="Times New Roman" w:eastAsia="仿宋_GB2312" w:cs="Times New Roman"/>
          <w:sz w:val="24"/>
          <w:szCs w:val="24"/>
          <w:highlight w:val="none"/>
          <w:lang w:eastAsia="zh-CN"/>
        </w:rPr>
        <w:t>周边</w:t>
      </w:r>
      <w:r>
        <w:rPr>
          <w:rFonts w:hint="default" w:ascii="Times New Roman" w:hAnsi="Times New Roman" w:eastAsia="仿宋_GB2312" w:cs="Times New Roman"/>
          <w:sz w:val="24"/>
          <w:szCs w:val="24"/>
          <w:highlight w:val="none"/>
        </w:rPr>
        <w:t>市政道路进场，无需新建外部道路；用电、用水均接引利用</w:t>
      </w:r>
      <w:r>
        <w:rPr>
          <w:rFonts w:hint="default" w:ascii="Times New Roman" w:hAnsi="Times New Roman" w:eastAsia="仿宋_GB2312" w:cs="Times New Roman"/>
          <w:sz w:val="24"/>
          <w:szCs w:val="24"/>
          <w:highlight w:val="none"/>
          <w:lang w:eastAsia="zh-CN"/>
        </w:rPr>
        <w:t>既有市政设施</w:t>
      </w:r>
      <w:r>
        <w:rPr>
          <w:rFonts w:hint="default" w:ascii="Times New Roman" w:hAnsi="Times New Roman" w:eastAsia="仿宋_GB2312" w:cs="Times New Roman"/>
          <w:sz w:val="24"/>
          <w:szCs w:val="24"/>
          <w:highlight w:val="none"/>
        </w:rPr>
        <w:t>；项目区内道路采取永临结合的方式，不在永久征地范围外另行设置临时道路</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rPr>
        <w:t>施工生产生活区布置在项目</w:t>
      </w:r>
      <w:r>
        <w:rPr>
          <w:rFonts w:hint="eastAsia" w:eastAsia="仿宋_GB2312" w:cs="Times New Roman"/>
          <w:sz w:val="24"/>
          <w:szCs w:val="24"/>
          <w:highlight w:val="none"/>
          <w:lang w:val="en-US" w:eastAsia="zh-CN"/>
        </w:rPr>
        <w:t>占地</w:t>
      </w:r>
      <w:r>
        <w:rPr>
          <w:rFonts w:hint="default" w:ascii="Times New Roman" w:hAnsi="Times New Roman" w:eastAsia="仿宋_GB2312" w:cs="Times New Roman"/>
          <w:sz w:val="24"/>
          <w:szCs w:val="24"/>
          <w:highlight w:val="none"/>
        </w:rPr>
        <w:t>范围内，不另行占地。通过合理利用现有场地，优化施工组织和加强土石方调配，</w:t>
      </w:r>
      <w:r>
        <w:rPr>
          <w:rFonts w:hint="default" w:ascii="Times New Roman" w:hAnsi="Times New Roman" w:eastAsia="仿宋_GB2312" w:cs="Times New Roman"/>
          <w:sz w:val="24"/>
          <w:szCs w:val="24"/>
          <w:highlight w:val="none"/>
          <w:lang w:eastAsia="zh-CN"/>
        </w:rPr>
        <w:t>地下开挖土方直接用于场平，减少弃土征地面积</w:t>
      </w:r>
      <w:r>
        <w:rPr>
          <w:rFonts w:hint="default" w:ascii="Times New Roman" w:hAnsi="Times New Roman" w:eastAsia="仿宋_GB2312" w:cs="Times New Roman"/>
          <w:sz w:val="24"/>
          <w:szCs w:val="24"/>
          <w:highlight w:val="none"/>
        </w:rPr>
        <w:t>。项目永久</w:t>
      </w:r>
      <w:r>
        <w:rPr>
          <w:rFonts w:hint="eastAsia" w:eastAsia="仿宋_GB2312" w:cs="Times New Roman"/>
          <w:sz w:val="24"/>
          <w:szCs w:val="24"/>
          <w:highlight w:val="none"/>
          <w:lang w:val="en-US" w:eastAsia="zh-CN"/>
        </w:rPr>
        <w:t>征</w:t>
      </w:r>
      <w:r>
        <w:rPr>
          <w:rFonts w:hint="default" w:ascii="Times New Roman" w:hAnsi="Times New Roman" w:eastAsia="仿宋_GB2312" w:cs="Times New Roman"/>
          <w:sz w:val="24"/>
          <w:szCs w:val="24"/>
          <w:highlight w:val="none"/>
        </w:rPr>
        <w:t>地范围可以满足项目施工需求，不需在场地外增加临时占地。</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lang w:eastAsia="zh-CN"/>
        </w:rPr>
        <w:t>本期工程</w:t>
      </w:r>
      <w:r>
        <w:rPr>
          <w:rFonts w:hint="default" w:ascii="Times New Roman" w:hAnsi="Times New Roman" w:eastAsia="仿宋_GB2312" w:cs="Times New Roman"/>
          <w:sz w:val="24"/>
          <w:szCs w:val="24"/>
          <w:highlight w:val="none"/>
        </w:rPr>
        <w:t>总占地面积共计</w:t>
      </w:r>
      <w:r>
        <w:rPr>
          <w:rFonts w:hint="eastAsia" w:eastAsia="仿宋_GB2312" w:cs="Times New Roman"/>
          <w:sz w:val="24"/>
          <w:szCs w:val="24"/>
          <w:highlight w:val="none"/>
          <w:lang w:val="en-US" w:eastAsia="zh-CN"/>
        </w:rPr>
        <w:t>19.98</w:t>
      </w:r>
      <w:r>
        <w:rPr>
          <w:rFonts w:hint="default" w:ascii="Times New Roman" w:hAnsi="Times New Roman" w:eastAsia="仿宋_GB2312" w:cs="Times New Roman"/>
          <w:sz w:val="24"/>
          <w:szCs w:val="24"/>
          <w:highlight w:val="none"/>
        </w:rPr>
        <w:t>h</w:t>
      </w:r>
      <w:r>
        <w:rPr>
          <w:rFonts w:hint="default" w:ascii="Times New Roman" w:hAnsi="Times New Roman" w:eastAsia="仿宋_GB2312" w:cs="Times New Roman"/>
          <w:sz w:val="24"/>
          <w:szCs w:val="24"/>
        </w:rPr>
        <w:t>m²</w:t>
      </w:r>
      <w:r>
        <w:rPr>
          <w:rFonts w:hint="default" w:ascii="Times New Roman" w:hAnsi="Times New Roman" w:eastAsia="仿宋_GB2312" w:cs="Times New Roman"/>
          <w:sz w:val="24"/>
          <w:szCs w:val="24"/>
          <w:highlight w:val="none"/>
        </w:rPr>
        <w:t>，占地类型为</w:t>
      </w:r>
      <w:r>
        <w:rPr>
          <w:rFonts w:hint="default" w:ascii="Times New Roman" w:hAnsi="Times New Roman" w:eastAsia="仿宋_GB2312" w:cs="Times New Roman"/>
          <w:sz w:val="24"/>
          <w:szCs w:val="24"/>
          <w:highlight w:val="none"/>
          <w:lang w:eastAsia="zh-CN"/>
        </w:rPr>
        <w:t>工矿及仓储用地</w:t>
      </w:r>
      <w:r>
        <w:rPr>
          <w:rFonts w:hint="default" w:ascii="Times New Roman" w:hAnsi="Times New Roman" w:eastAsia="仿宋_GB2312" w:cs="Times New Roman"/>
          <w:sz w:val="24"/>
          <w:szCs w:val="24"/>
          <w:highlight w:val="none"/>
        </w:rPr>
        <w:t>。工程占地范围明确，占地面积统计无漏项、缺项。</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lang w:eastAsia="zh-CN"/>
        </w:rPr>
        <w:t>本期项目</w:t>
      </w:r>
      <w:r>
        <w:rPr>
          <w:rFonts w:hint="default" w:ascii="Times New Roman" w:hAnsi="Times New Roman" w:eastAsia="仿宋_GB2312" w:cs="Times New Roman"/>
          <w:sz w:val="24"/>
          <w:szCs w:val="24"/>
          <w:highlight w:val="none"/>
        </w:rPr>
        <w:t>规划指标为绿化率</w:t>
      </w:r>
      <w:r>
        <w:rPr>
          <w:rFonts w:hint="eastAsia" w:eastAsia="仿宋_GB2312" w:cs="Times New Roman"/>
          <w:sz w:val="24"/>
          <w:szCs w:val="24"/>
          <w:highlight w:val="none"/>
          <w:lang w:val="en-US" w:eastAsia="zh-CN"/>
        </w:rPr>
        <w:t>19.98</w:t>
      </w:r>
      <w:r>
        <w:rPr>
          <w:rFonts w:hint="default" w:ascii="Times New Roman" w:hAnsi="Times New Roman" w:eastAsia="仿宋_GB2312" w:cs="Times New Roman"/>
          <w:sz w:val="24"/>
          <w:szCs w:val="24"/>
          <w:highlight w:val="none"/>
        </w:rPr>
        <w:t>%，容积率</w:t>
      </w:r>
      <w:r>
        <w:rPr>
          <w:rFonts w:hint="eastAsia" w:eastAsia="仿宋_GB2312" w:cs="Times New Roman"/>
          <w:sz w:val="24"/>
          <w:szCs w:val="24"/>
          <w:highlight w:val="none"/>
          <w:lang w:eastAsia="zh-CN"/>
        </w:rPr>
        <w:t>0.94</w:t>
      </w:r>
      <w:r>
        <w:rPr>
          <w:rFonts w:hint="default" w:ascii="Times New Roman" w:hAnsi="Times New Roman" w:eastAsia="仿宋_GB2312" w:cs="Times New Roman"/>
          <w:sz w:val="24"/>
          <w:szCs w:val="24"/>
          <w:highlight w:val="none"/>
        </w:rPr>
        <w:t>，建筑密度为</w:t>
      </w:r>
      <w:r>
        <w:rPr>
          <w:rFonts w:hint="eastAsia" w:eastAsia="仿宋_GB2312" w:cs="Times New Roman"/>
          <w:sz w:val="24"/>
          <w:szCs w:val="24"/>
          <w:highlight w:val="none"/>
          <w:lang w:eastAsia="zh-CN"/>
        </w:rPr>
        <w:t>40.05</w:t>
      </w:r>
      <w:r>
        <w:rPr>
          <w:rFonts w:hint="default" w:ascii="Times New Roman" w:hAnsi="Times New Roman" w:eastAsia="仿宋_GB2312" w:cs="Times New Roman"/>
          <w:sz w:val="24"/>
          <w:szCs w:val="24"/>
          <w:highlight w:val="none"/>
        </w:rPr>
        <w:t>%</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rPr>
        <w:t>满足建设用地规划设计条件要求。</w:t>
      </w:r>
    </w:p>
    <w:p>
      <w:pPr>
        <w:pStyle w:val="164"/>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val="0"/>
          <w:bCs w:val="0"/>
          <w:sz w:val="21"/>
          <w:szCs w:val="21"/>
          <w:highlight w:val="none"/>
        </w:rPr>
      </w:pPr>
      <w:r>
        <w:rPr>
          <w:rFonts w:hint="default" w:ascii="Times New Roman" w:hAnsi="Times New Roman" w:eastAsia="微软雅黑" w:cs="Times New Roman"/>
          <w:b w:val="0"/>
          <w:bCs w:val="0"/>
          <w:sz w:val="21"/>
          <w:szCs w:val="21"/>
          <w:highlight w:val="none"/>
        </w:rPr>
        <w:t>表3-2</w:t>
      </w:r>
      <w:r>
        <w:rPr>
          <w:rFonts w:hint="default" w:ascii="Times New Roman" w:hAnsi="Times New Roman" w:eastAsia="微软雅黑" w:cs="Times New Roman"/>
          <w:b w:val="0"/>
          <w:bCs w:val="0"/>
          <w:sz w:val="21"/>
          <w:szCs w:val="21"/>
          <w:highlight w:val="none"/>
          <w:lang w:val="en-US" w:eastAsia="zh-CN"/>
        </w:rPr>
        <w:t xml:space="preserve">  </w:t>
      </w:r>
      <w:r>
        <w:rPr>
          <w:rFonts w:hint="default" w:ascii="Times New Roman" w:hAnsi="Times New Roman" w:eastAsia="微软雅黑" w:cs="Times New Roman"/>
          <w:b w:val="0"/>
          <w:bCs w:val="0"/>
          <w:sz w:val="21"/>
          <w:szCs w:val="21"/>
          <w:highlight w:val="none"/>
        </w:rPr>
        <w:t>项目占地标准指标统计表</w:t>
      </w:r>
    </w:p>
    <w:tbl>
      <w:tblPr>
        <w:tblStyle w:val="556"/>
        <w:tblW w:w="4997" w:type="pct"/>
        <w:jc w:val="center"/>
        <w:tblBorders>
          <w:top w:val="double" w:color="000000" w:sz="4" w:space="0"/>
          <w:left w:val="none" w:color="auto" w:sz="0" w:space="0"/>
          <w:bottom w:val="double" w:color="000000" w:sz="4"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720"/>
        <w:gridCol w:w="938"/>
        <w:gridCol w:w="947"/>
        <w:gridCol w:w="689"/>
        <w:gridCol w:w="829"/>
        <w:gridCol w:w="688"/>
        <w:gridCol w:w="758"/>
        <w:gridCol w:w="1372"/>
        <w:gridCol w:w="824"/>
        <w:gridCol w:w="638"/>
      </w:tblGrid>
      <w:tr>
        <w:tblPrEx>
          <w:tblBorders>
            <w:top w:val="double" w:color="000000" w:sz="4" w:space="0"/>
            <w:left w:val="none" w:color="auto" w:sz="0" w:space="0"/>
            <w:bottom w:val="double" w:color="000000" w:sz="4" w:space="0"/>
            <w:right w:val="none" w:color="auto" w:sz="0" w:space="0"/>
            <w:insideH w:val="single" w:color="000000" w:sz="6" w:space="0"/>
            <w:insideV w:val="single" w:color="000000" w:sz="6" w:space="0"/>
          </w:tblBorders>
        </w:tblPrEx>
        <w:trPr>
          <w:trHeight w:val="454" w:hRule="atLeast"/>
          <w:jc w:val="center"/>
        </w:trPr>
        <w:tc>
          <w:tcPr>
            <w:tcW w:w="42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3"/>
                <w:sz w:val="20"/>
                <w:szCs w:val="20"/>
              </w:rPr>
              <w:t>分</w:t>
            </w:r>
            <w:r>
              <w:rPr>
                <w:rFonts w:hint="default" w:ascii="Times New Roman" w:hAnsi="Times New Roman" w:eastAsia="仿宋_GB2312" w:cs="Times New Roman"/>
                <w:spacing w:val="2"/>
                <w:sz w:val="20"/>
                <w:szCs w:val="20"/>
              </w:rPr>
              <w:t>区</w:t>
            </w:r>
          </w:p>
        </w:tc>
        <w:tc>
          <w:tcPr>
            <w:tcW w:w="55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12"/>
                <w:sz w:val="20"/>
                <w:szCs w:val="20"/>
              </w:rPr>
              <w:t>占</w:t>
            </w:r>
            <w:r>
              <w:rPr>
                <w:rFonts w:hint="default" w:ascii="Times New Roman" w:hAnsi="Times New Roman" w:eastAsia="仿宋_GB2312" w:cs="Times New Roman"/>
                <w:spacing w:val="-11"/>
                <w:sz w:val="20"/>
                <w:szCs w:val="20"/>
              </w:rPr>
              <w:t>地</w:t>
            </w:r>
            <w:r>
              <w:rPr>
                <w:rFonts w:hint="default" w:ascii="Times New Roman" w:hAnsi="Times New Roman" w:eastAsia="仿宋_GB2312" w:cs="Times New Roman"/>
                <w:spacing w:val="72"/>
                <w:sz w:val="20"/>
                <w:szCs w:val="20"/>
              </w:rPr>
              <w:t>面积</w:t>
            </w:r>
            <w:r>
              <w:rPr>
                <w:rFonts w:hint="default" w:ascii="Times New Roman" w:hAnsi="Times New Roman" w:eastAsia="仿宋_GB2312" w:cs="Times New Roman"/>
                <w:spacing w:val="30"/>
                <w:sz w:val="20"/>
                <w:szCs w:val="20"/>
              </w:rPr>
              <w:t>(</w:t>
            </w:r>
            <w:r>
              <w:rPr>
                <w:rFonts w:hint="default" w:ascii="Times New Roman" w:hAnsi="Times New Roman" w:eastAsia="仿宋_GB2312" w:cs="Times New Roman"/>
                <w:sz w:val="20"/>
                <w:szCs w:val="20"/>
              </w:rPr>
              <w:t>hm</w:t>
            </w:r>
            <w:r>
              <w:rPr>
                <w:rFonts w:hint="default" w:ascii="Times New Roman" w:hAnsi="Times New Roman" w:eastAsia="仿宋_GB2312" w:cs="Times New Roman"/>
                <w:spacing w:val="28"/>
                <w:sz w:val="20"/>
                <w:szCs w:val="20"/>
              </w:rPr>
              <w:t>²)</w:t>
            </w:r>
          </w:p>
        </w:tc>
        <w:tc>
          <w:tcPr>
            <w:tcW w:w="56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3"/>
                <w:sz w:val="20"/>
                <w:szCs w:val="20"/>
                <w:lang w:val="en-US" w:eastAsia="zh-CN"/>
              </w:rPr>
              <w:t>用地</w:t>
            </w:r>
            <w:r>
              <w:rPr>
                <w:rFonts w:hint="default" w:ascii="Times New Roman" w:hAnsi="Times New Roman" w:eastAsia="仿宋_GB2312" w:cs="Times New Roman"/>
                <w:spacing w:val="3"/>
                <w:sz w:val="20"/>
                <w:szCs w:val="20"/>
              </w:rPr>
              <w:t>性</w:t>
            </w:r>
            <w:r>
              <w:rPr>
                <w:rFonts w:hint="default" w:ascii="Times New Roman" w:hAnsi="Times New Roman" w:eastAsia="仿宋_GB2312" w:cs="Times New Roman"/>
                <w:spacing w:val="2"/>
                <w:sz w:val="20"/>
                <w:szCs w:val="20"/>
              </w:rPr>
              <w:t>质</w:t>
            </w:r>
          </w:p>
        </w:tc>
        <w:tc>
          <w:tcPr>
            <w:tcW w:w="903"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5"/>
                <w:sz w:val="20"/>
                <w:szCs w:val="20"/>
              </w:rPr>
              <w:t>容积率</w:t>
            </w:r>
          </w:p>
        </w:tc>
        <w:tc>
          <w:tcPr>
            <w:tcW w:w="860"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7"/>
                <w:sz w:val="20"/>
                <w:szCs w:val="20"/>
              </w:rPr>
              <w:t>建筑密度</w:t>
            </w:r>
          </w:p>
        </w:tc>
        <w:tc>
          <w:tcPr>
            <w:tcW w:w="1306"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5"/>
                <w:sz w:val="20"/>
                <w:szCs w:val="20"/>
              </w:rPr>
              <w:t>绿化率</w:t>
            </w:r>
          </w:p>
        </w:tc>
        <w:tc>
          <w:tcPr>
            <w:tcW w:w="379"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pacing w:val="-11"/>
                <w:sz w:val="20"/>
                <w:szCs w:val="20"/>
              </w:rPr>
            </w:pPr>
            <w:r>
              <w:rPr>
                <w:rFonts w:hint="default" w:ascii="Times New Roman" w:hAnsi="Times New Roman" w:eastAsia="仿宋_GB2312" w:cs="Times New Roman"/>
                <w:spacing w:val="-12"/>
                <w:sz w:val="20"/>
                <w:szCs w:val="20"/>
              </w:rPr>
              <w:t>占</w:t>
            </w:r>
            <w:r>
              <w:rPr>
                <w:rFonts w:hint="default" w:ascii="Times New Roman" w:hAnsi="Times New Roman" w:eastAsia="仿宋_GB2312" w:cs="Times New Roman"/>
                <w:spacing w:val="-11"/>
                <w:sz w:val="20"/>
                <w:szCs w:val="20"/>
              </w:rPr>
              <w:t>地</w:t>
            </w:r>
          </w:p>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4"/>
                <w:sz w:val="20"/>
                <w:szCs w:val="20"/>
              </w:rPr>
              <w:t>标准</w:t>
            </w:r>
          </w:p>
        </w:tc>
      </w:tr>
      <w:tr>
        <w:tblPrEx>
          <w:tblBorders>
            <w:top w:val="double" w:color="000000" w:sz="4" w:space="0"/>
            <w:left w:val="none" w:color="auto" w:sz="0" w:space="0"/>
            <w:bottom w:val="double" w:color="000000" w:sz="4"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42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0"/>
                <w:szCs w:val="20"/>
              </w:rPr>
            </w:pPr>
          </w:p>
        </w:tc>
        <w:tc>
          <w:tcPr>
            <w:tcW w:w="55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0"/>
                <w:szCs w:val="20"/>
              </w:rPr>
            </w:pPr>
          </w:p>
        </w:tc>
        <w:tc>
          <w:tcPr>
            <w:tcW w:w="56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0"/>
                <w:szCs w:val="20"/>
              </w:rPr>
            </w:pPr>
          </w:p>
        </w:tc>
        <w:tc>
          <w:tcPr>
            <w:tcW w:w="4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pacing w:val="5"/>
                <w:sz w:val="20"/>
                <w:szCs w:val="20"/>
              </w:rPr>
            </w:pPr>
            <w:r>
              <w:rPr>
                <w:rFonts w:hint="default" w:ascii="Times New Roman" w:hAnsi="Times New Roman" w:eastAsia="仿宋_GB2312" w:cs="Times New Roman"/>
                <w:spacing w:val="5"/>
                <w:sz w:val="20"/>
                <w:szCs w:val="20"/>
              </w:rPr>
              <w:t>规划</w:t>
            </w:r>
          </w:p>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pacing w:val="5"/>
                <w:sz w:val="20"/>
                <w:szCs w:val="20"/>
              </w:rPr>
            </w:pPr>
            <w:r>
              <w:rPr>
                <w:rFonts w:hint="default" w:ascii="Times New Roman" w:hAnsi="Times New Roman" w:eastAsia="仿宋_GB2312" w:cs="Times New Roman"/>
                <w:spacing w:val="5"/>
                <w:sz w:val="20"/>
                <w:szCs w:val="20"/>
              </w:rPr>
              <w:t>条件</w:t>
            </w:r>
          </w:p>
        </w:tc>
        <w:tc>
          <w:tcPr>
            <w:tcW w:w="4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pacing w:val="5"/>
                <w:sz w:val="20"/>
                <w:szCs w:val="20"/>
              </w:rPr>
            </w:pPr>
            <w:r>
              <w:rPr>
                <w:rFonts w:hint="default" w:ascii="Times New Roman" w:hAnsi="Times New Roman" w:eastAsia="仿宋_GB2312" w:cs="Times New Roman"/>
                <w:spacing w:val="5"/>
                <w:sz w:val="20"/>
                <w:szCs w:val="20"/>
              </w:rPr>
              <w:t>实际</w:t>
            </w:r>
          </w:p>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pacing w:val="5"/>
                <w:sz w:val="20"/>
                <w:szCs w:val="20"/>
              </w:rPr>
            </w:pPr>
            <w:r>
              <w:rPr>
                <w:rFonts w:hint="default" w:ascii="Times New Roman" w:hAnsi="Times New Roman" w:eastAsia="仿宋_GB2312" w:cs="Times New Roman"/>
                <w:spacing w:val="5"/>
                <w:sz w:val="20"/>
                <w:szCs w:val="20"/>
              </w:rPr>
              <w:t>参数</w:t>
            </w:r>
          </w:p>
        </w:tc>
        <w:tc>
          <w:tcPr>
            <w:tcW w:w="4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pacing w:val="5"/>
                <w:sz w:val="20"/>
                <w:szCs w:val="20"/>
              </w:rPr>
            </w:pPr>
            <w:r>
              <w:rPr>
                <w:rFonts w:hint="default" w:ascii="Times New Roman" w:hAnsi="Times New Roman" w:eastAsia="仿宋_GB2312" w:cs="Times New Roman"/>
                <w:spacing w:val="5"/>
                <w:sz w:val="20"/>
                <w:szCs w:val="20"/>
              </w:rPr>
              <w:t>规划</w:t>
            </w:r>
          </w:p>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pacing w:val="5"/>
                <w:sz w:val="20"/>
                <w:szCs w:val="20"/>
              </w:rPr>
            </w:pPr>
            <w:r>
              <w:rPr>
                <w:rFonts w:hint="default" w:ascii="Times New Roman" w:hAnsi="Times New Roman" w:eastAsia="仿宋_GB2312" w:cs="Times New Roman"/>
                <w:spacing w:val="5"/>
                <w:sz w:val="20"/>
                <w:szCs w:val="20"/>
              </w:rPr>
              <w:t>条件</w:t>
            </w:r>
          </w:p>
        </w:tc>
        <w:tc>
          <w:tcPr>
            <w:tcW w:w="4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pacing w:val="5"/>
                <w:sz w:val="20"/>
                <w:szCs w:val="20"/>
              </w:rPr>
            </w:pPr>
            <w:r>
              <w:rPr>
                <w:rFonts w:hint="default" w:ascii="Times New Roman" w:hAnsi="Times New Roman" w:eastAsia="仿宋_GB2312" w:cs="Times New Roman"/>
                <w:spacing w:val="5"/>
                <w:sz w:val="20"/>
                <w:szCs w:val="20"/>
              </w:rPr>
              <w:t>实际</w:t>
            </w:r>
          </w:p>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pacing w:val="5"/>
                <w:sz w:val="20"/>
                <w:szCs w:val="20"/>
              </w:rPr>
            </w:pPr>
            <w:r>
              <w:rPr>
                <w:rFonts w:hint="default" w:ascii="Times New Roman" w:hAnsi="Times New Roman" w:eastAsia="仿宋_GB2312" w:cs="Times New Roman"/>
                <w:spacing w:val="5"/>
                <w:sz w:val="20"/>
                <w:szCs w:val="20"/>
              </w:rPr>
              <w:t>参数</w:t>
            </w:r>
          </w:p>
        </w:tc>
        <w:tc>
          <w:tcPr>
            <w:tcW w:w="8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pacing w:val="5"/>
                <w:sz w:val="20"/>
                <w:szCs w:val="20"/>
              </w:rPr>
            </w:pPr>
            <w:r>
              <w:rPr>
                <w:rFonts w:hint="default" w:ascii="Times New Roman" w:hAnsi="Times New Roman" w:eastAsia="仿宋_GB2312" w:cs="Times New Roman"/>
                <w:spacing w:val="5"/>
                <w:sz w:val="20"/>
                <w:szCs w:val="20"/>
              </w:rPr>
              <w:t>规划条件</w:t>
            </w:r>
          </w:p>
        </w:tc>
        <w:tc>
          <w:tcPr>
            <w:tcW w:w="4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pacing w:val="5"/>
                <w:sz w:val="20"/>
                <w:szCs w:val="20"/>
              </w:rPr>
            </w:pPr>
            <w:r>
              <w:rPr>
                <w:rFonts w:hint="default" w:ascii="Times New Roman" w:hAnsi="Times New Roman" w:eastAsia="仿宋_GB2312" w:cs="Times New Roman"/>
                <w:spacing w:val="5"/>
                <w:sz w:val="20"/>
                <w:szCs w:val="20"/>
              </w:rPr>
              <w:t>实际</w:t>
            </w:r>
          </w:p>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pacing w:val="5"/>
                <w:sz w:val="20"/>
                <w:szCs w:val="20"/>
              </w:rPr>
            </w:pPr>
            <w:r>
              <w:rPr>
                <w:rFonts w:hint="default" w:ascii="Times New Roman" w:hAnsi="Times New Roman" w:eastAsia="仿宋_GB2312" w:cs="Times New Roman"/>
                <w:spacing w:val="5"/>
                <w:sz w:val="20"/>
                <w:szCs w:val="20"/>
              </w:rPr>
              <w:t>参数</w:t>
            </w:r>
          </w:p>
        </w:tc>
        <w:tc>
          <w:tcPr>
            <w:tcW w:w="37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0"/>
                <w:szCs w:val="20"/>
              </w:rPr>
            </w:pPr>
          </w:p>
        </w:tc>
      </w:tr>
      <w:tr>
        <w:tblPrEx>
          <w:tblBorders>
            <w:top w:val="double" w:color="000000" w:sz="4" w:space="0"/>
            <w:left w:val="none" w:color="auto" w:sz="0" w:space="0"/>
            <w:bottom w:val="double" w:color="000000" w:sz="4"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4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5"/>
                <w:sz w:val="20"/>
                <w:szCs w:val="20"/>
              </w:rPr>
              <w:t>工</w:t>
            </w:r>
            <w:r>
              <w:rPr>
                <w:rFonts w:hint="default" w:ascii="Times New Roman" w:hAnsi="Times New Roman" w:eastAsia="仿宋_GB2312" w:cs="Times New Roman"/>
                <w:spacing w:val="4"/>
                <w:sz w:val="20"/>
                <w:szCs w:val="20"/>
              </w:rPr>
              <w:t>程建设区</w:t>
            </w:r>
          </w:p>
        </w:tc>
        <w:tc>
          <w:tcPr>
            <w:tcW w:w="55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0"/>
                <w:szCs w:val="20"/>
                <w:lang w:val="en-US" w:eastAsia="zh-CN"/>
              </w:rPr>
            </w:pPr>
            <w:r>
              <w:rPr>
                <w:rFonts w:hint="eastAsia" w:eastAsia="仿宋_GB2312" w:cs="Times New Roman"/>
                <w:spacing w:val="3"/>
                <w:sz w:val="20"/>
                <w:szCs w:val="20"/>
                <w:lang w:val="en-US" w:eastAsia="zh-CN"/>
              </w:rPr>
              <w:t>19.98</w:t>
            </w:r>
          </w:p>
        </w:tc>
        <w:tc>
          <w:tcPr>
            <w:tcW w:w="5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0"/>
                <w:szCs w:val="20"/>
                <w:lang w:eastAsia="zh-CN"/>
              </w:rPr>
            </w:pPr>
            <w:r>
              <w:rPr>
                <w:rFonts w:hint="default" w:ascii="Times New Roman" w:hAnsi="Times New Roman" w:eastAsia="仿宋_GB2312" w:cs="Times New Roman"/>
                <w:spacing w:val="6"/>
                <w:sz w:val="20"/>
                <w:szCs w:val="20"/>
                <w:lang w:eastAsia="zh-CN"/>
              </w:rPr>
              <w:t>工矿及仓储用地</w:t>
            </w:r>
          </w:p>
        </w:tc>
        <w:tc>
          <w:tcPr>
            <w:tcW w:w="4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1"/>
                <w:position w:val="1"/>
                <w:sz w:val="20"/>
                <w:szCs w:val="20"/>
              </w:rPr>
              <w:t>＞0</w:t>
            </w:r>
            <w:r>
              <w:rPr>
                <w:rFonts w:hint="default" w:ascii="Times New Roman" w:hAnsi="Times New Roman" w:eastAsia="仿宋_GB2312" w:cs="Times New Roman"/>
                <w:position w:val="1"/>
                <w:sz w:val="20"/>
                <w:szCs w:val="20"/>
              </w:rPr>
              <w:t>.7</w:t>
            </w:r>
          </w:p>
        </w:tc>
        <w:tc>
          <w:tcPr>
            <w:tcW w:w="4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0"/>
                <w:szCs w:val="20"/>
                <w:lang w:val="en-US" w:eastAsia="zh-CN"/>
              </w:rPr>
            </w:pPr>
            <w:r>
              <w:rPr>
                <w:rFonts w:hint="eastAsia" w:eastAsia="仿宋_GB2312" w:cs="Times New Roman"/>
                <w:spacing w:val="3"/>
                <w:sz w:val="20"/>
                <w:szCs w:val="20"/>
                <w:lang w:val="en-US" w:eastAsia="zh-CN"/>
              </w:rPr>
              <w:t>0.94</w:t>
            </w:r>
          </w:p>
        </w:tc>
        <w:tc>
          <w:tcPr>
            <w:tcW w:w="4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1"/>
                <w:position w:val="1"/>
                <w:sz w:val="20"/>
                <w:szCs w:val="20"/>
              </w:rPr>
              <w:t>＞40</w:t>
            </w:r>
          </w:p>
        </w:tc>
        <w:tc>
          <w:tcPr>
            <w:tcW w:w="4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pacing w:val="1"/>
                <w:position w:val="1"/>
                <w:sz w:val="20"/>
                <w:szCs w:val="20"/>
              </w:rPr>
            </w:pPr>
            <w:r>
              <w:rPr>
                <w:rFonts w:hint="eastAsia" w:ascii="Times New Roman" w:hAnsi="Times New Roman" w:eastAsia="仿宋_GB2312" w:cs="Times New Roman"/>
                <w:spacing w:val="1"/>
                <w:position w:val="1"/>
                <w:sz w:val="20"/>
                <w:szCs w:val="20"/>
                <w:lang w:eastAsia="zh-CN"/>
              </w:rPr>
              <w:t>40.05</w:t>
            </w:r>
            <w:r>
              <w:rPr>
                <w:rFonts w:hint="default" w:ascii="Times New Roman" w:hAnsi="Times New Roman" w:eastAsia="仿宋_GB2312" w:cs="Times New Roman"/>
                <w:spacing w:val="1"/>
                <w:position w:val="1"/>
                <w:sz w:val="20"/>
                <w:szCs w:val="20"/>
              </w:rPr>
              <w:t>%</w:t>
            </w:r>
          </w:p>
        </w:tc>
        <w:tc>
          <w:tcPr>
            <w:tcW w:w="8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pacing w:val="1"/>
                <w:position w:val="1"/>
                <w:sz w:val="20"/>
                <w:szCs w:val="20"/>
                <w:lang w:eastAsia="zh-CN"/>
              </w:rPr>
            </w:pPr>
            <w:r>
              <w:rPr>
                <w:rFonts w:hint="default" w:ascii="Times New Roman" w:hAnsi="Times New Roman" w:eastAsia="仿宋_GB2312" w:cs="Times New Roman"/>
                <w:spacing w:val="1"/>
                <w:position w:val="1"/>
                <w:sz w:val="20"/>
                <w:szCs w:val="20"/>
              </w:rPr>
              <w:t>＞19%且＜</w:t>
            </w:r>
            <w:r>
              <w:rPr>
                <w:rFonts w:hint="eastAsia" w:eastAsia="仿宋_GB2312" w:cs="Times New Roman"/>
                <w:spacing w:val="1"/>
                <w:position w:val="1"/>
                <w:sz w:val="20"/>
                <w:szCs w:val="20"/>
                <w:lang w:val="en-US" w:eastAsia="zh-CN"/>
              </w:rPr>
              <w:t>20</w:t>
            </w:r>
            <w:r>
              <w:rPr>
                <w:rFonts w:hint="default" w:ascii="Times New Roman" w:hAnsi="Times New Roman" w:eastAsia="仿宋_GB2312" w:cs="Times New Roman"/>
                <w:spacing w:val="1"/>
                <w:position w:val="1"/>
                <w:sz w:val="20"/>
                <w:szCs w:val="20"/>
                <w:lang w:eastAsia="zh-CN"/>
              </w:rPr>
              <w:t>%</w:t>
            </w:r>
          </w:p>
        </w:tc>
        <w:tc>
          <w:tcPr>
            <w:tcW w:w="4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0"/>
                <w:szCs w:val="20"/>
              </w:rPr>
            </w:pPr>
            <w:r>
              <w:rPr>
                <w:rFonts w:hint="eastAsia" w:eastAsia="仿宋_GB2312" w:cs="Times New Roman"/>
                <w:spacing w:val="2"/>
                <w:position w:val="2"/>
                <w:sz w:val="20"/>
                <w:szCs w:val="20"/>
                <w:lang w:eastAsia="zh-CN"/>
              </w:rPr>
              <w:t>19.98</w:t>
            </w:r>
            <w:r>
              <w:rPr>
                <w:rFonts w:hint="default" w:ascii="Times New Roman" w:hAnsi="Times New Roman" w:eastAsia="仿宋_GB2312" w:cs="Times New Roman"/>
                <w:spacing w:val="1"/>
                <w:position w:val="2"/>
                <w:sz w:val="20"/>
                <w:szCs w:val="20"/>
              </w:rPr>
              <w:t>%</w:t>
            </w:r>
          </w:p>
        </w:tc>
        <w:tc>
          <w:tcPr>
            <w:tcW w:w="3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2"/>
                <w:sz w:val="20"/>
                <w:szCs w:val="20"/>
              </w:rPr>
              <w:t>符</w:t>
            </w:r>
            <w:r>
              <w:rPr>
                <w:rFonts w:hint="default" w:ascii="Times New Roman" w:hAnsi="Times New Roman" w:eastAsia="仿宋_GB2312" w:cs="Times New Roman"/>
                <w:spacing w:val="1"/>
                <w:sz w:val="20"/>
                <w:szCs w:val="20"/>
              </w:rPr>
              <w:t>合</w:t>
            </w:r>
          </w:p>
        </w:tc>
      </w:tr>
    </w:tbl>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综上，从水土保持角度分析，</w:t>
      </w:r>
      <w:r>
        <w:rPr>
          <w:rFonts w:hint="default" w:ascii="Times New Roman" w:hAnsi="Times New Roman" w:eastAsia="仿宋_GB2312" w:cs="Times New Roman"/>
          <w:sz w:val="24"/>
          <w:szCs w:val="24"/>
          <w:highlight w:val="none"/>
          <w:lang w:eastAsia="zh-CN"/>
        </w:rPr>
        <w:t>本期项目</w:t>
      </w:r>
      <w:r>
        <w:rPr>
          <w:rFonts w:hint="default" w:ascii="Times New Roman" w:hAnsi="Times New Roman" w:eastAsia="仿宋_GB2312" w:cs="Times New Roman"/>
          <w:sz w:val="24"/>
          <w:szCs w:val="24"/>
          <w:highlight w:val="none"/>
        </w:rPr>
        <w:t>工程占地范围明确，占地统计无漏项、缺项，项目规划设计指标满足建设用地规划设计条件，工程占地总体符合水土保持和节约用地的要求。</w:t>
      </w:r>
      <w:r>
        <w:rPr>
          <w:rFonts w:hint="default" w:ascii="Times New Roman" w:hAnsi="Times New Roman" w:eastAsia="仿宋_GB2312" w:cs="Times New Roman"/>
          <w:sz w:val="24"/>
          <w:szCs w:val="24"/>
          <w:highlight w:val="none"/>
          <w:lang w:eastAsia="zh-CN"/>
        </w:rPr>
        <w:t>本期项目</w:t>
      </w:r>
      <w:r>
        <w:rPr>
          <w:rFonts w:hint="default" w:ascii="Times New Roman" w:hAnsi="Times New Roman" w:eastAsia="仿宋_GB2312" w:cs="Times New Roman"/>
          <w:sz w:val="24"/>
          <w:szCs w:val="24"/>
          <w:highlight w:val="none"/>
        </w:rPr>
        <w:t>周边供水、电、交通等公共配套设施齐全，可就近接引，不新增临时占地，可满足施工要求，工程占地不存在漏项。</w:t>
      </w:r>
    </w:p>
    <w:p>
      <w:pPr>
        <w:pStyle w:val="6"/>
        <w:keepNext/>
        <w:keepLines/>
        <w:pageBreakBefore w:val="0"/>
        <w:widowControl w:val="0"/>
        <w:kinsoku/>
        <w:wordWrap/>
        <w:overflowPunct/>
        <w:topLinePunct w:val="0"/>
        <w:autoSpaceDE/>
        <w:autoSpaceDN/>
        <w:bidi w:val="0"/>
        <w:adjustRightInd/>
        <w:snapToGrid/>
        <w:ind w:left="0" w:firstLine="0"/>
        <w:textAlignment w:val="auto"/>
        <w:rPr>
          <w:rFonts w:hint="default" w:ascii="Times New Roman" w:hAnsi="Times New Roman" w:eastAsia="仿宋_GB2312" w:cs="Times New Roman"/>
          <w:b/>
          <w:bCs/>
          <w:lang w:val="en-US" w:eastAsia="zh-CN"/>
        </w:rPr>
      </w:pPr>
      <w:r>
        <w:rPr>
          <w:rFonts w:hint="default" w:ascii="Times New Roman" w:hAnsi="Times New Roman" w:eastAsia="仿宋_GB2312" w:cs="Times New Roman"/>
          <w:b/>
          <w:bCs/>
          <w:lang w:val="en-US" w:eastAsia="zh-CN"/>
        </w:rPr>
        <w:t>3.2.3土石方平衡评价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bookmarkStart w:id="215" w:name="_Toc152040114"/>
      <w:r>
        <w:rPr>
          <w:rFonts w:hint="default" w:ascii="Times New Roman" w:hAnsi="Times New Roman" w:eastAsia="仿宋_GB2312" w:cs="Times New Roman"/>
          <w:sz w:val="24"/>
          <w:szCs w:val="24"/>
        </w:rPr>
        <w:t>1）表土资源剥离、保护和利用评价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经现场调查，项目区原地貌的净地，待建筑物及硬化施工结束后，需对景观绿化区域进行绿化用土回覆，覆土面积</w:t>
      </w:r>
      <w:r>
        <w:rPr>
          <w:rFonts w:hint="eastAsia" w:eastAsia="仿宋_GB2312" w:cs="Times New Roman"/>
          <w:sz w:val="24"/>
          <w:szCs w:val="24"/>
          <w:lang w:val="en-US" w:eastAsia="zh-CN"/>
        </w:rPr>
        <w:t>3.99</w:t>
      </w:r>
      <w:r>
        <w:rPr>
          <w:rFonts w:hint="default" w:ascii="Times New Roman" w:hAnsi="Times New Roman" w:eastAsia="仿宋_GB2312" w:cs="Times New Roman"/>
          <w:sz w:val="24"/>
          <w:szCs w:val="24"/>
        </w:rPr>
        <w:t>hm²，覆土厚度0.30m，覆土量为</w:t>
      </w:r>
      <w:r>
        <w:rPr>
          <w:rFonts w:hint="eastAsia" w:eastAsia="仿宋_GB2312" w:cs="Times New Roman"/>
          <w:sz w:val="24"/>
          <w:szCs w:val="24"/>
          <w:lang w:val="en-US" w:eastAsia="zh-CN"/>
        </w:rPr>
        <w:t>1.20</w:t>
      </w:r>
      <w:r>
        <w:rPr>
          <w:rFonts w:hint="default" w:ascii="Times New Roman" w:hAnsi="Times New Roman" w:eastAsia="仿宋_GB2312" w:cs="Times New Roman"/>
          <w:sz w:val="24"/>
          <w:szCs w:val="24"/>
        </w:rPr>
        <w:t>万m³，</w:t>
      </w:r>
      <w:r>
        <w:rPr>
          <w:rFonts w:hint="eastAsia" w:eastAsia="仿宋_GB2312" w:cs="Times New Roman"/>
          <w:sz w:val="24"/>
          <w:szCs w:val="24"/>
          <w:lang w:val="en-US" w:eastAsia="zh-CN"/>
        </w:rPr>
        <w:t>所需</w:t>
      </w:r>
      <w:r>
        <w:rPr>
          <w:rFonts w:hint="default" w:ascii="Times New Roman" w:hAnsi="Times New Roman" w:eastAsia="仿宋_GB2312" w:cs="Times New Roman"/>
          <w:sz w:val="24"/>
          <w:szCs w:val="24"/>
        </w:rPr>
        <w:t>绿化用土</w:t>
      </w:r>
      <w:r>
        <w:rPr>
          <w:rFonts w:hint="eastAsia" w:eastAsia="仿宋_GB2312" w:cs="Times New Roman"/>
          <w:sz w:val="24"/>
          <w:szCs w:val="24"/>
          <w:lang w:val="en-US" w:eastAsia="zh-CN"/>
        </w:rPr>
        <w:t>均</w:t>
      </w:r>
      <w:r>
        <w:rPr>
          <w:rFonts w:hint="default" w:ascii="Times New Roman" w:hAnsi="Times New Roman" w:eastAsia="仿宋_GB2312" w:cs="Times New Roman"/>
          <w:sz w:val="24"/>
          <w:szCs w:val="24"/>
        </w:rPr>
        <w:t>由</w:t>
      </w:r>
      <w:r>
        <w:rPr>
          <w:rFonts w:hint="eastAsia" w:eastAsia="仿宋_GB2312" w:cs="Times New Roman"/>
          <w:sz w:val="24"/>
          <w:szCs w:val="24"/>
          <w:lang w:val="en-US" w:eastAsia="zh-CN"/>
        </w:rPr>
        <w:t>绿化公司负责</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符合水土保持要求。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2）土石方量分析评价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1</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临时堆土及防护分析评价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eastAsia="zh-CN"/>
        </w:rPr>
        <w:t>本期工程</w:t>
      </w:r>
      <w:r>
        <w:rPr>
          <w:rFonts w:hint="default" w:ascii="Times New Roman" w:hAnsi="Times New Roman" w:eastAsia="仿宋_GB2312" w:cs="Times New Roman"/>
          <w:sz w:val="24"/>
          <w:szCs w:val="24"/>
        </w:rPr>
        <w:t>临时堆土场分别设置在各个建筑基础周边并进行临时防护，也便于基础施工后直接进行回填。管线施工时开挖的土石方临时堆存在管沟一侧，即挖即填，挖填自身平衡，减少了土方倒运。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2</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土方调运合理性分析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本期</w:t>
      </w:r>
      <w:r>
        <w:rPr>
          <w:rFonts w:hint="default" w:ascii="Times New Roman" w:hAnsi="Times New Roman" w:eastAsia="仿宋_GB2312" w:cs="Times New Roman"/>
          <w:sz w:val="24"/>
          <w:szCs w:val="24"/>
        </w:rPr>
        <w:t>项目土石方挖方包括建筑物基础开挖</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管线沟槽开挖</w:t>
      </w:r>
      <w:r>
        <w:rPr>
          <w:rFonts w:hint="default" w:ascii="Times New Roman" w:hAnsi="Times New Roman" w:eastAsia="仿宋_GB2312" w:cs="Times New Roman"/>
          <w:sz w:val="24"/>
          <w:szCs w:val="24"/>
        </w:rPr>
        <w:t>，填方包括场地平整回填；硬化区域基层回填随场地平整回填一并处理。各单项工程土石方挖填数量，与场地平面、竖向布置指标、施工方法及时序总体对应，土石方计算无漏项、挖填数量合理。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项目为点型建设项目，土石方调运主要为场内短距离调配。通过加强施工组织，</w:t>
      </w:r>
      <w:r>
        <w:rPr>
          <w:rFonts w:hint="default" w:ascii="Times New Roman" w:hAnsi="Times New Roman" w:eastAsia="仿宋_GB2312" w:cs="Times New Roman"/>
          <w:sz w:val="24"/>
          <w:szCs w:val="24"/>
          <w:lang w:eastAsia="zh-CN"/>
        </w:rPr>
        <w:t>基础</w:t>
      </w:r>
      <w:r>
        <w:rPr>
          <w:rFonts w:hint="default" w:ascii="Times New Roman" w:hAnsi="Times New Roman" w:eastAsia="仿宋_GB2312" w:cs="Times New Roman"/>
          <w:sz w:val="24"/>
          <w:szCs w:val="24"/>
        </w:rPr>
        <w:t>施工期间土方开挖与场地平整回填同时进行，做到土方随挖、随填，最大限度减少了土方重复挖填量和弃方量，土石方调运符合场地实际、节点适宜、时序可行。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综上，从水土保持角度分析，</w:t>
      </w:r>
      <w:r>
        <w:rPr>
          <w:rFonts w:hint="default" w:ascii="Times New Roman" w:hAnsi="Times New Roman" w:eastAsia="仿宋_GB2312" w:cs="Times New Roman"/>
          <w:sz w:val="24"/>
          <w:szCs w:val="24"/>
          <w:lang w:eastAsia="zh-CN"/>
        </w:rPr>
        <w:t>本期项目</w:t>
      </w:r>
      <w:r>
        <w:rPr>
          <w:rFonts w:hint="default" w:ascii="Times New Roman" w:hAnsi="Times New Roman" w:eastAsia="仿宋_GB2312" w:cs="Times New Roman"/>
          <w:sz w:val="24"/>
          <w:szCs w:val="24"/>
        </w:rPr>
        <w:t>土石方数量准确，土石方调运和临时堆土方案符合工程实际，</w:t>
      </w:r>
      <w:r>
        <w:rPr>
          <w:rFonts w:hint="default" w:ascii="Times New Roman" w:hAnsi="Times New Roman" w:eastAsia="仿宋_GB2312" w:cs="Times New Roman"/>
          <w:sz w:val="24"/>
          <w:szCs w:val="24"/>
          <w:lang w:eastAsia="zh-CN"/>
        </w:rPr>
        <w:t>弃土</w:t>
      </w:r>
      <w:r>
        <w:rPr>
          <w:rFonts w:hint="default" w:ascii="Times New Roman" w:hAnsi="Times New Roman" w:eastAsia="仿宋_GB2312" w:cs="Times New Roman"/>
          <w:sz w:val="24"/>
          <w:szCs w:val="24"/>
        </w:rPr>
        <w:t>明确、时序合理，土石方平衡总体合理可行，符合水土保持要求。</w:t>
      </w:r>
    </w:p>
    <w:p>
      <w:pPr>
        <w:pStyle w:val="6"/>
        <w:keepNext/>
        <w:keepLines/>
        <w:pageBreakBefore w:val="0"/>
        <w:widowControl w:val="0"/>
        <w:kinsoku/>
        <w:wordWrap/>
        <w:overflowPunct/>
        <w:topLinePunct w:val="0"/>
        <w:autoSpaceDE/>
        <w:autoSpaceDN/>
        <w:bidi w:val="0"/>
        <w:adjustRightInd/>
        <w:snapToGrid/>
        <w:ind w:left="0" w:firstLine="0"/>
        <w:textAlignment w:val="auto"/>
        <w:rPr>
          <w:rFonts w:hint="default" w:ascii="Times New Roman" w:hAnsi="Times New Roman" w:eastAsia="仿宋_GB2312" w:cs="Times New Roman"/>
          <w:b/>
          <w:bCs/>
          <w:lang w:val="en-US" w:eastAsia="zh-CN"/>
        </w:rPr>
      </w:pPr>
      <w:r>
        <w:rPr>
          <w:rFonts w:hint="default" w:ascii="Times New Roman" w:hAnsi="Times New Roman" w:eastAsia="仿宋_GB2312" w:cs="Times New Roman"/>
          <w:b/>
          <w:bCs/>
          <w:lang w:val="en-US" w:eastAsia="zh-CN"/>
        </w:rPr>
        <w:t>3.2.4取土（石、砂）场设置评价</w:t>
      </w:r>
    </w:p>
    <w:p>
      <w:pPr>
        <w:pageBreakBefore w:val="0"/>
        <w:kinsoku/>
        <w:wordWrap/>
        <w:bidi w:val="0"/>
        <w:spacing w:line="360" w:lineRule="auto"/>
        <w:ind w:firstLine="480" w:firstLineChars="200"/>
        <w:rPr>
          <w:rFonts w:hint="default" w:ascii="Times New Roman" w:hAnsi="Times New Roman" w:eastAsia="仿宋_GB2312" w:cs="Times New Roman"/>
          <w:bCs/>
          <w:color w:val="000000"/>
          <w:sz w:val="24"/>
          <w:highlight w:val="none"/>
        </w:rPr>
      </w:pPr>
      <w:r>
        <w:rPr>
          <w:rFonts w:hint="default" w:ascii="Times New Roman" w:hAnsi="Times New Roman" w:eastAsia="仿宋_GB2312" w:cs="Times New Roman"/>
          <w:bCs/>
          <w:color w:val="000000"/>
          <w:sz w:val="24"/>
          <w:highlight w:val="none"/>
          <w:lang w:eastAsia="zh-CN"/>
        </w:rPr>
        <w:t>本期项目</w:t>
      </w:r>
      <w:r>
        <w:rPr>
          <w:rFonts w:hint="default" w:ascii="Times New Roman" w:hAnsi="Times New Roman" w:eastAsia="仿宋_GB2312" w:cs="Times New Roman"/>
          <w:bCs/>
          <w:color w:val="000000"/>
          <w:sz w:val="24"/>
          <w:highlight w:val="none"/>
        </w:rPr>
        <w:t>不设置取土（石、砂）场。</w:t>
      </w:r>
    </w:p>
    <w:p>
      <w:pPr>
        <w:pStyle w:val="6"/>
        <w:keepNext/>
        <w:keepLines/>
        <w:pageBreakBefore w:val="0"/>
        <w:widowControl w:val="0"/>
        <w:kinsoku/>
        <w:wordWrap/>
        <w:overflowPunct/>
        <w:topLinePunct w:val="0"/>
        <w:autoSpaceDE/>
        <w:autoSpaceDN/>
        <w:bidi w:val="0"/>
        <w:adjustRightInd/>
        <w:snapToGrid/>
        <w:ind w:left="0" w:firstLine="0"/>
        <w:textAlignment w:val="auto"/>
        <w:rPr>
          <w:rFonts w:hint="default" w:ascii="Times New Roman" w:hAnsi="Times New Roman" w:eastAsia="仿宋_GB2312" w:cs="Times New Roman"/>
          <w:b/>
          <w:bCs/>
          <w:lang w:val="en-US" w:eastAsia="zh-CN"/>
        </w:rPr>
      </w:pPr>
      <w:r>
        <w:rPr>
          <w:rFonts w:hint="default" w:ascii="Times New Roman" w:hAnsi="Times New Roman" w:eastAsia="仿宋_GB2312" w:cs="Times New Roman"/>
          <w:b/>
          <w:bCs/>
          <w:lang w:val="en-US" w:eastAsia="zh-CN"/>
        </w:rPr>
        <w:t>3.2.5弃土(石、渣、灰、矸石、尾矿)场设置评价</w:t>
      </w:r>
    </w:p>
    <w:p>
      <w:pPr>
        <w:pageBreakBefore w:val="0"/>
        <w:kinsoku/>
        <w:wordWrap/>
        <w:bidi w:val="0"/>
        <w:spacing w:line="360" w:lineRule="auto"/>
        <w:ind w:firstLine="480" w:firstLineChars="200"/>
        <w:rPr>
          <w:rFonts w:hint="default" w:ascii="Times New Roman" w:hAnsi="Times New Roman" w:eastAsia="仿宋_GB2312" w:cs="Times New Roman"/>
          <w:bCs/>
          <w:color w:val="000000"/>
          <w:sz w:val="24"/>
          <w:highlight w:val="none"/>
        </w:rPr>
      </w:pPr>
      <w:r>
        <w:rPr>
          <w:rFonts w:hint="default" w:ascii="Times New Roman" w:hAnsi="Times New Roman" w:eastAsia="仿宋_GB2312" w:cs="Times New Roman"/>
          <w:bCs/>
          <w:color w:val="000000"/>
          <w:sz w:val="24"/>
          <w:highlight w:val="none"/>
          <w:lang w:eastAsia="zh-CN"/>
        </w:rPr>
        <w:t>本期项目</w:t>
      </w:r>
      <w:r>
        <w:rPr>
          <w:rFonts w:hint="default" w:ascii="Times New Roman" w:hAnsi="Times New Roman" w:eastAsia="仿宋_GB2312" w:cs="Times New Roman"/>
          <w:bCs/>
          <w:color w:val="000000"/>
          <w:sz w:val="24"/>
          <w:highlight w:val="none"/>
        </w:rPr>
        <w:t>不设置弃土场。</w:t>
      </w:r>
    </w:p>
    <w:p>
      <w:pPr>
        <w:pStyle w:val="6"/>
        <w:keepNext/>
        <w:keepLines/>
        <w:pageBreakBefore w:val="0"/>
        <w:widowControl w:val="0"/>
        <w:kinsoku/>
        <w:wordWrap/>
        <w:overflowPunct/>
        <w:topLinePunct w:val="0"/>
        <w:autoSpaceDE/>
        <w:autoSpaceDN/>
        <w:bidi w:val="0"/>
        <w:adjustRightInd/>
        <w:snapToGrid/>
        <w:ind w:left="0" w:firstLine="0"/>
        <w:textAlignment w:val="auto"/>
        <w:rPr>
          <w:rFonts w:hint="default" w:ascii="Times New Roman" w:hAnsi="Times New Roman" w:eastAsia="仿宋_GB2312" w:cs="Times New Roman"/>
          <w:b/>
          <w:bCs/>
          <w:lang w:val="en-US" w:eastAsia="zh-CN"/>
        </w:rPr>
      </w:pPr>
      <w:r>
        <w:rPr>
          <w:rFonts w:hint="default" w:ascii="Times New Roman" w:hAnsi="Times New Roman" w:eastAsia="仿宋_GB2312" w:cs="Times New Roman"/>
          <w:b/>
          <w:bCs/>
          <w:lang w:val="en-US" w:eastAsia="zh-CN"/>
        </w:rPr>
        <w:t>3.2.6施工方法与工艺评价</w:t>
      </w:r>
    </w:p>
    <w:bookmarkEnd w:id="215"/>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主体工程在施工前首先成立施工部，并合理布置施工场地，制定有效施工方案、施工工期以及施工时序等，保证工程的顺利实施。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施工场地集中布置，占地面积满足施工活动的需要。整个施工阶段交叉进行确保工程如期完成。施工进度安排紧凑合理，在满足工程施工需要的同时，缩短了施工工期减少了施工过程中的水土流失。</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从施工时序上看，施工准备期进行通电、通水等施工同步进行，施工期间基础开挖与部分构建筑物施工同步进行，土方回填后进行管线施工，即挖即填，土石方堆放在施工沿线一侧，这样既有利于土方的就近调动，又可缩短运距，减少运输过程中的水土流失，以避免二次开挖和搬运。在管线施工完成后立即进行道路及硬化施工。施工方法满足水土保持的要求，避免了对土地资源的浪费。满足水土保持少占地、少扰动、少破坏的要求。综上所述，施工方法符合减少水土流失的要求。</w:t>
      </w:r>
    </w:p>
    <w:p>
      <w:pPr>
        <w:pStyle w:val="6"/>
        <w:keepNext/>
        <w:keepLines/>
        <w:pageBreakBefore w:val="0"/>
        <w:widowControl w:val="0"/>
        <w:kinsoku/>
        <w:wordWrap/>
        <w:overflowPunct/>
        <w:topLinePunct w:val="0"/>
        <w:autoSpaceDE/>
        <w:autoSpaceDN/>
        <w:bidi w:val="0"/>
        <w:adjustRightInd/>
        <w:snapToGrid/>
        <w:ind w:left="0" w:firstLine="0"/>
        <w:textAlignment w:val="auto"/>
        <w:rPr>
          <w:rFonts w:hint="default" w:ascii="Times New Roman" w:hAnsi="Times New Roman" w:eastAsia="仿宋_GB2312" w:cs="Times New Roman"/>
          <w:b/>
          <w:bCs/>
          <w:lang w:val="en-US" w:eastAsia="zh-CN"/>
        </w:rPr>
      </w:pPr>
      <w:r>
        <w:rPr>
          <w:rFonts w:hint="default" w:ascii="Times New Roman" w:hAnsi="Times New Roman" w:eastAsia="仿宋_GB2312" w:cs="Times New Roman"/>
          <w:b/>
          <w:bCs/>
          <w:lang w:val="en-US" w:eastAsia="zh-CN"/>
        </w:rPr>
        <w:t>3.2.7主体设计中具有水土保持功能工程的分析评价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bookmarkStart w:id="216" w:name="_Toc288852048"/>
      <w:r>
        <w:rPr>
          <w:rFonts w:hint="default" w:ascii="Times New Roman" w:hAnsi="Times New Roman" w:eastAsia="仿宋_GB2312" w:cs="Times New Roman"/>
          <w:sz w:val="24"/>
          <w:szCs w:val="24"/>
        </w:rPr>
        <w:t>根据水土保持技术标准，分析和评价主体工程具有水土保持功能的措施能否满足工程建设过程中的水土保持要求，是进行水土保持工程总体布局、合理制定防治措施体系的基础。本方案将对主体工程设计中以防治水土流失为主要目的的工程措施纳入到水土保持总体布局中，并对主体工程中不满足水土保持要求的工程措施提出改善措施，以完善水土保持防治措施体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r>
        <w:rPr>
          <w:rFonts w:hint="default" w:ascii="Times New Roman" w:hAnsi="Times New Roman" w:eastAsia="仿宋_GB2312" w:cs="Times New Roman"/>
          <w:sz w:val="24"/>
          <w:szCs w:val="24"/>
          <w:lang w:val="en-US" w:eastAsia="zh-CN"/>
        </w:rPr>
        <w:t>1</w:t>
      </w:r>
      <w:r>
        <w:rPr>
          <w:rFonts w:hint="default" w:ascii="Times New Roman" w:hAnsi="Times New Roman" w:eastAsia="仿宋_GB2312" w:cs="Times New Roman"/>
          <w:sz w:val="24"/>
          <w:szCs w:val="24"/>
        </w:rPr>
        <w:t>）表土回覆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eastAsia="zh-CN"/>
        </w:rPr>
        <w:t>工程建设区</w:t>
      </w:r>
      <w:r>
        <w:rPr>
          <w:rFonts w:hint="default" w:ascii="Times New Roman" w:hAnsi="Times New Roman" w:eastAsia="仿宋_GB2312" w:cs="Times New Roman"/>
          <w:sz w:val="24"/>
          <w:szCs w:val="24"/>
        </w:rPr>
        <w:t>在施工后期对项目区内绿化区域采取了</w:t>
      </w:r>
      <w:r>
        <w:rPr>
          <w:rFonts w:hint="default" w:ascii="Times New Roman" w:hAnsi="Times New Roman" w:eastAsia="仿宋_GB2312" w:cs="Times New Roman"/>
          <w:sz w:val="24"/>
          <w:szCs w:val="24"/>
          <w:lang w:eastAsia="zh-CN"/>
        </w:rPr>
        <w:t>绿化用土</w:t>
      </w:r>
      <w:r>
        <w:rPr>
          <w:rFonts w:hint="default" w:ascii="Times New Roman" w:hAnsi="Times New Roman" w:eastAsia="仿宋_GB2312" w:cs="Times New Roman"/>
          <w:sz w:val="24"/>
          <w:szCs w:val="24"/>
        </w:rPr>
        <w:t>回覆，为植被恢复创造了条件，该工程具有水土保持功能，列入水土保持工程。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r>
        <w:rPr>
          <w:rFonts w:hint="default" w:ascii="Times New Roman" w:hAnsi="Times New Roman" w:eastAsia="仿宋_GB2312" w:cs="Times New Roman"/>
          <w:sz w:val="24"/>
          <w:szCs w:val="24"/>
          <w:lang w:val="en-US" w:eastAsia="zh-CN"/>
        </w:rPr>
        <w:t>2</w:t>
      </w:r>
      <w:r>
        <w:rPr>
          <w:rFonts w:hint="default" w:ascii="Times New Roman" w:hAnsi="Times New Roman" w:eastAsia="仿宋_GB2312" w:cs="Times New Roman"/>
          <w:sz w:val="24"/>
          <w:szCs w:val="24"/>
        </w:rPr>
        <w:t>）绿化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rPr>
        <w:t>主体工程在施工后期对项目区内可绿化区域采取了铺设草坪和栽植灌木的方式恢复植被，使项目区植被得到恢复，增加了林草覆盖率，该工程具有水土保持功能，列入水土保持工程。</w:t>
      </w:r>
      <w:r>
        <w:rPr>
          <w:rFonts w:hint="default" w:ascii="Times New Roman" w:hAnsi="Times New Roman" w:eastAsia="仿宋_GB2312" w:cs="Times New Roman"/>
          <w:sz w:val="24"/>
          <w:szCs w:val="24"/>
          <w:lang w:eastAsia="zh-CN"/>
        </w:rPr>
        <w:t>但是主体工程未设计全面整地措施，本方案予以补充。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r>
        <w:rPr>
          <w:rFonts w:hint="default" w:ascii="Times New Roman" w:hAnsi="Times New Roman" w:eastAsia="仿宋_GB2312" w:cs="Times New Roman"/>
          <w:sz w:val="24"/>
          <w:szCs w:val="24"/>
          <w:lang w:val="en-US" w:eastAsia="zh-CN"/>
        </w:rPr>
        <w:t>3</w:t>
      </w:r>
      <w:r>
        <w:rPr>
          <w:rFonts w:hint="default" w:ascii="Times New Roman" w:hAnsi="Times New Roman" w:eastAsia="仿宋_GB2312" w:cs="Times New Roman"/>
          <w:sz w:val="24"/>
          <w:szCs w:val="24"/>
        </w:rPr>
        <w:t>）雨水管线及雨水口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主体工程在过程中沿规划道路布设雨水管线以及雨水收集口，使得项目区内地表降水有序排出项目区外，减少水土流失，该工程具有水土保持功能，列入水土保持工程。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r>
        <w:rPr>
          <w:rFonts w:hint="default" w:ascii="Times New Roman" w:hAnsi="Times New Roman" w:eastAsia="仿宋_GB2312" w:cs="Times New Roman"/>
          <w:sz w:val="24"/>
          <w:szCs w:val="24"/>
          <w:lang w:val="en-US" w:eastAsia="zh-CN"/>
        </w:rPr>
        <w:t>4</w:t>
      </w:r>
      <w:r>
        <w:rPr>
          <w:rFonts w:hint="default" w:ascii="Times New Roman" w:hAnsi="Times New Roman" w:eastAsia="仿宋_GB2312" w:cs="Times New Roman"/>
          <w:sz w:val="24"/>
          <w:szCs w:val="24"/>
        </w:rPr>
        <w:t>）</w:t>
      </w:r>
      <w:r>
        <w:rPr>
          <w:rFonts w:hint="default" w:ascii="Times New Roman" w:hAnsi="Times New Roman" w:eastAsia="仿宋_GB2312" w:cs="Times New Roman"/>
          <w:sz w:val="24"/>
          <w:szCs w:val="24"/>
          <w:lang w:val="en-US" w:eastAsia="zh-CN"/>
        </w:rPr>
        <w:t>道路及</w:t>
      </w:r>
      <w:r>
        <w:rPr>
          <w:rFonts w:hint="default" w:ascii="Times New Roman" w:hAnsi="Times New Roman" w:eastAsia="仿宋_GB2312" w:cs="Times New Roman"/>
          <w:sz w:val="24"/>
          <w:szCs w:val="24"/>
        </w:rPr>
        <w:t>硬化场地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eastAsia="zh-CN"/>
        </w:rPr>
        <w:t>本期项目</w:t>
      </w:r>
      <w:r>
        <w:rPr>
          <w:rFonts w:hint="default" w:ascii="Times New Roman" w:hAnsi="Times New Roman" w:eastAsia="仿宋_GB2312" w:cs="Times New Roman"/>
          <w:sz w:val="24"/>
          <w:szCs w:val="24"/>
        </w:rPr>
        <w:t>区内道路及停车场等硬化措施，均避免了雨水对地表的直接溅蚀，减轻了径流对地表的冲刷，但以主体功能为主，不界定为水土保持措施。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5</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密目网苫盖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对基础开挖土方采取密目网苫盖措施，避免雨水对土方的侵蚀，造成水土流失，</w:t>
      </w:r>
      <w:r>
        <w:rPr>
          <w:rFonts w:hint="default" w:ascii="Times New Roman" w:hAnsi="Times New Roman" w:eastAsia="仿宋_GB2312" w:cs="Times New Roman"/>
          <w:sz w:val="24"/>
          <w:szCs w:val="24"/>
        </w:rPr>
        <w:t>该工程具有水土保持功能，列入水土保持工程。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通过对工程建设区内水土保持措施的分析与评价，认为主体工程设计的各项措施具有水土保持作用，符合水土保持要求，但还不完善，方案提出了补充完善措施。主体工程水土保持功能措施评价表见表3-</w:t>
      </w:r>
      <w:r>
        <w:rPr>
          <w:rFonts w:hint="default" w:ascii="Times New Roman" w:hAnsi="Times New Roman" w:eastAsia="仿宋_GB2312" w:cs="Times New Roman"/>
          <w:sz w:val="24"/>
          <w:szCs w:val="24"/>
          <w:lang w:val="en-US" w:eastAsia="zh-CN"/>
        </w:rPr>
        <w:t>3</w:t>
      </w:r>
      <w:r>
        <w:rPr>
          <w:rFonts w:hint="default" w:ascii="Times New Roman" w:hAnsi="Times New Roman" w:eastAsia="仿宋_GB2312" w:cs="Times New Roman"/>
          <w:sz w:val="24"/>
          <w:szCs w:val="24"/>
        </w:rPr>
        <w:t>。</w:t>
      </w:r>
    </w:p>
    <w:p>
      <w:pPr>
        <w:pStyle w:val="164"/>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val="0"/>
          <w:bCs w:val="0"/>
          <w:sz w:val="21"/>
          <w:szCs w:val="21"/>
          <w:highlight w:val="none"/>
        </w:rPr>
      </w:pPr>
      <w:r>
        <w:rPr>
          <w:rFonts w:hint="default" w:ascii="Times New Roman" w:hAnsi="Times New Roman" w:eastAsia="微软雅黑" w:cs="Times New Roman"/>
          <w:b w:val="0"/>
          <w:bCs w:val="0"/>
          <w:sz w:val="21"/>
          <w:szCs w:val="21"/>
          <w:highlight w:val="none"/>
        </w:rPr>
        <w:t>表3-</w:t>
      </w:r>
      <w:r>
        <w:rPr>
          <w:rFonts w:hint="default" w:ascii="Times New Roman" w:hAnsi="Times New Roman" w:eastAsia="微软雅黑" w:cs="Times New Roman"/>
          <w:b w:val="0"/>
          <w:bCs w:val="0"/>
          <w:sz w:val="21"/>
          <w:szCs w:val="21"/>
          <w:highlight w:val="none"/>
          <w:lang w:val="en-US" w:eastAsia="zh-CN"/>
        </w:rPr>
        <w:t xml:space="preserve">3  </w:t>
      </w:r>
      <w:r>
        <w:rPr>
          <w:rFonts w:hint="default" w:ascii="Times New Roman" w:hAnsi="Times New Roman" w:eastAsia="微软雅黑" w:cs="Times New Roman"/>
          <w:b w:val="0"/>
          <w:bCs w:val="0"/>
          <w:sz w:val="21"/>
          <w:szCs w:val="21"/>
          <w:highlight w:val="none"/>
        </w:rPr>
        <w:t>主体工程水土保持功能措施评价分析成果表</w:t>
      </w:r>
    </w:p>
    <w:tbl>
      <w:tblPr>
        <w:tblStyle w:val="88"/>
        <w:tblW w:w="4998"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452"/>
        <w:gridCol w:w="2933"/>
        <w:gridCol w:w="2010"/>
        <w:gridCol w:w="2010"/>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63" w:type="pct"/>
            <w:tcBorders>
              <w:tl2br w:val="nil"/>
              <w:tr2bl w:val="nil"/>
            </w:tcBorders>
            <w:tcMar>
              <w:top w:w="0" w:type="dxa"/>
              <w:left w:w="0" w:type="dxa"/>
              <w:bottom w:w="0" w:type="dxa"/>
              <w:right w:w="0" w:type="dxa"/>
            </w:tcMar>
            <w:vAlign w:val="center"/>
          </w:tcPr>
          <w:p>
            <w:pPr>
              <w:pStyle w:val="169"/>
              <w:keepNext w:val="0"/>
              <w:keepLines w:val="0"/>
              <w:pageBreakBefore w:val="0"/>
              <w:kinsoku/>
              <w:wordWrap/>
              <w:overflowPunct/>
              <w:topLinePunct w:val="0"/>
              <w:autoSpaceDE/>
              <w:autoSpaceDN/>
              <w:bidi w:val="0"/>
              <w:adjustRightInd/>
              <w:snapToGrid w:val="0"/>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z w:val="20"/>
                <w:szCs w:val="20"/>
                <w:highlight w:val="none"/>
              </w:rPr>
              <w:t>防治分区</w:t>
            </w:r>
          </w:p>
        </w:tc>
        <w:tc>
          <w:tcPr>
            <w:tcW w:w="1744" w:type="pct"/>
            <w:tcBorders>
              <w:tl2br w:val="nil"/>
              <w:tr2bl w:val="nil"/>
            </w:tcBorders>
            <w:vAlign w:val="center"/>
          </w:tcPr>
          <w:p>
            <w:pPr>
              <w:pStyle w:val="169"/>
              <w:keepNext w:val="0"/>
              <w:keepLines w:val="0"/>
              <w:pageBreakBefore w:val="0"/>
              <w:kinsoku/>
              <w:wordWrap/>
              <w:overflowPunct/>
              <w:topLinePunct w:val="0"/>
              <w:autoSpaceDE/>
              <w:autoSpaceDN/>
              <w:bidi w:val="0"/>
              <w:adjustRightInd/>
              <w:snapToGrid w:val="0"/>
              <w:textAlignment w:val="auto"/>
              <w:rPr>
                <w:rFonts w:hint="default" w:ascii="Times New Roman" w:hAnsi="Times New Roman" w:eastAsia="仿宋_GB2312" w:cs="Times New Roman"/>
                <w:sz w:val="20"/>
                <w:szCs w:val="20"/>
                <w:highlight w:val="none"/>
                <w:lang w:val="en-US" w:eastAsia="zh-CN"/>
              </w:rPr>
            </w:pPr>
            <w:r>
              <w:rPr>
                <w:rFonts w:hint="eastAsia" w:ascii="Times New Roman" w:hAnsi="Times New Roman" w:eastAsia="仿宋_GB2312" w:cs="Times New Roman"/>
                <w:sz w:val="20"/>
                <w:szCs w:val="20"/>
                <w:highlight w:val="none"/>
                <w:lang w:val="en-US" w:eastAsia="zh-CN"/>
              </w:rPr>
              <w:t>主体已有的措施</w:t>
            </w:r>
          </w:p>
        </w:tc>
        <w:tc>
          <w:tcPr>
            <w:tcW w:w="1195" w:type="pct"/>
            <w:tcBorders>
              <w:tl2br w:val="nil"/>
              <w:tr2bl w:val="nil"/>
            </w:tcBorders>
            <w:vAlign w:val="center"/>
          </w:tcPr>
          <w:p>
            <w:pPr>
              <w:pStyle w:val="169"/>
              <w:keepNext w:val="0"/>
              <w:keepLines w:val="0"/>
              <w:pageBreakBefore w:val="0"/>
              <w:kinsoku/>
              <w:wordWrap/>
              <w:overflowPunct/>
              <w:topLinePunct w:val="0"/>
              <w:autoSpaceDE/>
              <w:autoSpaceDN/>
              <w:bidi w:val="0"/>
              <w:adjustRightInd/>
              <w:snapToGrid w:val="0"/>
              <w:textAlignment w:val="auto"/>
              <w:rPr>
                <w:rFonts w:hint="default" w:ascii="Times New Roman" w:hAnsi="Times New Roman" w:eastAsia="仿宋_GB2312" w:cs="Times New Roman"/>
                <w:sz w:val="20"/>
                <w:szCs w:val="20"/>
                <w:highlight w:val="none"/>
                <w:lang w:val="en-US" w:eastAsia="zh-CN"/>
              </w:rPr>
            </w:pPr>
            <w:r>
              <w:rPr>
                <w:rFonts w:hint="eastAsia" w:ascii="Times New Roman" w:hAnsi="Times New Roman" w:eastAsia="仿宋_GB2312" w:cs="Times New Roman"/>
                <w:sz w:val="20"/>
                <w:szCs w:val="20"/>
                <w:highlight w:val="none"/>
                <w:lang w:val="en-US" w:eastAsia="zh-CN"/>
              </w:rPr>
              <w:t>缺少的措施</w:t>
            </w:r>
          </w:p>
        </w:tc>
        <w:tc>
          <w:tcPr>
            <w:tcW w:w="1195" w:type="pct"/>
            <w:tcBorders>
              <w:tl2br w:val="nil"/>
              <w:tr2bl w:val="nil"/>
            </w:tcBorders>
            <w:vAlign w:val="center"/>
          </w:tcPr>
          <w:p>
            <w:pPr>
              <w:pStyle w:val="169"/>
              <w:keepNext w:val="0"/>
              <w:keepLines w:val="0"/>
              <w:pageBreakBefore w:val="0"/>
              <w:kinsoku/>
              <w:wordWrap/>
              <w:overflowPunct/>
              <w:topLinePunct w:val="0"/>
              <w:autoSpaceDE/>
              <w:autoSpaceDN/>
              <w:bidi w:val="0"/>
              <w:adjustRightInd/>
              <w:snapToGrid w:val="0"/>
              <w:textAlignment w:val="auto"/>
              <w:rPr>
                <w:rFonts w:hint="default" w:ascii="Times New Roman" w:hAnsi="Times New Roman" w:eastAsia="仿宋_GB2312" w:cs="Times New Roman"/>
                <w:sz w:val="20"/>
                <w:szCs w:val="20"/>
                <w:highlight w:val="none"/>
                <w:lang w:val="en-US" w:eastAsia="zh-CN"/>
              </w:rPr>
            </w:pPr>
            <w:r>
              <w:rPr>
                <w:rFonts w:hint="eastAsia" w:ascii="Times New Roman" w:hAnsi="Times New Roman" w:eastAsia="仿宋_GB2312" w:cs="Times New Roman"/>
                <w:sz w:val="20"/>
                <w:szCs w:val="20"/>
                <w:highlight w:val="none"/>
                <w:lang w:val="en-US" w:eastAsia="zh-CN"/>
              </w:rPr>
              <w:t>本方案补充措施</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1000" w:hRule="atLeast"/>
          <w:jc w:val="center"/>
        </w:trPr>
        <w:tc>
          <w:tcPr>
            <w:tcW w:w="863" w:type="pct"/>
            <w:tcBorders>
              <w:tl2br w:val="nil"/>
              <w:tr2bl w:val="nil"/>
            </w:tcBorders>
            <w:tcMar>
              <w:top w:w="0" w:type="dxa"/>
              <w:left w:w="0" w:type="dxa"/>
              <w:bottom w:w="0" w:type="dxa"/>
              <w:right w:w="0" w:type="dxa"/>
            </w:tcMar>
            <w:vAlign w:val="center"/>
          </w:tcPr>
          <w:p>
            <w:pPr>
              <w:pStyle w:val="169"/>
              <w:keepNext w:val="0"/>
              <w:keepLines w:val="0"/>
              <w:pageBreakBefore w:val="0"/>
              <w:kinsoku/>
              <w:wordWrap/>
              <w:overflowPunct/>
              <w:topLinePunct w:val="0"/>
              <w:autoSpaceDE/>
              <w:autoSpaceDN/>
              <w:bidi w:val="0"/>
              <w:adjustRightInd/>
              <w:snapToGrid w:val="0"/>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z w:val="20"/>
                <w:szCs w:val="20"/>
                <w:highlight w:val="none"/>
              </w:rPr>
              <w:t>工程建设区</w:t>
            </w:r>
          </w:p>
        </w:tc>
        <w:tc>
          <w:tcPr>
            <w:tcW w:w="1744" w:type="pct"/>
            <w:tcBorders>
              <w:tl2br w:val="nil"/>
              <w:tr2bl w:val="nil"/>
            </w:tcBorders>
            <w:vAlign w:val="center"/>
          </w:tcPr>
          <w:p>
            <w:pPr>
              <w:pStyle w:val="169"/>
              <w:keepNext w:val="0"/>
              <w:keepLines w:val="0"/>
              <w:pageBreakBefore w:val="0"/>
              <w:kinsoku/>
              <w:wordWrap/>
              <w:overflowPunct/>
              <w:topLinePunct w:val="0"/>
              <w:autoSpaceDE/>
              <w:autoSpaceDN/>
              <w:bidi w:val="0"/>
              <w:adjustRightInd/>
              <w:snapToGrid w:val="0"/>
              <w:textAlignment w:val="auto"/>
              <w:rPr>
                <w:rFonts w:hint="eastAsia" w:ascii="Times New Roman" w:hAnsi="Times New Roman" w:eastAsia="仿宋_GB2312" w:cs="Times New Roman"/>
                <w:sz w:val="20"/>
                <w:szCs w:val="20"/>
                <w:highlight w:val="none"/>
                <w:lang w:eastAsia="zh-CN"/>
              </w:rPr>
            </w:pPr>
            <w:r>
              <w:rPr>
                <w:rFonts w:hint="default" w:ascii="Times New Roman" w:hAnsi="Times New Roman" w:eastAsia="仿宋_GB2312" w:cs="Times New Roman"/>
                <w:sz w:val="20"/>
                <w:szCs w:val="20"/>
                <w:highlight w:val="none"/>
              </w:rPr>
              <w:t>雨水管线及</w:t>
            </w:r>
            <w:r>
              <w:rPr>
                <w:rFonts w:hint="eastAsia" w:ascii="Times New Roman" w:hAnsi="Times New Roman" w:eastAsia="仿宋_GB2312" w:cs="Times New Roman"/>
                <w:sz w:val="20"/>
                <w:szCs w:val="20"/>
                <w:highlight w:val="none"/>
                <w:lang w:eastAsia="zh-CN"/>
              </w:rPr>
              <w:t>雨水口</w:t>
            </w:r>
          </w:p>
          <w:p>
            <w:pPr>
              <w:pStyle w:val="169"/>
              <w:keepNext w:val="0"/>
              <w:keepLines w:val="0"/>
              <w:pageBreakBefore w:val="0"/>
              <w:kinsoku/>
              <w:wordWrap/>
              <w:overflowPunct/>
              <w:topLinePunct w:val="0"/>
              <w:autoSpaceDE/>
              <w:autoSpaceDN/>
              <w:bidi w:val="0"/>
              <w:adjustRightInd/>
              <w:snapToGrid w:val="0"/>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z w:val="20"/>
                <w:szCs w:val="20"/>
                <w:highlight w:val="none"/>
              </w:rPr>
              <w:t>绿化用土回覆</w:t>
            </w:r>
          </w:p>
          <w:p>
            <w:pPr>
              <w:pStyle w:val="169"/>
              <w:keepNext w:val="0"/>
              <w:keepLines w:val="0"/>
              <w:pageBreakBefore w:val="0"/>
              <w:kinsoku/>
              <w:wordWrap/>
              <w:overflowPunct/>
              <w:topLinePunct w:val="0"/>
              <w:autoSpaceDE/>
              <w:autoSpaceDN/>
              <w:bidi w:val="0"/>
              <w:adjustRightInd/>
              <w:snapToGrid w:val="0"/>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z w:val="20"/>
                <w:szCs w:val="20"/>
                <w:highlight w:val="none"/>
              </w:rPr>
              <w:t>景观绿化</w:t>
            </w:r>
          </w:p>
          <w:p>
            <w:pPr>
              <w:pStyle w:val="169"/>
              <w:keepNext w:val="0"/>
              <w:keepLines w:val="0"/>
              <w:pageBreakBefore w:val="0"/>
              <w:kinsoku/>
              <w:wordWrap/>
              <w:overflowPunct/>
              <w:topLinePunct w:val="0"/>
              <w:autoSpaceDE/>
              <w:autoSpaceDN/>
              <w:bidi w:val="0"/>
              <w:adjustRightInd/>
              <w:snapToGrid w:val="0"/>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z w:val="20"/>
                <w:szCs w:val="20"/>
                <w:highlight w:val="none"/>
                <w:lang w:val="en-US" w:eastAsia="zh-CN"/>
              </w:rPr>
              <w:t>密目网苫盖</w:t>
            </w:r>
          </w:p>
        </w:tc>
        <w:tc>
          <w:tcPr>
            <w:tcW w:w="1195" w:type="pct"/>
            <w:tcBorders>
              <w:tl2br w:val="nil"/>
              <w:tr2bl w:val="nil"/>
            </w:tcBorders>
            <w:vAlign w:val="center"/>
          </w:tcPr>
          <w:p>
            <w:pPr>
              <w:pStyle w:val="169"/>
              <w:keepNext w:val="0"/>
              <w:keepLines w:val="0"/>
              <w:pageBreakBefore w:val="0"/>
              <w:kinsoku/>
              <w:wordWrap/>
              <w:overflowPunct/>
              <w:topLinePunct w:val="0"/>
              <w:autoSpaceDE/>
              <w:autoSpaceDN/>
              <w:bidi w:val="0"/>
              <w:adjustRightInd/>
              <w:snapToGrid w:val="0"/>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z w:val="20"/>
                <w:szCs w:val="20"/>
                <w:highlight w:val="none"/>
              </w:rPr>
              <w:t>全面整地</w:t>
            </w:r>
          </w:p>
          <w:p>
            <w:pPr>
              <w:pStyle w:val="169"/>
              <w:keepNext w:val="0"/>
              <w:keepLines w:val="0"/>
              <w:pageBreakBefore w:val="0"/>
              <w:kinsoku/>
              <w:wordWrap/>
              <w:overflowPunct/>
              <w:topLinePunct w:val="0"/>
              <w:autoSpaceDE/>
              <w:autoSpaceDN/>
              <w:bidi w:val="0"/>
              <w:adjustRightInd/>
              <w:snapToGrid w:val="0"/>
              <w:textAlignment w:val="auto"/>
              <w:rPr>
                <w:rFonts w:hint="default" w:ascii="Times New Roman" w:hAnsi="Times New Roman" w:eastAsia="仿宋_GB2312" w:cs="Times New Roman"/>
                <w:sz w:val="20"/>
                <w:szCs w:val="20"/>
                <w:highlight w:val="none"/>
                <w:lang w:val="en-US" w:eastAsia="zh-CN"/>
              </w:rPr>
            </w:pPr>
            <w:r>
              <w:rPr>
                <w:rFonts w:hint="eastAsia" w:ascii="Times New Roman" w:hAnsi="Times New Roman" w:eastAsia="仿宋_GB2312" w:cs="Times New Roman"/>
                <w:sz w:val="20"/>
                <w:szCs w:val="20"/>
                <w:highlight w:val="none"/>
                <w:lang w:val="en-US" w:eastAsia="zh-CN"/>
              </w:rPr>
              <w:t>拦挡措施</w:t>
            </w:r>
          </w:p>
        </w:tc>
        <w:tc>
          <w:tcPr>
            <w:tcW w:w="1195" w:type="pct"/>
            <w:tcBorders>
              <w:tl2br w:val="nil"/>
              <w:tr2bl w:val="nil"/>
            </w:tcBorders>
            <w:vAlign w:val="center"/>
          </w:tcPr>
          <w:p>
            <w:pPr>
              <w:pStyle w:val="169"/>
              <w:keepNext w:val="0"/>
              <w:keepLines w:val="0"/>
              <w:pageBreakBefore w:val="0"/>
              <w:kinsoku/>
              <w:wordWrap/>
              <w:overflowPunct/>
              <w:topLinePunct w:val="0"/>
              <w:autoSpaceDE/>
              <w:autoSpaceDN/>
              <w:bidi w:val="0"/>
              <w:adjustRightInd/>
              <w:snapToGrid w:val="0"/>
              <w:textAlignment w:val="auto"/>
              <w:rPr>
                <w:rFonts w:hint="eastAsia" w:ascii="Times New Roman" w:hAnsi="Times New Roman" w:eastAsia="仿宋_GB2312" w:cs="Times New Roman"/>
                <w:sz w:val="20"/>
                <w:szCs w:val="20"/>
                <w:highlight w:val="none"/>
                <w:lang w:val="en-US" w:eastAsia="zh-CN"/>
              </w:rPr>
            </w:pPr>
            <w:r>
              <w:rPr>
                <w:rFonts w:hint="eastAsia" w:ascii="Times New Roman" w:hAnsi="Times New Roman" w:eastAsia="仿宋_GB2312" w:cs="Times New Roman"/>
                <w:sz w:val="20"/>
                <w:szCs w:val="20"/>
                <w:highlight w:val="none"/>
                <w:lang w:val="en-US" w:eastAsia="zh-CN"/>
              </w:rPr>
              <w:t>全面整地</w:t>
            </w:r>
          </w:p>
          <w:p>
            <w:pPr>
              <w:pStyle w:val="169"/>
              <w:keepNext w:val="0"/>
              <w:keepLines w:val="0"/>
              <w:pageBreakBefore w:val="0"/>
              <w:kinsoku/>
              <w:wordWrap/>
              <w:overflowPunct/>
              <w:topLinePunct w:val="0"/>
              <w:autoSpaceDE/>
              <w:autoSpaceDN/>
              <w:bidi w:val="0"/>
              <w:adjustRightInd/>
              <w:snapToGrid w:val="0"/>
              <w:textAlignment w:val="auto"/>
              <w:rPr>
                <w:rFonts w:hint="default" w:ascii="Times New Roman" w:hAnsi="Times New Roman" w:eastAsia="仿宋_GB2312" w:cs="Times New Roman"/>
                <w:sz w:val="20"/>
                <w:szCs w:val="20"/>
                <w:highlight w:val="none"/>
                <w:lang w:val="en-US" w:eastAsia="zh-CN"/>
              </w:rPr>
            </w:pPr>
            <w:r>
              <w:rPr>
                <w:rFonts w:hint="default" w:ascii="Times New Roman" w:hAnsi="Times New Roman" w:eastAsia="仿宋_GB2312" w:cs="Times New Roman"/>
                <w:sz w:val="20"/>
                <w:szCs w:val="20"/>
                <w:highlight w:val="none"/>
                <w:lang w:val="en-US" w:eastAsia="zh-CN"/>
              </w:rPr>
              <w:t>编织袋土砌筑与拆除</w:t>
            </w:r>
          </w:p>
        </w:tc>
      </w:tr>
    </w:tbl>
    <w:p>
      <w:pPr>
        <w:pStyle w:val="5"/>
        <w:bidi w:val="0"/>
        <w:rPr>
          <w:rFonts w:hint="default" w:ascii="Times New Roman" w:hAnsi="Times New Roman" w:cs="Times New Roman"/>
        </w:rPr>
      </w:pPr>
      <w:bookmarkStart w:id="217" w:name="_Toc16695"/>
      <w:bookmarkStart w:id="218" w:name="_Toc13124"/>
      <w:bookmarkStart w:id="219" w:name="_Toc28677"/>
      <w:r>
        <w:rPr>
          <w:rFonts w:hint="default" w:ascii="Times New Roman" w:hAnsi="Times New Roman" w:cs="Times New Roman"/>
        </w:rPr>
        <w:t>3.3主体工程设计中水土保持措施界定</w:t>
      </w:r>
      <w:bookmarkEnd w:id="217"/>
      <w:bookmarkEnd w:id="218"/>
      <w:bookmarkEnd w:id="219"/>
    </w:p>
    <w:bookmarkEnd w:id="216"/>
    <w:p>
      <w:pPr>
        <w:pageBreakBefore w:val="0"/>
        <w:kinsoku/>
        <w:wordWrap/>
        <w:bidi w:val="0"/>
        <w:spacing w:line="360" w:lineRule="auto"/>
        <w:ind w:firstLine="56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通过对主体工程设计中具有水土保持功能工程的分析评价，按照《生产建设项目水土保持技术标准》</w:t>
      </w:r>
      <w:r>
        <w:rPr>
          <w:rFonts w:hint="default" w:ascii="Times New Roman" w:hAnsi="Times New Roman" w:eastAsia="仿宋_GB2312" w:cs="Times New Roman"/>
          <w:sz w:val="24"/>
          <w:highlight w:val="none"/>
          <w:lang w:eastAsia="zh-CN"/>
        </w:rPr>
        <w:t>（</w:t>
      </w:r>
      <w:r>
        <w:rPr>
          <w:rFonts w:hint="default" w:ascii="Times New Roman" w:hAnsi="Times New Roman" w:eastAsia="仿宋_GB2312" w:cs="Times New Roman"/>
          <w:sz w:val="24"/>
          <w:highlight w:val="none"/>
        </w:rPr>
        <w:t>GB50433-2018</w:t>
      </w:r>
      <w:r>
        <w:rPr>
          <w:rFonts w:hint="default" w:ascii="Times New Roman" w:hAnsi="Times New Roman" w:eastAsia="仿宋_GB2312" w:cs="Times New Roman"/>
          <w:sz w:val="24"/>
          <w:highlight w:val="none"/>
          <w:lang w:eastAsia="zh-CN"/>
        </w:rPr>
        <w:t>）</w:t>
      </w:r>
      <w:r>
        <w:rPr>
          <w:rFonts w:hint="default" w:ascii="Times New Roman" w:hAnsi="Times New Roman" w:eastAsia="仿宋_GB2312" w:cs="Times New Roman"/>
          <w:sz w:val="24"/>
          <w:highlight w:val="none"/>
        </w:rPr>
        <w:t>中的界定原则，将主体工程的绿化用土回覆、雨水管线</w:t>
      </w:r>
      <w:r>
        <w:rPr>
          <w:rFonts w:hint="default" w:ascii="Times New Roman" w:hAnsi="Times New Roman" w:eastAsia="仿宋_GB2312" w:cs="Times New Roman"/>
          <w:sz w:val="24"/>
          <w:highlight w:val="none"/>
          <w:lang w:val="en-US" w:eastAsia="zh-CN"/>
        </w:rPr>
        <w:t>及</w:t>
      </w:r>
      <w:r>
        <w:rPr>
          <w:rFonts w:hint="eastAsia" w:eastAsia="仿宋_GB2312" w:cs="Times New Roman"/>
          <w:sz w:val="24"/>
          <w:highlight w:val="none"/>
          <w:lang w:eastAsia="zh-CN"/>
        </w:rPr>
        <w:t>雨水口</w:t>
      </w:r>
      <w:r>
        <w:rPr>
          <w:rFonts w:hint="default" w:ascii="Times New Roman" w:hAnsi="Times New Roman" w:eastAsia="仿宋_GB2312" w:cs="Times New Roman"/>
          <w:sz w:val="24"/>
          <w:highlight w:val="none"/>
        </w:rPr>
        <w:t>、</w:t>
      </w:r>
      <w:r>
        <w:rPr>
          <w:rFonts w:hint="default" w:ascii="Times New Roman" w:hAnsi="Times New Roman" w:eastAsia="仿宋_GB2312" w:cs="Times New Roman"/>
          <w:sz w:val="24"/>
          <w:highlight w:val="none"/>
          <w:lang w:val="en-US" w:eastAsia="zh-CN"/>
        </w:rPr>
        <w:t>密目网苫盖、</w:t>
      </w:r>
      <w:r>
        <w:rPr>
          <w:rFonts w:hint="default" w:ascii="Times New Roman" w:hAnsi="Times New Roman" w:eastAsia="仿宋_GB2312" w:cs="Times New Roman"/>
          <w:sz w:val="24"/>
          <w:highlight w:val="none"/>
        </w:rPr>
        <w:t>绿化措施界定为水土保持措施。</w:t>
      </w:r>
    </w:p>
    <w:p>
      <w:pPr>
        <w:pStyle w:val="6"/>
        <w:bidi w:val="0"/>
        <w:rPr>
          <w:rFonts w:hint="default" w:ascii="Times New Roman" w:hAnsi="Times New Roman" w:cs="Times New Roman"/>
        </w:rPr>
      </w:pPr>
      <w:r>
        <w:rPr>
          <w:rFonts w:hint="default" w:ascii="Times New Roman" w:hAnsi="Times New Roman" w:cs="Times New Roman"/>
        </w:rPr>
        <w:t>3.3.1 工程措施</w:t>
      </w:r>
    </w:p>
    <w:p>
      <w:pPr>
        <w:pageBreakBefore w:val="0"/>
        <w:kinsoku/>
        <w:wordWrap/>
        <w:bidi w:val="0"/>
        <w:snapToGrid w:val="0"/>
        <w:spacing w:line="360" w:lineRule="auto"/>
        <w:ind w:firstLine="480" w:firstLineChars="20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w:t>
      </w:r>
      <w:r>
        <w:rPr>
          <w:rFonts w:hint="default" w:ascii="Times New Roman" w:hAnsi="Times New Roman" w:eastAsia="仿宋_GB2312" w:cs="Times New Roman"/>
          <w:color w:val="auto"/>
          <w:sz w:val="24"/>
          <w:lang w:val="en-US" w:eastAsia="zh-CN"/>
        </w:rPr>
        <w:t>1</w:t>
      </w:r>
      <w:r>
        <w:rPr>
          <w:rFonts w:hint="default" w:ascii="Times New Roman" w:hAnsi="Times New Roman" w:eastAsia="仿宋_GB2312" w:cs="Times New Roman"/>
          <w:color w:val="auto"/>
          <w:sz w:val="24"/>
        </w:rPr>
        <w:t>）</w:t>
      </w:r>
      <w:r>
        <w:rPr>
          <w:rFonts w:hint="default" w:ascii="Times New Roman" w:hAnsi="Times New Roman" w:eastAsia="仿宋_GB2312" w:cs="Times New Roman"/>
          <w:color w:val="auto"/>
          <w:sz w:val="24"/>
          <w:lang w:eastAsia="zh-CN"/>
        </w:rPr>
        <w:t>表土</w:t>
      </w:r>
      <w:r>
        <w:rPr>
          <w:rFonts w:hint="default" w:ascii="Times New Roman" w:hAnsi="Times New Roman" w:eastAsia="仿宋_GB2312" w:cs="Times New Roman"/>
          <w:color w:val="auto"/>
          <w:sz w:val="24"/>
          <w:lang w:val="en-US" w:eastAsia="zh-CN"/>
        </w:rPr>
        <w:t>用土</w:t>
      </w:r>
      <w:r>
        <w:rPr>
          <w:rFonts w:hint="default" w:ascii="Times New Roman" w:hAnsi="Times New Roman" w:eastAsia="仿宋_GB2312" w:cs="Times New Roman"/>
          <w:color w:val="auto"/>
          <w:sz w:val="24"/>
        </w:rPr>
        <w:t>回覆</w:t>
      </w:r>
    </w:p>
    <w:p>
      <w:pPr>
        <w:pageBreakBefore w:val="0"/>
        <w:kinsoku/>
        <w:wordWrap/>
        <w:bidi w:val="0"/>
        <w:spacing w:line="360" w:lineRule="auto"/>
        <w:ind w:firstLine="480" w:firstLineChars="200"/>
        <w:rPr>
          <w:rFonts w:hint="default" w:ascii="Times New Roman" w:hAnsi="Times New Roman" w:eastAsia="仿宋_GB2312" w:cs="Times New Roman"/>
          <w:color w:val="auto"/>
          <w:kern w:val="0"/>
          <w:sz w:val="24"/>
        </w:rPr>
      </w:pPr>
      <w:r>
        <w:rPr>
          <w:rFonts w:hint="default" w:ascii="Times New Roman" w:hAnsi="Times New Roman" w:eastAsia="仿宋_GB2312" w:cs="Times New Roman"/>
          <w:color w:val="auto"/>
          <w:sz w:val="24"/>
        </w:rPr>
        <w:t>主体设计在</w:t>
      </w:r>
      <w:r>
        <w:rPr>
          <w:rFonts w:hint="default" w:ascii="Times New Roman" w:hAnsi="Times New Roman" w:eastAsia="仿宋_GB2312" w:cs="Times New Roman"/>
          <w:color w:val="auto"/>
          <w:sz w:val="24"/>
          <w:lang w:eastAsia="zh-CN"/>
        </w:rPr>
        <w:t>工程建设区</w:t>
      </w:r>
      <w:r>
        <w:rPr>
          <w:rFonts w:hint="default" w:ascii="Times New Roman" w:hAnsi="Times New Roman" w:eastAsia="仿宋_GB2312" w:cs="Times New Roman"/>
          <w:color w:val="auto"/>
          <w:sz w:val="24"/>
        </w:rPr>
        <w:t>进行植被绿化前先进行</w:t>
      </w:r>
      <w:r>
        <w:rPr>
          <w:rFonts w:hint="default" w:ascii="Times New Roman" w:hAnsi="Times New Roman" w:eastAsia="仿宋_GB2312" w:cs="Times New Roman"/>
          <w:color w:val="auto"/>
          <w:sz w:val="24"/>
          <w:lang w:eastAsia="zh-CN"/>
        </w:rPr>
        <w:t>绿化用土</w:t>
      </w:r>
      <w:r>
        <w:rPr>
          <w:rFonts w:hint="default" w:ascii="Times New Roman" w:hAnsi="Times New Roman" w:eastAsia="仿宋_GB2312" w:cs="Times New Roman"/>
          <w:color w:val="auto"/>
          <w:sz w:val="24"/>
        </w:rPr>
        <w:t>回覆，以便其植被生长，</w:t>
      </w:r>
      <w:r>
        <w:rPr>
          <w:rFonts w:hint="default" w:ascii="Times New Roman" w:hAnsi="Times New Roman" w:eastAsia="仿宋_GB2312" w:cs="Times New Roman"/>
          <w:color w:val="auto"/>
          <w:sz w:val="24"/>
          <w:lang w:eastAsia="zh-CN"/>
        </w:rPr>
        <w:t>本期项目</w:t>
      </w:r>
      <w:r>
        <w:rPr>
          <w:rFonts w:hint="default" w:ascii="Times New Roman" w:hAnsi="Times New Roman" w:eastAsia="仿宋_GB2312" w:cs="Times New Roman"/>
          <w:color w:val="auto"/>
          <w:sz w:val="24"/>
        </w:rPr>
        <w:t>表土回覆面积为</w:t>
      </w:r>
      <w:r>
        <w:rPr>
          <w:rFonts w:hint="eastAsia" w:eastAsia="仿宋_GB2312" w:cs="Times New Roman"/>
          <w:color w:val="auto"/>
          <w:sz w:val="24"/>
          <w:lang w:val="en-US" w:eastAsia="zh-CN"/>
        </w:rPr>
        <w:t>3.99</w:t>
      </w:r>
      <w:r>
        <w:rPr>
          <w:rFonts w:hint="default" w:ascii="Times New Roman" w:hAnsi="Times New Roman" w:eastAsia="仿宋_GB2312" w:cs="Times New Roman"/>
          <w:color w:val="auto"/>
          <w:sz w:val="24"/>
        </w:rPr>
        <w:t>hm</w:t>
      </w:r>
      <w:r>
        <w:rPr>
          <w:rFonts w:hint="default" w:ascii="Times New Roman" w:hAnsi="Times New Roman" w:eastAsia="仿宋_GB2312" w:cs="Times New Roman"/>
          <w:color w:val="auto"/>
          <w:sz w:val="24"/>
          <w:vertAlign w:val="superscript"/>
          <w:lang w:eastAsia="zh-CN"/>
        </w:rPr>
        <w:t>2</w:t>
      </w:r>
      <w:r>
        <w:rPr>
          <w:rFonts w:hint="default" w:ascii="Times New Roman" w:hAnsi="Times New Roman" w:eastAsia="仿宋_GB2312" w:cs="Times New Roman"/>
          <w:color w:val="auto"/>
          <w:sz w:val="24"/>
        </w:rPr>
        <w:t>，覆土厚度</w:t>
      </w:r>
      <w:r>
        <w:rPr>
          <w:rFonts w:hint="default" w:ascii="Times New Roman" w:hAnsi="Times New Roman" w:eastAsia="仿宋_GB2312" w:cs="Times New Roman"/>
          <w:color w:val="auto"/>
          <w:sz w:val="24"/>
          <w:lang w:val="en-US" w:eastAsia="zh-CN"/>
        </w:rPr>
        <w:t>3</w:t>
      </w:r>
      <w:r>
        <w:rPr>
          <w:rFonts w:hint="default" w:ascii="Times New Roman" w:hAnsi="Times New Roman" w:eastAsia="仿宋_GB2312" w:cs="Times New Roman"/>
          <w:color w:val="auto"/>
          <w:sz w:val="24"/>
        </w:rPr>
        <w:t>0cm，表土回覆量为</w:t>
      </w:r>
      <w:r>
        <w:rPr>
          <w:rFonts w:hint="eastAsia" w:eastAsia="仿宋_GB2312" w:cs="Times New Roman"/>
          <w:color w:val="auto"/>
          <w:sz w:val="24"/>
          <w:lang w:val="en-US" w:eastAsia="zh-CN"/>
        </w:rPr>
        <w:t>1.20</w:t>
      </w:r>
      <w:r>
        <w:rPr>
          <w:rFonts w:hint="default" w:ascii="Times New Roman" w:hAnsi="Times New Roman" w:eastAsia="仿宋_GB2312" w:cs="Times New Roman"/>
          <w:color w:val="auto"/>
          <w:sz w:val="24"/>
        </w:rPr>
        <w:t>万m</w:t>
      </w:r>
      <w:r>
        <w:rPr>
          <w:rFonts w:hint="default" w:ascii="Times New Roman" w:hAnsi="Times New Roman" w:eastAsia="仿宋_GB2312" w:cs="Times New Roman"/>
          <w:color w:val="auto"/>
          <w:sz w:val="24"/>
          <w:vertAlign w:val="superscript"/>
          <w:lang w:eastAsia="zh-CN"/>
        </w:rPr>
        <w:t>3</w:t>
      </w:r>
      <w:r>
        <w:rPr>
          <w:rFonts w:hint="default" w:ascii="Times New Roman" w:hAnsi="Times New Roman" w:eastAsia="仿宋_GB2312" w:cs="Times New Roman"/>
          <w:color w:val="auto"/>
          <w:sz w:val="24"/>
        </w:rPr>
        <w:t>。</w:t>
      </w:r>
      <w:r>
        <w:rPr>
          <w:rFonts w:hint="default" w:ascii="Times New Roman" w:hAnsi="Times New Roman" w:eastAsia="仿宋_GB2312" w:cs="Times New Roman"/>
          <w:color w:val="auto"/>
          <w:kern w:val="0"/>
          <w:sz w:val="24"/>
        </w:rPr>
        <w:t>该措施具有水土保持功能，满足水土保持要求，界定为水土保持措施，计入水土保持投资。</w:t>
      </w:r>
    </w:p>
    <w:p>
      <w:pPr>
        <w:pageBreakBefore w:val="0"/>
        <w:kinsoku/>
        <w:wordWrap/>
        <w:bidi w:val="0"/>
        <w:adjustRightInd w:val="0"/>
        <w:spacing w:line="360" w:lineRule="auto"/>
        <w:ind w:firstLine="482"/>
        <w:jc w:val="left"/>
        <w:textAlignment w:val="baseline"/>
        <w:rPr>
          <w:rFonts w:hint="default" w:ascii="Times New Roman" w:hAnsi="Times New Roman" w:eastAsia="仿宋_GB2312" w:cs="Times New Roman"/>
          <w:color w:val="auto"/>
          <w:kern w:val="0"/>
          <w:sz w:val="24"/>
          <w:szCs w:val="20"/>
        </w:rPr>
      </w:pPr>
      <w:r>
        <w:rPr>
          <w:rFonts w:hint="default" w:ascii="Times New Roman" w:hAnsi="Times New Roman" w:eastAsia="仿宋_GB2312" w:cs="Times New Roman"/>
          <w:color w:val="auto"/>
          <w:kern w:val="0"/>
          <w:sz w:val="24"/>
          <w:szCs w:val="20"/>
        </w:rPr>
        <w:t>（</w:t>
      </w:r>
      <w:r>
        <w:rPr>
          <w:rFonts w:hint="default" w:ascii="Times New Roman" w:hAnsi="Times New Roman" w:eastAsia="仿宋_GB2312" w:cs="Times New Roman"/>
          <w:color w:val="auto"/>
          <w:kern w:val="0"/>
          <w:sz w:val="24"/>
          <w:szCs w:val="20"/>
          <w:lang w:val="en-US" w:eastAsia="zh-CN"/>
        </w:rPr>
        <w:t>2</w:t>
      </w:r>
      <w:r>
        <w:rPr>
          <w:rFonts w:hint="default" w:ascii="Times New Roman" w:hAnsi="Times New Roman" w:eastAsia="仿宋_GB2312" w:cs="Times New Roman"/>
          <w:color w:val="auto"/>
          <w:kern w:val="0"/>
          <w:sz w:val="24"/>
          <w:szCs w:val="20"/>
        </w:rPr>
        <w:t>）雨水管线及雨水口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主体工程在工程建设区内设计了雨水排水设施，用于收集和排泄地表集水，雨水管线工程按照《室外排水设计标准》（GB50014-2021）要求设计重现期以2年为标准进行设计，雨水排水管线根据地形沿道路敷设，以直埋方式敷设，长</w:t>
      </w:r>
      <w:r>
        <w:rPr>
          <w:rFonts w:hint="eastAsia" w:eastAsia="仿宋_GB2312" w:cs="Times New Roman"/>
          <w:sz w:val="24"/>
          <w:szCs w:val="24"/>
          <w:lang w:val="en-US" w:eastAsia="zh-CN"/>
        </w:rPr>
        <w:t>2600m</w:t>
      </w:r>
      <w:r>
        <w:rPr>
          <w:rFonts w:hint="default" w:ascii="Times New Roman" w:hAnsi="Times New Roman" w:eastAsia="仿宋_GB2312" w:cs="Times New Roman"/>
          <w:sz w:val="24"/>
          <w:szCs w:val="24"/>
        </w:rPr>
        <w:t>，</w:t>
      </w:r>
      <w:r>
        <w:rPr>
          <w:rFonts w:hint="eastAsia" w:eastAsia="仿宋_GB2312" w:cs="Times New Roman"/>
          <w:sz w:val="24"/>
          <w:szCs w:val="24"/>
          <w:lang w:eastAsia="zh-CN"/>
        </w:rPr>
        <w:t>雨水口</w:t>
      </w:r>
      <w:r>
        <w:rPr>
          <w:rFonts w:hint="eastAsia" w:eastAsia="仿宋_GB2312" w:cs="Times New Roman"/>
          <w:sz w:val="24"/>
          <w:szCs w:val="24"/>
          <w:lang w:val="en-US" w:eastAsia="zh-CN"/>
        </w:rPr>
        <w:t>260</w:t>
      </w:r>
      <w:r>
        <w:rPr>
          <w:rFonts w:hint="default" w:ascii="Times New Roman" w:hAnsi="Times New Roman" w:eastAsia="仿宋_GB2312" w:cs="Times New Roman"/>
          <w:sz w:val="24"/>
          <w:szCs w:val="24"/>
        </w:rPr>
        <w:t>个。</w:t>
      </w:r>
      <w:r>
        <w:rPr>
          <w:rFonts w:hint="default" w:ascii="Times New Roman" w:hAnsi="Times New Roman" w:eastAsia="仿宋_GB2312" w:cs="Times New Roman"/>
          <w:color w:val="auto"/>
          <w:kern w:val="0"/>
          <w:sz w:val="24"/>
        </w:rPr>
        <w:t>该措施具有水土保持功能，满足水土保持要求，界定为水土保持措施，计入水土保持投资。</w:t>
      </w:r>
    </w:p>
    <w:p>
      <w:pPr>
        <w:pStyle w:val="6"/>
        <w:bidi w:val="0"/>
        <w:rPr>
          <w:rFonts w:hint="default" w:ascii="Times New Roman" w:hAnsi="Times New Roman" w:cs="Times New Roman"/>
        </w:rPr>
      </w:pPr>
      <w:r>
        <w:rPr>
          <w:rFonts w:hint="default" w:ascii="Times New Roman" w:hAnsi="Times New Roman" w:cs="Times New Roman"/>
        </w:rPr>
        <w:t>3.3.2 植物措施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主体设计对项目区可绿化区域进行景观绿化，绿化采用栽植乔灌木及撒播种草方式。</w:t>
      </w:r>
      <w:r>
        <w:rPr>
          <w:rFonts w:hint="default" w:ascii="Times New Roman" w:hAnsi="Times New Roman" w:eastAsia="仿宋_GB2312" w:cs="Times New Roman"/>
          <w:sz w:val="24"/>
          <w:szCs w:val="24"/>
          <w:lang w:eastAsia="zh-CN"/>
        </w:rPr>
        <w:t>本期项目</w:t>
      </w:r>
      <w:r>
        <w:rPr>
          <w:rFonts w:hint="default" w:ascii="Times New Roman" w:hAnsi="Times New Roman" w:eastAsia="仿宋_GB2312" w:cs="Times New Roman"/>
          <w:sz w:val="24"/>
          <w:szCs w:val="24"/>
        </w:rPr>
        <w:t>绿化面积</w:t>
      </w:r>
      <w:r>
        <w:rPr>
          <w:rFonts w:hint="eastAsia" w:eastAsia="仿宋_GB2312" w:cs="Times New Roman"/>
          <w:sz w:val="24"/>
          <w:szCs w:val="24"/>
          <w:lang w:val="en-US" w:eastAsia="zh-CN"/>
        </w:rPr>
        <w:t>3.99</w:t>
      </w:r>
      <w:r>
        <w:rPr>
          <w:rFonts w:hint="default" w:ascii="Times New Roman" w:hAnsi="Times New Roman" w:eastAsia="仿宋_GB2312" w:cs="Times New Roman"/>
          <w:sz w:val="24"/>
          <w:szCs w:val="24"/>
          <w:lang w:val="en-US" w:eastAsia="zh-CN"/>
        </w:rPr>
        <w:t>h</w:t>
      </w:r>
      <w:r>
        <w:rPr>
          <w:rFonts w:hint="default" w:ascii="Times New Roman" w:hAnsi="Times New Roman" w:eastAsia="仿宋" w:cs="Times New Roman"/>
          <w:sz w:val="20"/>
          <w:szCs w:val="20"/>
          <w:highlight w:val="none"/>
        </w:rPr>
        <w:t>m</w:t>
      </w:r>
      <w:r>
        <w:rPr>
          <w:rFonts w:hint="default" w:ascii="Times New Roman" w:hAnsi="Times New Roman" w:eastAsia="仿宋" w:cs="Times New Roman"/>
          <w:spacing w:val="8"/>
          <w:sz w:val="20"/>
          <w:szCs w:val="20"/>
          <w:highlight w:val="none"/>
        </w:rPr>
        <w:t>²</w:t>
      </w:r>
      <w:r>
        <w:rPr>
          <w:rFonts w:hint="default" w:ascii="Times New Roman" w:hAnsi="Times New Roman" w:eastAsia="仿宋_GB2312" w:cs="Times New Roman"/>
          <w:sz w:val="24"/>
          <w:szCs w:val="24"/>
        </w:rPr>
        <w:t>。该工程具有水土保持功能，满足水土保持要求，界定为水土保持措施，计入水土保持投资。</w:t>
      </w:r>
    </w:p>
    <w:p>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3.3.3 临时措施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密目网苫盖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eastAsia="zh-CN"/>
        </w:rPr>
        <w:t>本期工程</w:t>
      </w:r>
      <w:r>
        <w:rPr>
          <w:rFonts w:hint="default" w:ascii="Times New Roman" w:hAnsi="Times New Roman" w:eastAsia="仿宋_GB2312" w:cs="Times New Roman"/>
          <w:sz w:val="24"/>
          <w:szCs w:val="24"/>
          <w:lang w:val="en-US" w:eastAsia="zh-CN"/>
        </w:rPr>
        <w:t>共布设临时堆土区</w:t>
      </w:r>
      <w:r>
        <w:rPr>
          <w:rFonts w:hint="eastAsia" w:eastAsia="仿宋_GB2312" w:cs="Times New Roman"/>
          <w:sz w:val="24"/>
          <w:szCs w:val="24"/>
          <w:lang w:val="en-US" w:eastAsia="zh-CN"/>
        </w:rPr>
        <w:t>1</w:t>
      </w:r>
      <w:r>
        <w:rPr>
          <w:rFonts w:hint="default" w:ascii="Times New Roman" w:hAnsi="Times New Roman" w:eastAsia="仿宋_GB2312" w:cs="Times New Roman"/>
          <w:sz w:val="24"/>
          <w:szCs w:val="24"/>
          <w:lang w:val="en-US" w:eastAsia="zh-CN"/>
        </w:rPr>
        <w:t>个，总设计容积约为1.63</w:t>
      </w:r>
      <w:r>
        <w:rPr>
          <w:rFonts w:hint="default" w:ascii="Times New Roman" w:hAnsi="Times New Roman" w:eastAsia="仿宋_GB2312" w:cs="Times New Roman"/>
          <w:sz w:val="24"/>
          <w:szCs w:val="24"/>
        </w:rPr>
        <w:t>万m³</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实际堆土量1.60</w:t>
      </w:r>
      <w:r>
        <w:rPr>
          <w:rFonts w:hint="default" w:ascii="Times New Roman" w:hAnsi="Times New Roman" w:eastAsia="仿宋_GB2312" w:cs="Times New Roman"/>
          <w:sz w:val="24"/>
          <w:szCs w:val="24"/>
        </w:rPr>
        <w:t>万m³</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该措施具有水土保持功能，满足水土保持要求，界定为水土保持措施，计入水土保持投资。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主体已列水土保持措施及投资见表3-4。</w:t>
      </w:r>
    </w:p>
    <w:p>
      <w:pPr>
        <w:pStyle w:val="164"/>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val="0"/>
          <w:bCs w:val="0"/>
          <w:sz w:val="21"/>
          <w:szCs w:val="21"/>
          <w:highlight w:val="none"/>
        </w:rPr>
      </w:pPr>
      <w:r>
        <w:rPr>
          <w:rFonts w:hint="default" w:ascii="Times New Roman" w:hAnsi="Times New Roman" w:eastAsia="微软雅黑" w:cs="Times New Roman"/>
          <w:b w:val="0"/>
          <w:bCs w:val="0"/>
          <w:sz w:val="21"/>
          <w:szCs w:val="21"/>
          <w:highlight w:val="none"/>
        </w:rPr>
        <w:t>表3-</w:t>
      </w:r>
      <w:r>
        <w:rPr>
          <w:rFonts w:hint="default" w:ascii="Times New Roman" w:hAnsi="Times New Roman" w:eastAsia="微软雅黑" w:cs="Times New Roman"/>
          <w:b w:val="0"/>
          <w:bCs w:val="0"/>
          <w:sz w:val="21"/>
          <w:szCs w:val="21"/>
          <w:highlight w:val="none"/>
          <w:lang w:val="en-US" w:eastAsia="zh-CN"/>
        </w:rPr>
        <w:t xml:space="preserve">4  </w:t>
      </w:r>
      <w:r>
        <w:rPr>
          <w:rFonts w:hint="default" w:ascii="Times New Roman" w:hAnsi="Times New Roman" w:eastAsia="微软雅黑" w:cs="Times New Roman"/>
          <w:b w:val="0"/>
          <w:bCs w:val="0"/>
          <w:sz w:val="21"/>
          <w:szCs w:val="21"/>
          <w:highlight w:val="none"/>
        </w:rPr>
        <w:t>主体工程具有水土保持功能的措施及工程量</w:t>
      </w:r>
    </w:p>
    <w:tbl>
      <w:tblPr>
        <w:tblStyle w:val="556"/>
        <w:tblW w:w="4998"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758"/>
        <w:gridCol w:w="1099"/>
        <w:gridCol w:w="1434"/>
        <w:gridCol w:w="1024"/>
        <w:gridCol w:w="1266"/>
        <w:gridCol w:w="1261"/>
        <w:gridCol w:w="1563"/>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pacing w:val="2"/>
                <w:sz w:val="20"/>
                <w:szCs w:val="20"/>
                <w:highlight w:val="none"/>
                <w:lang w:val="en-US" w:eastAsia="zh-CN"/>
              </w:rPr>
            </w:pPr>
            <w:r>
              <w:rPr>
                <w:rFonts w:hint="default" w:ascii="Times New Roman" w:hAnsi="Times New Roman" w:eastAsia="仿宋" w:cs="Times New Roman"/>
                <w:spacing w:val="2"/>
                <w:sz w:val="20"/>
                <w:szCs w:val="20"/>
                <w:highlight w:val="none"/>
                <w:lang w:val="en-US" w:eastAsia="zh-CN"/>
              </w:rPr>
              <w:t>序号</w:t>
            </w:r>
          </w:p>
        </w:tc>
        <w:tc>
          <w:tcPr>
            <w:tcW w:w="1507"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pacing w:val="2"/>
                <w:sz w:val="20"/>
                <w:szCs w:val="20"/>
                <w:highlight w:val="none"/>
                <w:lang w:val="en-US" w:eastAsia="zh-CN"/>
              </w:rPr>
            </w:pPr>
            <w:r>
              <w:rPr>
                <w:rFonts w:hint="default" w:ascii="Times New Roman" w:hAnsi="Times New Roman" w:eastAsia="仿宋" w:cs="Times New Roman"/>
                <w:spacing w:val="2"/>
                <w:sz w:val="20"/>
                <w:szCs w:val="20"/>
                <w:highlight w:val="none"/>
                <w:lang w:val="en-US" w:eastAsia="zh-CN"/>
              </w:rPr>
              <w:t>措施名称</w:t>
            </w:r>
          </w:p>
        </w:tc>
        <w:tc>
          <w:tcPr>
            <w:tcW w:w="6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0"/>
                <w:szCs w:val="20"/>
                <w:highlight w:val="none"/>
              </w:rPr>
            </w:pPr>
            <w:r>
              <w:rPr>
                <w:rFonts w:hint="default" w:ascii="Times New Roman" w:hAnsi="Times New Roman" w:eastAsia="仿宋" w:cs="Times New Roman"/>
                <w:spacing w:val="-1"/>
                <w:sz w:val="20"/>
                <w:szCs w:val="20"/>
                <w:highlight w:val="none"/>
              </w:rPr>
              <w:t>单</w:t>
            </w:r>
            <w:r>
              <w:rPr>
                <w:rFonts w:hint="default" w:ascii="Times New Roman" w:hAnsi="Times New Roman" w:eastAsia="仿宋" w:cs="Times New Roman"/>
                <w:sz w:val="20"/>
                <w:szCs w:val="20"/>
                <w:highlight w:val="none"/>
              </w:rPr>
              <w:t>位</w:t>
            </w:r>
          </w:p>
        </w:tc>
        <w:tc>
          <w:tcPr>
            <w:tcW w:w="7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0"/>
                <w:szCs w:val="20"/>
                <w:highlight w:val="none"/>
              </w:rPr>
            </w:pPr>
            <w:r>
              <w:rPr>
                <w:rFonts w:hint="default" w:ascii="Times New Roman" w:hAnsi="Times New Roman" w:eastAsia="仿宋" w:cs="Times New Roman"/>
                <w:spacing w:val="2"/>
                <w:sz w:val="20"/>
                <w:szCs w:val="20"/>
                <w:highlight w:val="none"/>
              </w:rPr>
              <w:t>数量</w:t>
            </w:r>
          </w:p>
        </w:tc>
        <w:tc>
          <w:tcPr>
            <w:tcW w:w="7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pacing w:val="2"/>
                <w:sz w:val="20"/>
                <w:szCs w:val="20"/>
                <w:highlight w:val="none"/>
                <w:lang w:val="en-US" w:eastAsia="zh-CN"/>
              </w:rPr>
            </w:pPr>
            <w:r>
              <w:rPr>
                <w:rFonts w:hint="default" w:ascii="Times New Roman" w:hAnsi="Times New Roman" w:eastAsia="仿宋" w:cs="Times New Roman"/>
                <w:spacing w:val="2"/>
                <w:sz w:val="20"/>
                <w:szCs w:val="20"/>
                <w:highlight w:val="none"/>
                <w:lang w:val="en-US" w:eastAsia="zh-CN"/>
              </w:rPr>
              <w:t>单价（元）</w:t>
            </w:r>
          </w:p>
        </w:tc>
        <w:tc>
          <w:tcPr>
            <w:tcW w:w="9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pacing w:val="2"/>
                <w:sz w:val="20"/>
                <w:szCs w:val="20"/>
                <w:highlight w:val="none"/>
                <w:lang w:val="en-US" w:eastAsia="zh-CN"/>
              </w:rPr>
            </w:pPr>
            <w:r>
              <w:rPr>
                <w:rFonts w:hint="default" w:ascii="Times New Roman" w:hAnsi="Times New Roman" w:eastAsia="仿宋" w:cs="Times New Roman"/>
                <w:spacing w:val="2"/>
                <w:sz w:val="20"/>
                <w:szCs w:val="20"/>
                <w:highlight w:val="none"/>
                <w:lang w:val="en-US" w:eastAsia="zh-CN"/>
              </w:rPr>
              <w:t>投资（万元）</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pacing w:val="6"/>
                <w:sz w:val="20"/>
                <w:szCs w:val="20"/>
                <w:highlight w:val="none"/>
                <w:lang w:val="en-US" w:eastAsia="zh-CN"/>
              </w:rPr>
            </w:pPr>
            <w:r>
              <w:rPr>
                <w:rFonts w:hint="default" w:ascii="Times New Roman" w:hAnsi="Times New Roman" w:eastAsia="仿宋" w:cs="Times New Roman"/>
                <w:spacing w:val="6"/>
                <w:sz w:val="20"/>
                <w:szCs w:val="20"/>
                <w:highlight w:val="none"/>
                <w:lang w:val="en-US" w:eastAsia="zh-CN"/>
              </w:rPr>
              <w:t>1</w:t>
            </w:r>
          </w:p>
        </w:tc>
        <w:tc>
          <w:tcPr>
            <w:tcW w:w="654"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0"/>
                <w:szCs w:val="20"/>
                <w:highlight w:val="none"/>
              </w:rPr>
            </w:pPr>
            <w:r>
              <w:rPr>
                <w:rFonts w:hint="default" w:ascii="Times New Roman" w:hAnsi="Times New Roman" w:eastAsia="仿宋" w:cs="Times New Roman"/>
                <w:spacing w:val="6"/>
                <w:sz w:val="20"/>
                <w:szCs w:val="20"/>
                <w:highlight w:val="none"/>
              </w:rPr>
              <w:t>工</w:t>
            </w:r>
            <w:r>
              <w:rPr>
                <w:rFonts w:hint="default" w:ascii="Times New Roman" w:hAnsi="Times New Roman" w:eastAsia="仿宋" w:cs="Times New Roman"/>
                <w:spacing w:val="4"/>
                <w:sz w:val="20"/>
                <w:szCs w:val="20"/>
                <w:highlight w:val="none"/>
              </w:rPr>
              <w:t>程措施</w:t>
            </w:r>
          </w:p>
        </w:tc>
        <w:tc>
          <w:tcPr>
            <w:tcW w:w="8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0"/>
                <w:szCs w:val="20"/>
                <w:highlight w:val="none"/>
              </w:rPr>
            </w:pPr>
            <w:r>
              <w:rPr>
                <w:rFonts w:hint="default" w:ascii="Times New Roman" w:hAnsi="Times New Roman" w:eastAsia="仿宋" w:cs="Times New Roman"/>
                <w:spacing w:val="10"/>
                <w:sz w:val="20"/>
                <w:szCs w:val="20"/>
                <w:highlight w:val="none"/>
              </w:rPr>
              <w:t>绿</w:t>
            </w:r>
            <w:r>
              <w:rPr>
                <w:rFonts w:hint="default" w:ascii="Times New Roman" w:hAnsi="Times New Roman" w:eastAsia="仿宋" w:cs="Times New Roman"/>
                <w:spacing w:val="6"/>
                <w:sz w:val="20"/>
                <w:szCs w:val="20"/>
                <w:highlight w:val="none"/>
              </w:rPr>
              <w:t>化用土回覆</w:t>
            </w:r>
          </w:p>
        </w:tc>
        <w:tc>
          <w:tcPr>
            <w:tcW w:w="6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0"/>
                <w:szCs w:val="20"/>
                <w:highlight w:val="none"/>
              </w:rPr>
            </w:pPr>
            <w:r>
              <w:rPr>
                <w:rFonts w:hint="default" w:ascii="Times New Roman" w:hAnsi="Times New Roman" w:eastAsia="仿宋" w:cs="Times New Roman"/>
                <w:sz w:val="20"/>
                <w:szCs w:val="20"/>
                <w:highlight w:val="none"/>
              </w:rPr>
              <w:t>m³</w:t>
            </w:r>
          </w:p>
        </w:tc>
        <w:tc>
          <w:tcPr>
            <w:tcW w:w="7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0"/>
                <w:szCs w:val="20"/>
                <w:highlight w:val="none"/>
                <w:lang w:val="en-US" w:eastAsia="zh-CN"/>
              </w:rPr>
            </w:pPr>
            <w:r>
              <w:rPr>
                <w:rFonts w:hint="eastAsia" w:eastAsia="仿宋" w:cs="Times New Roman"/>
                <w:spacing w:val="4"/>
                <w:sz w:val="20"/>
                <w:szCs w:val="20"/>
                <w:highlight w:val="none"/>
                <w:lang w:val="en-US" w:eastAsia="zh-CN"/>
              </w:rPr>
              <w:t>12000</w:t>
            </w:r>
          </w:p>
        </w:tc>
        <w:tc>
          <w:tcPr>
            <w:tcW w:w="7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0"/>
                <w:szCs w:val="20"/>
                <w:highlight w:val="none"/>
                <w:lang w:val="en-US"/>
              </w:rPr>
            </w:pPr>
            <w:r>
              <w:rPr>
                <w:rFonts w:hint="eastAsia" w:eastAsia="仿宋_GB2312" w:cs="Times New Roman"/>
                <w:color w:val="000000"/>
                <w:kern w:val="0"/>
                <w:sz w:val="20"/>
                <w:szCs w:val="20"/>
                <w:highlight w:val="none"/>
                <w:lang w:val="en-US" w:eastAsia="zh-CN" w:bidi="ar"/>
              </w:rPr>
              <w:t>10</w:t>
            </w:r>
          </w:p>
        </w:tc>
        <w:tc>
          <w:tcPr>
            <w:tcW w:w="15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eastAsia="仿宋" w:cs="Times New Roman"/>
                <w:spacing w:val="6"/>
                <w:sz w:val="20"/>
                <w:szCs w:val="20"/>
                <w:highlight w:val="none"/>
                <w:lang w:val="en-US" w:eastAsia="zh-CN"/>
              </w:rPr>
            </w:pPr>
            <w:r>
              <w:rPr>
                <w:rFonts w:hint="eastAsia" w:eastAsia="仿宋" w:cs="Times New Roman"/>
                <w:spacing w:val="6"/>
                <w:sz w:val="20"/>
                <w:szCs w:val="20"/>
                <w:highlight w:val="none"/>
                <w:lang w:val="en-US" w:eastAsia="zh-CN"/>
              </w:rPr>
              <w:t>12</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0"/>
                <w:szCs w:val="20"/>
                <w:highlight w:val="none"/>
                <w:lang w:val="en-US" w:eastAsia="zh-CN"/>
              </w:rPr>
            </w:pPr>
            <w:r>
              <w:rPr>
                <w:rFonts w:hint="default" w:ascii="Times New Roman" w:hAnsi="Times New Roman" w:eastAsia="仿宋" w:cs="Times New Roman"/>
                <w:sz w:val="20"/>
                <w:szCs w:val="20"/>
                <w:highlight w:val="none"/>
                <w:lang w:val="en-US" w:eastAsia="zh-CN"/>
              </w:rPr>
              <w:t>2</w:t>
            </w:r>
          </w:p>
        </w:tc>
        <w:tc>
          <w:tcPr>
            <w:tcW w:w="65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0"/>
                <w:szCs w:val="20"/>
                <w:highlight w:val="none"/>
              </w:rPr>
            </w:pPr>
          </w:p>
        </w:tc>
        <w:tc>
          <w:tcPr>
            <w:tcW w:w="8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0"/>
                <w:szCs w:val="20"/>
                <w:highlight w:val="none"/>
              </w:rPr>
            </w:pPr>
            <w:r>
              <w:rPr>
                <w:rFonts w:hint="default" w:ascii="Times New Roman" w:hAnsi="Times New Roman" w:eastAsia="仿宋" w:cs="Times New Roman"/>
                <w:spacing w:val="6"/>
                <w:sz w:val="20"/>
                <w:szCs w:val="20"/>
                <w:highlight w:val="none"/>
              </w:rPr>
              <w:t>雨水管</w:t>
            </w:r>
            <w:r>
              <w:rPr>
                <w:rFonts w:hint="default" w:ascii="Times New Roman" w:hAnsi="Times New Roman" w:eastAsia="仿宋" w:cs="Times New Roman"/>
                <w:spacing w:val="5"/>
                <w:sz w:val="20"/>
                <w:szCs w:val="20"/>
                <w:highlight w:val="none"/>
              </w:rPr>
              <w:t>线</w:t>
            </w:r>
          </w:p>
        </w:tc>
        <w:tc>
          <w:tcPr>
            <w:tcW w:w="6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0"/>
                <w:szCs w:val="20"/>
                <w:highlight w:val="none"/>
              </w:rPr>
            </w:pPr>
            <w:r>
              <w:rPr>
                <w:rFonts w:hint="default" w:ascii="Times New Roman" w:hAnsi="Times New Roman" w:eastAsia="仿宋" w:cs="Times New Roman"/>
                <w:spacing w:val="5"/>
                <w:sz w:val="20"/>
                <w:szCs w:val="20"/>
                <w:highlight w:val="none"/>
              </w:rPr>
              <w:t>m</w:t>
            </w:r>
          </w:p>
        </w:tc>
        <w:tc>
          <w:tcPr>
            <w:tcW w:w="7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0"/>
                <w:szCs w:val="20"/>
                <w:highlight w:val="none"/>
                <w:lang w:val="en-US" w:eastAsia="zh-CN"/>
              </w:rPr>
            </w:pPr>
            <w:r>
              <w:rPr>
                <w:rFonts w:hint="eastAsia" w:eastAsia="仿宋" w:cs="Times New Roman"/>
                <w:spacing w:val="3"/>
                <w:sz w:val="20"/>
                <w:szCs w:val="20"/>
                <w:highlight w:val="none"/>
                <w:lang w:val="en-US" w:eastAsia="zh-CN"/>
              </w:rPr>
              <w:t>2600</w:t>
            </w:r>
          </w:p>
        </w:tc>
        <w:tc>
          <w:tcPr>
            <w:tcW w:w="7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0"/>
                <w:szCs w:val="20"/>
                <w:highlight w:val="none"/>
                <w:lang w:val="en-US" w:eastAsia="zh-CN"/>
              </w:rPr>
            </w:pPr>
            <w:r>
              <w:rPr>
                <w:rFonts w:hint="eastAsia" w:eastAsia="仿宋" w:cs="Times New Roman"/>
                <w:spacing w:val="3"/>
                <w:sz w:val="20"/>
                <w:szCs w:val="20"/>
                <w:highlight w:val="none"/>
                <w:lang w:val="en-US" w:eastAsia="zh-CN"/>
              </w:rPr>
              <w:t>1000</w:t>
            </w:r>
          </w:p>
        </w:tc>
        <w:tc>
          <w:tcPr>
            <w:tcW w:w="15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eastAsia="仿宋" w:cs="Times New Roman"/>
                <w:spacing w:val="6"/>
                <w:sz w:val="20"/>
                <w:szCs w:val="20"/>
                <w:highlight w:val="none"/>
                <w:lang w:val="en-US" w:eastAsia="zh-CN"/>
              </w:rPr>
            </w:pPr>
            <w:r>
              <w:rPr>
                <w:rFonts w:hint="eastAsia" w:eastAsia="仿宋" w:cs="Times New Roman"/>
                <w:spacing w:val="6"/>
                <w:sz w:val="20"/>
                <w:szCs w:val="20"/>
                <w:highlight w:val="none"/>
                <w:lang w:val="en-US" w:eastAsia="zh-CN"/>
              </w:rPr>
              <w:t>260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0"/>
                <w:szCs w:val="20"/>
                <w:highlight w:val="none"/>
                <w:lang w:val="en-US" w:eastAsia="zh-CN"/>
              </w:rPr>
            </w:pPr>
            <w:r>
              <w:rPr>
                <w:rFonts w:hint="default" w:ascii="Times New Roman" w:hAnsi="Times New Roman" w:eastAsia="仿宋" w:cs="Times New Roman"/>
                <w:sz w:val="20"/>
                <w:szCs w:val="20"/>
                <w:highlight w:val="none"/>
                <w:lang w:val="en-US" w:eastAsia="zh-CN"/>
              </w:rPr>
              <w:t>3</w:t>
            </w:r>
          </w:p>
        </w:tc>
        <w:tc>
          <w:tcPr>
            <w:tcW w:w="65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0"/>
                <w:szCs w:val="20"/>
                <w:highlight w:val="none"/>
              </w:rPr>
            </w:pPr>
          </w:p>
        </w:tc>
        <w:tc>
          <w:tcPr>
            <w:tcW w:w="8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0"/>
                <w:szCs w:val="20"/>
                <w:highlight w:val="none"/>
                <w:lang w:eastAsia="zh-CN"/>
              </w:rPr>
            </w:pPr>
            <w:r>
              <w:rPr>
                <w:rFonts w:hint="default" w:ascii="Times New Roman" w:hAnsi="Times New Roman" w:eastAsia="仿宋" w:cs="Times New Roman"/>
                <w:spacing w:val="-13"/>
                <w:sz w:val="20"/>
                <w:szCs w:val="20"/>
                <w:highlight w:val="none"/>
                <w:lang w:eastAsia="zh-CN"/>
              </w:rPr>
              <w:t>雨水</w:t>
            </w:r>
            <w:r>
              <w:rPr>
                <w:rFonts w:hint="eastAsia" w:eastAsia="仿宋" w:cs="Times New Roman"/>
                <w:spacing w:val="-13"/>
                <w:sz w:val="20"/>
                <w:szCs w:val="20"/>
                <w:highlight w:val="none"/>
                <w:lang w:val="en-US" w:eastAsia="zh-CN"/>
              </w:rPr>
              <w:t>口</w:t>
            </w:r>
          </w:p>
        </w:tc>
        <w:tc>
          <w:tcPr>
            <w:tcW w:w="6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0"/>
                <w:szCs w:val="20"/>
                <w:highlight w:val="none"/>
              </w:rPr>
            </w:pPr>
            <w:r>
              <w:rPr>
                <w:rFonts w:hint="default" w:ascii="Times New Roman" w:hAnsi="Times New Roman" w:eastAsia="仿宋" w:cs="Times New Roman"/>
                <w:sz w:val="20"/>
                <w:szCs w:val="20"/>
                <w:highlight w:val="none"/>
              </w:rPr>
              <w:t>个</w:t>
            </w:r>
          </w:p>
        </w:tc>
        <w:tc>
          <w:tcPr>
            <w:tcW w:w="7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0"/>
                <w:szCs w:val="20"/>
                <w:highlight w:val="none"/>
                <w:lang w:val="en-US" w:eastAsia="zh-CN"/>
              </w:rPr>
            </w:pPr>
            <w:r>
              <w:rPr>
                <w:rFonts w:hint="eastAsia" w:eastAsia="仿宋" w:cs="Times New Roman"/>
                <w:sz w:val="20"/>
                <w:szCs w:val="20"/>
                <w:highlight w:val="none"/>
                <w:lang w:val="en-US" w:eastAsia="zh-CN"/>
              </w:rPr>
              <w:t>260</w:t>
            </w:r>
          </w:p>
        </w:tc>
        <w:tc>
          <w:tcPr>
            <w:tcW w:w="7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0"/>
                <w:szCs w:val="20"/>
                <w:highlight w:val="none"/>
                <w:lang w:val="en-US" w:eastAsia="zh-CN"/>
              </w:rPr>
            </w:pPr>
            <w:r>
              <w:rPr>
                <w:rFonts w:hint="eastAsia" w:eastAsia="仿宋" w:cs="Times New Roman"/>
                <w:spacing w:val="2"/>
                <w:sz w:val="20"/>
                <w:szCs w:val="20"/>
                <w:highlight w:val="none"/>
                <w:lang w:val="en-US" w:eastAsia="zh-CN"/>
              </w:rPr>
              <w:t>500</w:t>
            </w:r>
          </w:p>
        </w:tc>
        <w:tc>
          <w:tcPr>
            <w:tcW w:w="15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eastAsia="仿宋" w:cs="Times New Roman"/>
                <w:spacing w:val="6"/>
                <w:sz w:val="20"/>
                <w:szCs w:val="20"/>
                <w:highlight w:val="none"/>
                <w:lang w:val="en-US" w:eastAsia="zh-CN"/>
              </w:rPr>
            </w:pPr>
            <w:r>
              <w:rPr>
                <w:rFonts w:hint="eastAsia" w:eastAsia="仿宋" w:cs="Times New Roman"/>
                <w:spacing w:val="6"/>
                <w:sz w:val="20"/>
                <w:szCs w:val="20"/>
                <w:highlight w:val="none"/>
                <w:lang w:val="en-US" w:eastAsia="zh-CN"/>
              </w:rPr>
              <w:t>13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pacing w:val="6"/>
                <w:sz w:val="20"/>
                <w:szCs w:val="20"/>
                <w:highlight w:val="none"/>
                <w:lang w:val="en-US" w:eastAsia="zh-CN"/>
              </w:rPr>
            </w:pPr>
            <w:r>
              <w:rPr>
                <w:rFonts w:hint="default" w:ascii="Times New Roman" w:hAnsi="Times New Roman" w:eastAsia="仿宋" w:cs="Times New Roman"/>
                <w:spacing w:val="6"/>
                <w:sz w:val="20"/>
                <w:szCs w:val="20"/>
                <w:highlight w:val="none"/>
                <w:lang w:val="en-US" w:eastAsia="zh-CN"/>
              </w:rPr>
              <w:t>4</w:t>
            </w:r>
          </w:p>
        </w:tc>
        <w:tc>
          <w:tcPr>
            <w:tcW w:w="6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0"/>
                <w:szCs w:val="20"/>
                <w:highlight w:val="none"/>
              </w:rPr>
            </w:pPr>
            <w:r>
              <w:rPr>
                <w:rFonts w:hint="default" w:ascii="Times New Roman" w:hAnsi="Times New Roman" w:eastAsia="仿宋" w:cs="Times New Roman"/>
                <w:spacing w:val="6"/>
                <w:sz w:val="20"/>
                <w:szCs w:val="20"/>
                <w:highlight w:val="none"/>
              </w:rPr>
              <w:t>植物措施</w:t>
            </w:r>
          </w:p>
        </w:tc>
        <w:tc>
          <w:tcPr>
            <w:tcW w:w="8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 w:cs="Times New Roman"/>
                <w:kern w:val="2"/>
                <w:sz w:val="20"/>
                <w:szCs w:val="20"/>
                <w:highlight w:val="none"/>
                <w:lang w:val="en-US" w:eastAsia="zh-CN" w:bidi="ar-SA"/>
              </w:rPr>
            </w:pPr>
            <w:r>
              <w:rPr>
                <w:rFonts w:hint="default" w:ascii="Times New Roman" w:hAnsi="Times New Roman" w:eastAsia="仿宋" w:cs="Times New Roman"/>
                <w:spacing w:val="8"/>
                <w:sz w:val="20"/>
                <w:szCs w:val="20"/>
                <w:highlight w:val="none"/>
                <w:lang w:val="en-US" w:eastAsia="zh-CN"/>
              </w:rPr>
              <w:t>绿化</w:t>
            </w:r>
          </w:p>
        </w:tc>
        <w:tc>
          <w:tcPr>
            <w:tcW w:w="6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 w:cs="Times New Roman"/>
                <w:kern w:val="2"/>
                <w:sz w:val="20"/>
                <w:szCs w:val="20"/>
                <w:highlight w:val="none"/>
                <w:lang w:val="en-US" w:eastAsia="zh-CN" w:bidi="ar-SA"/>
              </w:rPr>
            </w:pPr>
            <w:r>
              <w:rPr>
                <w:rFonts w:hint="default" w:ascii="Times New Roman" w:hAnsi="Times New Roman" w:eastAsia="仿宋" w:cs="Times New Roman"/>
                <w:sz w:val="20"/>
                <w:szCs w:val="20"/>
                <w:highlight w:val="none"/>
              </w:rPr>
              <w:t>m</w:t>
            </w:r>
            <w:r>
              <w:rPr>
                <w:rFonts w:hint="default" w:ascii="Times New Roman" w:hAnsi="Times New Roman" w:eastAsia="仿宋" w:cs="Times New Roman"/>
                <w:spacing w:val="8"/>
                <w:sz w:val="20"/>
                <w:szCs w:val="20"/>
                <w:highlight w:val="none"/>
              </w:rPr>
              <w:t>²</w:t>
            </w:r>
          </w:p>
        </w:tc>
        <w:tc>
          <w:tcPr>
            <w:tcW w:w="7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 w:cs="Times New Roman"/>
                <w:kern w:val="2"/>
                <w:sz w:val="20"/>
                <w:szCs w:val="20"/>
                <w:highlight w:val="none"/>
                <w:lang w:val="en-US" w:eastAsia="zh-CN" w:bidi="ar-SA"/>
              </w:rPr>
            </w:pPr>
            <w:r>
              <w:rPr>
                <w:rFonts w:hint="eastAsia" w:eastAsia="仿宋" w:cs="Times New Roman"/>
                <w:spacing w:val="2"/>
                <w:sz w:val="20"/>
                <w:szCs w:val="20"/>
                <w:highlight w:val="none"/>
                <w:lang w:eastAsia="zh-CN"/>
              </w:rPr>
              <w:t>39933.28</w:t>
            </w:r>
          </w:p>
        </w:tc>
        <w:tc>
          <w:tcPr>
            <w:tcW w:w="7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 w:cs="Times New Roman"/>
                <w:kern w:val="2"/>
                <w:sz w:val="20"/>
                <w:szCs w:val="20"/>
                <w:highlight w:val="none"/>
                <w:lang w:val="en-US" w:eastAsia="zh-CN" w:bidi="ar-SA"/>
              </w:rPr>
            </w:pPr>
            <w:r>
              <w:rPr>
                <w:rFonts w:hint="eastAsia" w:eastAsia="仿宋" w:cs="Times New Roman"/>
                <w:spacing w:val="6"/>
                <w:sz w:val="20"/>
                <w:szCs w:val="20"/>
                <w:highlight w:val="none"/>
                <w:lang w:val="en-US" w:eastAsia="zh-CN"/>
              </w:rPr>
              <w:t>120</w:t>
            </w:r>
          </w:p>
        </w:tc>
        <w:tc>
          <w:tcPr>
            <w:tcW w:w="15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eastAsia="仿宋" w:cs="Times New Roman"/>
                <w:spacing w:val="6"/>
                <w:sz w:val="20"/>
                <w:szCs w:val="20"/>
                <w:highlight w:val="none"/>
                <w:lang w:val="en-US" w:eastAsia="zh-CN"/>
              </w:rPr>
            </w:pPr>
            <w:r>
              <w:rPr>
                <w:rFonts w:hint="eastAsia" w:eastAsia="仿宋" w:cs="Times New Roman"/>
                <w:spacing w:val="6"/>
                <w:sz w:val="20"/>
                <w:szCs w:val="20"/>
                <w:highlight w:val="none"/>
                <w:lang w:val="en-US" w:eastAsia="zh-CN"/>
              </w:rPr>
              <w:t>479.20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pacing w:val="3"/>
                <w:sz w:val="20"/>
                <w:szCs w:val="20"/>
                <w:highlight w:val="none"/>
                <w:lang w:val="en-US" w:eastAsia="zh-CN"/>
              </w:rPr>
            </w:pPr>
            <w:r>
              <w:rPr>
                <w:rFonts w:hint="default" w:ascii="Times New Roman" w:hAnsi="Times New Roman" w:eastAsia="仿宋" w:cs="Times New Roman"/>
                <w:spacing w:val="3"/>
                <w:sz w:val="20"/>
                <w:szCs w:val="20"/>
                <w:highlight w:val="none"/>
                <w:lang w:val="en-US" w:eastAsia="zh-CN"/>
              </w:rPr>
              <w:t>5</w:t>
            </w:r>
          </w:p>
        </w:tc>
        <w:tc>
          <w:tcPr>
            <w:tcW w:w="6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0"/>
                <w:szCs w:val="20"/>
                <w:highlight w:val="none"/>
              </w:rPr>
            </w:pPr>
            <w:r>
              <w:rPr>
                <w:rFonts w:hint="default" w:ascii="Times New Roman" w:hAnsi="Times New Roman" w:eastAsia="仿宋" w:cs="Times New Roman"/>
                <w:spacing w:val="3"/>
                <w:sz w:val="20"/>
                <w:szCs w:val="20"/>
                <w:highlight w:val="none"/>
              </w:rPr>
              <w:t>临时措</w:t>
            </w:r>
            <w:r>
              <w:rPr>
                <w:rFonts w:hint="default" w:ascii="Times New Roman" w:hAnsi="Times New Roman" w:eastAsia="仿宋" w:cs="Times New Roman"/>
                <w:spacing w:val="2"/>
                <w:sz w:val="20"/>
                <w:szCs w:val="20"/>
                <w:highlight w:val="none"/>
              </w:rPr>
              <w:t>施</w:t>
            </w:r>
          </w:p>
        </w:tc>
        <w:tc>
          <w:tcPr>
            <w:tcW w:w="8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 w:cs="Times New Roman"/>
                <w:spacing w:val="6"/>
                <w:kern w:val="2"/>
                <w:sz w:val="20"/>
                <w:szCs w:val="20"/>
                <w:highlight w:val="none"/>
                <w:lang w:val="en-US" w:eastAsia="zh-CN" w:bidi="ar-SA"/>
              </w:rPr>
            </w:pPr>
            <w:r>
              <w:rPr>
                <w:rFonts w:hint="default" w:ascii="Times New Roman" w:hAnsi="Times New Roman" w:eastAsia="仿宋" w:cs="Times New Roman"/>
                <w:spacing w:val="6"/>
                <w:sz w:val="20"/>
                <w:szCs w:val="20"/>
                <w:highlight w:val="none"/>
                <w:lang w:val="en-US" w:eastAsia="zh-CN"/>
              </w:rPr>
              <w:t>密目网苫盖</w:t>
            </w:r>
          </w:p>
        </w:tc>
        <w:tc>
          <w:tcPr>
            <w:tcW w:w="6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 w:cs="Times New Roman"/>
                <w:kern w:val="2"/>
                <w:sz w:val="20"/>
                <w:szCs w:val="20"/>
                <w:highlight w:val="none"/>
                <w:lang w:val="en-US" w:eastAsia="zh-CN" w:bidi="ar-SA"/>
              </w:rPr>
            </w:pPr>
            <w:r>
              <w:rPr>
                <w:rFonts w:hint="default" w:ascii="Times New Roman" w:hAnsi="Times New Roman" w:eastAsia="仿宋" w:cs="Times New Roman"/>
                <w:sz w:val="20"/>
                <w:szCs w:val="20"/>
                <w:highlight w:val="none"/>
              </w:rPr>
              <w:t>m</w:t>
            </w:r>
            <w:r>
              <w:rPr>
                <w:rFonts w:hint="default" w:ascii="Times New Roman" w:hAnsi="Times New Roman" w:eastAsia="仿宋" w:cs="Times New Roman"/>
                <w:spacing w:val="8"/>
                <w:sz w:val="20"/>
                <w:szCs w:val="20"/>
                <w:highlight w:val="none"/>
              </w:rPr>
              <w:t>²</w:t>
            </w:r>
          </w:p>
        </w:tc>
        <w:tc>
          <w:tcPr>
            <w:tcW w:w="7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 w:cs="Times New Roman"/>
                <w:kern w:val="2"/>
                <w:sz w:val="20"/>
                <w:szCs w:val="20"/>
                <w:highlight w:val="none"/>
                <w:lang w:val="en-US" w:eastAsia="zh-CN" w:bidi="ar-SA"/>
              </w:rPr>
            </w:pPr>
            <w:r>
              <w:rPr>
                <w:rFonts w:hint="eastAsia" w:eastAsia="仿宋" w:cs="Times New Roman"/>
                <w:sz w:val="20"/>
                <w:szCs w:val="20"/>
                <w:highlight w:val="none"/>
                <w:lang w:val="en-US" w:eastAsia="zh-CN"/>
              </w:rPr>
              <w:t>2965</w:t>
            </w:r>
          </w:p>
        </w:tc>
        <w:tc>
          <w:tcPr>
            <w:tcW w:w="7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 w:cs="Times New Roman"/>
                <w:spacing w:val="6"/>
                <w:kern w:val="2"/>
                <w:sz w:val="20"/>
                <w:szCs w:val="20"/>
                <w:highlight w:val="none"/>
                <w:lang w:val="en-US" w:eastAsia="zh-CN" w:bidi="ar-SA"/>
              </w:rPr>
            </w:pPr>
            <w:r>
              <w:rPr>
                <w:rFonts w:hint="eastAsia" w:eastAsia="仿宋" w:cs="Times New Roman"/>
                <w:spacing w:val="6"/>
                <w:sz w:val="20"/>
                <w:szCs w:val="20"/>
                <w:highlight w:val="none"/>
                <w:lang w:val="en-US" w:eastAsia="zh-CN"/>
              </w:rPr>
              <w:t>5</w:t>
            </w:r>
          </w:p>
        </w:tc>
        <w:tc>
          <w:tcPr>
            <w:tcW w:w="15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eastAsia="仿宋" w:cs="Times New Roman"/>
                <w:spacing w:val="6"/>
                <w:sz w:val="20"/>
                <w:szCs w:val="20"/>
                <w:highlight w:val="none"/>
                <w:lang w:val="en-US" w:eastAsia="zh-CN"/>
              </w:rPr>
            </w:pPr>
            <w:r>
              <w:rPr>
                <w:rFonts w:hint="eastAsia" w:eastAsia="仿宋" w:cs="Times New Roman"/>
                <w:spacing w:val="6"/>
                <w:sz w:val="20"/>
                <w:szCs w:val="20"/>
                <w:highlight w:val="none"/>
                <w:lang w:val="en-US" w:eastAsia="zh-CN"/>
              </w:rPr>
              <w:t>1.48</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069" w:type="pct"/>
            <w:gridSpan w:val="6"/>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0"/>
                <w:szCs w:val="20"/>
                <w:highlight w:val="none"/>
              </w:rPr>
            </w:pPr>
            <w:r>
              <w:rPr>
                <w:rFonts w:hint="default" w:ascii="Times New Roman" w:hAnsi="Times New Roman" w:eastAsia="仿宋" w:cs="Times New Roman"/>
                <w:spacing w:val="-1"/>
                <w:sz w:val="20"/>
                <w:szCs w:val="20"/>
                <w:highlight w:val="none"/>
              </w:rPr>
              <w:t>合计</w:t>
            </w:r>
          </w:p>
        </w:tc>
        <w:tc>
          <w:tcPr>
            <w:tcW w:w="15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eastAsia="仿宋" w:cs="Times New Roman"/>
                <w:spacing w:val="6"/>
                <w:sz w:val="20"/>
                <w:szCs w:val="20"/>
                <w:highlight w:val="none"/>
                <w:lang w:val="en-US" w:eastAsia="zh-CN"/>
              </w:rPr>
            </w:pPr>
            <w:r>
              <w:rPr>
                <w:rFonts w:hint="eastAsia" w:eastAsia="仿宋" w:cs="Times New Roman"/>
                <w:spacing w:val="6"/>
                <w:sz w:val="20"/>
                <w:szCs w:val="20"/>
                <w:highlight w:val="none"/>
                <w:lang w:val="en-US" w:eastAsia="zh-CN"/>
              </w:rPr>
              <w:t>765.68</w:t>
            </w:r>
          </w:p>
        </w:tc>
      </w:tr>
    </w:tbl>
    <w:p>
      <w:pPr>
        <w:pStyle w:val="164"/>
        <w:pageBreakBefore w:val="0"/>
        <w:kinsoku/>
        <w:wordWrap/>
        <w:bidi w:val="0"/>
        <w:spacing w:line="360" w:lineRule="auto"/>
        <w:ind w:firstLine="0" w:firstLineChars="0"/>
        <w:rPr>
          <w:rFonts w:hint="default" w:ascii="Times New Roman" w:hAnsi="Times New Roman" w:eastAsia="仿宋_GB2312" w:cs="Times New Roman"/>
          <w:szCs w:val="28"/>
          <w:highlight w:val="none"/>
        </w:rPr>
      </w:pPr>
    </w:p>
    <w:p>
      <w:pPr>
        <w:pStyle w:val="164"/>
        <w:pageBreakBefore w:val="0"/>
        <w:kinsoku/>
        <w:wordWrap/>
        <w:bidi w:val="0"/>
        <w:spacing w:line="360" w:lineRule="auto"/>
        <w:ind w:firstLine="0" w:firstLineChars="0"/>
        <w:jc w:val="center"/>
        <w:rPr>
          <w:rFonts w:hint="default" w:ascii="Times New Roman" w:hAnsi="Times New Roman" w:eastAsia="仿宋_GB2312" w:cs="Times New Roman"/>
          <w:highlight w:val="none"/>
        </w:rPr>
        <w:sectPr>
          <w:headerReference r:id="rId16" w:type="default"/>
          <w:footerReference r:id="rId17" w:type="default"/>
          <w:pgSz w:w="11906" w:h="16838"/>
          <w:pgMar w:top="1418" w:right="1701" w:bottom="1418" w:left="1797" w:header="851" w:footer="992" w:gutter="0"/>
          <w:pgBorders>
            <w:top w:val="none" w:sz="0" w:space="0"/>
            <w:left w:val="none" w:sz="0" w:space="0"/>
            <w:bottom w:val="none" w:sz="0" w:space="0"/>
            <w:right w:val="none" w:sz="0" w:space="0"/>
          </w:pgBorders>
          <w:pgNumType w:fmt="decimal"/>
          <w:cols w:space="720" w:num="1"/>
          <w:docGrid w:linePitch="312" w:charSpace="0"/>
        </w:sectPr>
      </w:pPr>
    </w:p>
    <w:bookmarkEnd w:id="211"/>
    <w:bookmarkEnd w:id="212"/>
    <w:bookmarkEnd w:id="213"/>
    <w:bookmarkEnd w:id="214"/>
    <w:p>
      <w:pPr>
        <w:pStyle w:val="4"/>
        <w:bidi w:val="0"/>
        <w:rPr>
          <w:rFonts w:hint="default" w:ascii="Times New Roman" w:hAnsi="Times New Roman" w:cs="Times New Roman"/>
        </w:rPr>
      </w:pPr>
      <w:bookmarkStart w:id="220" w:name="_Toc21341"/>
      <w:bookmarkStart w:id="221" w:name="_Toc5520"/>
      <w:bookmarkStart w:id="222" w:name="_Toc25306"/>
      <w:r>
        <w:rPr>
          <w:rFonts w:hint="default" w:ascii="Times New Roman" w:hAnsi="Times New Roman" w:cs="Times New Roman"/>
        </w:rPr>
        <w:t>4水土流失分析</w:t>
      </w:r>
      <w:bookmarkEnd w:id="201"/>
      <w:bookmarkEnd w:id="202"/>
      <w:bookmarkEnd w:id="203"/>
      <w:r>
        <w:rPr>
          <w:rFonts w:hint="default" w:ascii="Times New Roman" w:hAnsi="Times New Roman" w:cs="Times New Roman"/>
        </w:rPr>
        <w:t>与预测</w:t>
      </w:r>
      <w:bookmarkEnd w:id="220"/>
      <w:bookmarkEnd w:id="221"/>
      <w:bookmarkEnd w:id="222"/>
    </w:p>
    <w:p>
      <w:pPr>
        <w:pStyle w:val="5"/>
        <w:bidi w:val="0"/>
        <w:rPr>
          <w:rFonts w:hint="default" w:ascii="Times New Roman" w:hAnsi="Times New Roman" w:cs="Times New Roman"/>
        </w:rPr>
      </w:pPr>
      <w:bookmarkStart w:id="223" w:name="_Toc235255261"/>
      <w:bookmarkStart w:id="224" w:name="_Toc232323112"/>
      <w:bookmarkStart w:id="225" w:name="_Toc227034470"/>
      <w:bookmarkStart w:id="226" w:name="_Toc237622172"/>
      <w:bookmarkStart w:id="227" w:name="_Toc11177"/>
      <w:bookmarkStart w:id="228" w:name="_Toc15355"/>
      <w:bookmarkStart w:id="229" w:name="_Toc9669"/>
      <w:bookmarkStart w:id="230" w:name="_Toc85681708"/>
      <w:bookmarkStart w:id="231" w:name="_Toc80407935"/>
      <w:bookmarkStart w:id="232" w:name="_Toc79407945"/>
      <w:bookmarkStart w:id="233" w:name="_Toc79055648"/>
      <w:bookmarkStart w:id="234" w:name="_Toc93231903"/>
      <w:bookmarkStart w:id="235" w:name="_Toc85682073"/>
      <w:bookmarkStart w:id="236" w:name="_Toc84903155"/>
      <w:bookmarkStart w:id="237" w:name="_Toc93231798"/>
      <w:bookmarkStart w:id="238" w:name="_Toc84903323"/>
      <w:bookmarkStart w:id="239" w:name="_Toc85683216"/>
      <w:bookmarkStart w:id="240" w:name="_Toc85905615"/>
      <w:bookmarkStart w:id="241" w:name="_Toc79483666"/>
      <w:bookmarkStart w:id="242" w:name="_Toc84902802"/>
      <w:bookmarkStart w:id="243" w:name="_Toc85905488"/>
      <w:bookmarkStart w:id="244" w:name="_Toc93562127"/>
      <w:bookmarkStart w:id="245" w:name="_Toc84902407"/>
      <w:bookmarkStart w:id="246" w:name="_Toc80670678"/>
      <w:bookmarkStart w:id="247" w:name="_Toc84903267"/>
      <w:bookmarkStart w:id="248" w:name="_Toc85681946"/>
      <w:r>
        <w:rPr>
          <w:rFonts w:hint="default" w:ascii="Times New Roman" w:hAnsi="Times New Roman" w:cs="Times New Roman"/>
        </w:rPr>
        <w:t>4.1</w:t>
      </w:r>
      <w:bookmarkEnd w:id="223"/>
      <w:bookmarkEnd w:id="224"/>
      <w:bookmarkEnd w:id="225"/>
      <w:bookmarkEnd w:id="226"/>
      <w:r>
        <w:rPr>
          <w:rFonts w:hint="default" w:ascii="Times New Roman" w:hAnsi="Times New Roman" w:cs="Times New Roman"/>
        </w:rPr>
        <w:t>水土流失现状</w:t>
      </w:r>
      <w:bookmarkEnd w:id="227"/>
      <w:bookmarkEnd w:id="228"/>
      <w:bookmarkEnd w:id="229"/>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根据《全国水土保持区划》，项目区所在区域属东北黑土区。根据《吉林省水土保持规划</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2016-2030年</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》，项目区位于东北漫川漫岗国家级水土流失重点治理区。水土流失类型以水力侵蚀为主，根据项目区内的土地利用现状、林草覆盖率、降雨、地形地貌、土壤、人类活动</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施工</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等影响因素，结合土壤侵蚀分类分级标准进行评判，确定项目区原生土壤侵蚀模数为</w:t>
      </w:r>
      <w:r>
        <w:rPr>
          <w:rFonts w:hint="default" w:ascii="Times New Roman" w:hAnsi="Times New Roman" w:eastAsia="仿宋_GB2312" w:cs="Times New Roman"/>
          <w:sz w:val="24"/>
          <w:szCs w:val="24"/>
          <w:lang w:val="en-US" w:eastAsia="zh-CN"/>
        </w:rPr>
        <w:t>4</w:t>
      </w:r>
      <w:r>
        <w:rPr>
          <w:rFonts w:hint="default" w:ascii="Times New Roman" w:hAnsi="Times New Roman" w:eastAsia="仿宋_GB2312" w:cs="Times New Roman"/>
          <w:sz w:val="24"/>
          <w:szCs w:val="24"/>
        </w:rPr>
        <w:t>00t/(km²·a)，容许土壤流失量为200t/(km²·a)。根据《吉林省水土保持公报</w:t>
      </w:r>
      <w:r>
        <w:rPr>
          <w:rFonts w:hint="eastAsia" w:eastAsia="仿宋_GB2312" w:cs="Times New Roman"/>
          <w:sz w:val="24"/>
          <w:szCs w:val="24"/>
          <w:lang w:val="en-US" w:eastAsia="zh-CN"/>
        </w:rPr>
        <w:t>2021</w:t>
      </w:r>
      <w:r>
        <w:rPr>
          <w:rFonts w:hint="default" w:ascii="Times New Roman" w:hAnsi="Times New Roman" w:eastAsia="仿宋_GB2312" w:cs="Times New Roman"/>
          <w:sz w:val="24"/>
          <w:szCs w:val="24"/>
        </w:rPr>
        <w:t>年》，</w:t>
      </w:r>
      <w:r>
        <w:rPr>
          <w:rFonts w:hint="default" w:ascii="Times New Roman" w:hAnsi="Times New Roman" w:eastAsia="仿宋_GB2312" w:cs="Times New Roman"/>
          <w:sz w:val="24"/>
          <w:szCs w:val="24"/>
          <w:lang w:eastAsia="zh-CN"/>
        </w:rPr>
        <w:t>二道区</w:t>
      </w:r>
      <w:r>
        <w:rPr>
          <w:rFonts w:hint="default" w:ascii="Times New Roman" w:hAnsi="Times New Roman" w:eastAsia="仿宋_GB2312" w:cs="Times New Roman"/>
          <w:sz w:val="24"/>
          <w:szCs w:val="24"/>
        </w:rPr>
        <w:t>土壤侵蚀类型为水力侵蚀，水土流失总面积为</w:t>
      </w:r>
      <w:r>
        <w:rPr>
          <w:rFonts w:hint="eastAsia" w:eastAsia="仿宋_GB2312" w:cs="Times New Roman"/>
          <w:sz w:val="24"/>
          <w:szCs w:val="24"/>
          <w:lang w:eastAsia="zh-CN"/>
        </w:rPr>
        <w:t>310.35</w:t>
      </w:r>
      <w:r>
        <w:rPr>
          <w:rFonts w:hint="default" w:ascii="Times New Roman" w:hAnsi="Times New Roman" w:eastAsia="仿宋_GB2312" w:cs="Times New Roman"/>
          <w:sz w:val="24"/>
          <w:szCs w:val="24"/>
          <w:lang w:eastAsia="zh-CN"/>
        </w:rPr>
        <w:t>km²</w:t>
      </w:r>
      <w:r>
        <w:rPr>
          <w:rFonts w:hint="default" w:ascii="Times New Roman" w:hAnsi="Times New Roman" w:eastAsia="仿宋_GB2312" w:cs="Times New Roman"/>
          <w:sz w:val="24"/>
          <w:szCs w:val="24"/>
        </w:rPr>
        <w:t>，其中轻度侵蚀</w:t>
      </w:r>
      <w:r>
        <w:rPr>
          <w:rFonts w:hint="eastAsia" w:eastAsia="仿宋_GB2312" w:cs="Times New Roman"/>
          <w:sz w:val="24"/>
          <w:szCs w:val="24"/>
          <w:lang w:val="en-US" w:eastAsia="zh-CN"/>
        </w:rPr>
        <w:t>285.96</w:t>
      </w:r>
      <w:r>
        <w:rPr>
          <w:rFonts w:hint="default" w:ascii="Times New Roman" w:hAnsi="Times New Roman" w:eastAsia="仿宋_GB2312" w:cs="Times New Roman"/>
          <w:sz w:val="24"/>
          <w:szCs w:val="24"/>
          <w:lang w:eastAsia="zh-CN"/>
        </w:rPr>
        <w:t>km²</w:t>
      </w:r>
      <w:r>
        <w:rPr>
          <w:rFonts w:hint="default" w:ascii="Times New Roman" w:hAnsi="Times New Roman" w:eastAsia="仿宋_GB2312" w:cs="Times New Roman"/>
          <w:sz w:val="24"/>
          <w:szCs w:val="24"/>
        </w:rPr>
        <w:t>，中度侵蚀</w:t>
      </w:r>
      <w:r>
        <w:rPr>
          <w:rFonts w:hint="eastAsia" w:eastAsia="仿宋_GB2312" w:cs="Times New Roman"/>
          <w:sz w:val="24"/>
          <w:szCs w:val="24"/>
          <w:lang w:val="en-US" w:eastAsia="zh-CN"/>
        </w:rPr>
        <w:t>19.94</w:t>
      </w:r>
      <w:r>
        <w:rPr>
          <w:rFonts w:hint="default" w:ascii="Times New Roman" w:hAnsi="Times New Roman" w:eastAsia="仿宋_GB2312" w:cs="Times New Roman"/>
          <w:sz w:val="24"/>
          <w:szCs w:val="24"/>
          <w:lang w:eastAsia="zh-CN"/>
        </w:rPr>
        <w:t>km²</w:t>
      </w:r>
      <w:r>
        <w:rPr>
          <w:rFonts w:hint="default" w:ascii="Times New Roman" w:hAnsi="Times New Roman" w:eastAsia="仿宋_GB2312" w:cs="Times New Roman"/>
          <w:sz w:val="24"/>
          <w:szCs w:val="24"/>
        </w:rPr>
        <w:t>，强烈侵蚀</w:t>
      </w:r>
      <w:r>
        <w:rPr>
          <w:rFonts w:hint="eastAsia" w:eastAsia="仿宋_GB2312" w:cs="Times New Roman"/>
          <w:sz w:val="24"/>
          <w:szCs w:val="24"/>
          <w:lang w:val="en-US" w:eastAsia="zh-CN"/>
        </w:rPr>
        <w:t>3.67</w:t>
      </w:r>
      <w:r>
        <w:rPr>
          <w:rFonts w:hint="default" w:ascii="Times New Roman" w:hAnsi="Times New Roman" w:eastAsia="仿宋_GB2312" w:cs="Times New Roman"/>
          <w:sz w:val="24"/>
          <w:szCs w:val="24"/>
          <w:lang w:eastAsia="zh-CN"/>
        </w:rPr>
        <w:t>km²</w:t>
      </w:r>
      <w:r>
        <w:rPr>
          <w:rFonts w:hint="default" w:ascii="Times New Roman" w:hAnsi="Times New Roman" w:eastAsia="仿宋_GB2312" w:cs="Times New Roman"/>
          <w:sz w:val="24"/>
          <w:szCs w:val="24"/>
        </w:rPr>
        <w:t>，极强烈侵蚀</w:t>
      </w:r>
      <w:r>
        <w:rPr>
          <w:rFonts w:hint="eastAsia" w:eastAsia="仿宋_GB2312" w:cs="Times New Roman"/>
          <w:sz w:val="24"/>
          <w:szCs w:val="24"/>
          <w:lang w:val="en-US" w:eastAsia="zh-CN"/>
        </w:rPr>
        <w:t>0.76</w:t>
      </w:r>
      <w:r>
        <w:rPr>
          <w:rFonts w:hint="default" w:ascii="Times New Roman" w:hAnsi="Times New Roman" w:eastAsia="仿宋_GB2312" w:cs="Times New Roman"/>
          <w:sz w:val="24"/>
          <w:szCs w:val="24"/>
          <w:lang w:eastAsia="zh-CN"/>
        </w:rPr>
        <w:t>km²，</w:t>
      </w:r>
      <w:r>
        <w:rPr>
          <w:rFonts w:hint="default" w:ascii="Times New Roman" w:hAnsi="Times New Roman" w:eastAsia="仿宋_GB2312" w:cs="Times New Roman"/>
          <w:sz w:val="24"/>
          <w:szCs w:val="24"/>
          <w:lang w:val="en-US" w:eastAsia="zh-CN"/>
        </w:rPr>
        <w:t>剧烈</w:t>
      </w:r>
      <w:r>
        <w:rPr>
          <w:rFonts w:hint="default" w:ascii="Times New Roman" w:hAnsi="Times New Roman" w:eastAsia="仿宋_GB2312" w:cs="Times New Roman"/>
          <w:sz w:val="24"/>
          <w:szCs w:val="24"/>
        </w:rPr>
        <w:t>侵蚀</w:t>
      </w:r>
      <w:r>
        <w:rPr>
          <w:rFonts w:hint="default" w:ascii="Times New Roman" w:hAnsi="Times New Roman" w:eastAsia="仿宋_GB2312" w:cs="Times New Roman"/>
          <w:sz w:val="24"/>
          <w:szCs w:val="24"/>
          <w:lang w:val="en-US" w:eastAsia="zh-CN"/>
        </w:rPr>
        <w:t>0.0</w:t>
      </w:r>
      <w:r>
        <w:rPr>
          <w:rFonts w:hint="eastAsia" w:eastAsia="仿宋_GB2312" w:cs="Times New Roman"/>
          <w:sz w:val="24"/>
          <w:szCs w:val="24"/>
          <w:lang w:val="en-US" w:eastAsia="zh-CN"/>
        </w:rPr>
        <w:t>2</w:t>
      </w:r>
      <w:r>
        <w:rPr>
          <w:rFonts w:hint="default" w:ascii="Times New Roman" w:hAnsi="Times New Roman" w:eastAsia="仿宋_GB2312" w:cs="Times New Roman"/>
          <w:sz w:val="24"/>
          <w:szCs w:val="24"/>
          <w:lang w:eastAsia="zh-CN"/>
        </w:rPr>
        <w:t>km²。</w:t>
      </w:r>
      <w:r>
        <w:rPr>
          <w:rFonts w:hint="default" w:ascii="Times New Roman" w:hAnsi="Times New Roman" w:eastAsia="仿宋_GB2312" w:cs="Times New Roman"/>
          <w:sz w:val="24"/>
          <w:szCs w:val="24"/>
        </w:rPr>
        <w:t>项目涉及区域土壤侵蚀情况见表4-1。</w:t>
      </w:r>
    </w:p>
    <w:p>
      <w:pPr>
        <w:pStyle w:val="164"/>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val="0"/>
          <w:bCs w:val="0"/>
          <w:sz w:val="21"/>
          <w:szCs w:val="21"/>
          <w:highlight w:val="none"/>
          <w:lang w:eastAsia="zh-CN"/>
        </w:rPr>
      </w:pPr>
      <w:r>
        <w:rPr>
          <w:rFonts w:hint="default" w:ascii="Times New Roman" w:hAnsi="Times New Roman" w:eastAsia="微软雅黑" w:cs="Times New Roman"/>
          <w:b w:val="0"/>
          <w:bCs w:val="0"/>
          <w:sz w:val="21"/>
          <w:szCs w:val="21"/>
          <w:highlight w:val="none"/>
        </w:rPr>
        <w:t>表4-1</w:t>
      </w:r>
      <w:r>
        <w:rPr>
          <w:rFonts w:hint="default" w:ascii="Times New Roman" w:hAnsi="Times New Roman" w:eastAsia="微软雅黑" w:cs="Times New Roman"/>
          <w:b w:val="0"/>
          <w:bCs w:val="0"/>
          <w:sz w:val="21"/>
          <w:szCs w:val="21"/>
          <w:highlight w:val="none"/>
          <w:lang w:val="en-US" w:eastAsia="zh-CN"/>
        </w:rPr>
        <w:t xml:space="preserve">  </w:t>
      </w:r>
      <w:r>
        <w:rPr>
          <w:rFonts w:hint="default" w:ascii="Times New Roman" w:hAnsi="Times New Roman" w:eastAsia="微软雅黑" w:cs="Times New Roman"/>
          <w:b w:val="0"/>
          <w:bCs w:val="0"/>
          <w:sz w:val="21"/>
          <w:szCs w:val="21"/>
          <w:highlight w:val="none"/>
          <w:lang w:eastAsia="zh-CN"/>
        </w:rPr>
        <w:t>二道区</w:t>
      </w:r>
      <w:r>
        <w:rPr>
          <w:rFonts w:hint="default" w:ascii="Times New Roman" w:hAnsi="Times New Roman" w:eastAsia="微软雅黑" w:cs="Times New Roman"/>
          <w:b w:val="0"/>
          <w:bCs w:val="0"/>
          <w:sz w:val="21"/>
          <w:szCs w:val="21"/>
          <w:highlight w:val="none"/>
        </w:rPr>
        <w:t>水土流失情况一览表</w:t>
      </w:r>
    </w:p>
    <w:p>
      <w:pPr>
        <w:keepNext w:val="0"/>
        <w:keepLines w:val="0"/>
        <w:pageBreakBefore w:val="0"/>
        <w:widowControl w:val="0"/>
        <w:kinsoku/>
        <w:wordWrap/>
        <w:overflowPunct/>
        <w:topLinePunct w:val="0"/>
        <w:autoSpaceDE/>
        <w:autoSpaceDN/>
        <w:bidi w:val="0"/>
        <w:adjustRightInd/>
        <w:snapToGrid w:val="0"/>
        <w:jc w:val="right"/>
        <w:textAlignment w:val="auto"/>
        <w:rPr>
          <w:rFonts w:hint="default" w:ascii="Times New Roman" w:hAnsi="Times New Roman" w:eastAsia="仿宋_GB2312" w:cs="Times New Roman"/>
          <w:b/>
          <w:bCs/>
          <w:sz w:val="18"/>
          <w:szCs w:val="18"/>
          <w:highlight w:val="none"/>
          <w:lang w:eastAsia="zh-CN"/>
        </w:rPr>
      </w:pPr>
      <w:r>
        <w:rPr>
          <w:rFonts w:hint="default" w:ascii="Times New Roman" w:hAnsi="Times New Roman" w:eastAsia="仿宋_GB2312" w:cs="Times New Roman"/>
          <w:b/>
          <w:bCs/>
          <w:sz w:val="18"/>
          <w:szCs w:val="18"/>
          <w:highlight w:val="none"/>
        </w:rPr>
        <w:t>单位：</w:t>
      </w:r>
      <w:r>
        <w:rPr>
          <w:rFonts w:hint="default" w:ascii="Times New Roman" w:hAnsi="Times New Roman" w:eastAsia="仿宋_GB2312" w:cs="Times New Roman"/>
          <w:b/>
          <w:bCs/>
          <w:sz w:val="18"/>
          <w:szCs w:val="18"/>
          <w:highlight w:val="none"/>
          <w:lang w:eastAsia="zh-CN"/>
        </w:rPr>
        <w:t>km²</w:t>
      </w:r>
    </w:p>
    <w:tbl>
      <w:tblPr>
        <w:tblStyle w:val="556"/>
        <w:tblW w:w="4999" w:type="pct"/>
        <w:jc w:val="center"/>
        <w:tblBorders>
          <w:top w:val="double" w:color="000000" w:sz="4" w:space="0"/>
          <w:left w:val="none" w:color="auto" w:sz="0" w:space="0"/>
          <w:bottom w:val="double" w:color="000000" w:sz="4"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1962"/>
        <w:gridCol w:w="1251"/>
        <w:gridCol w:w="997"/>
        <w:gridCol w:w="1098"/>
        <w:gridCol w:w="893"/>
        <w:gridCol w:w="1307"/>
        <w:gridCol w:w="898"/>
      </w:tblGrid>
      <w:tr>
        <w:tblPrEx>
          <w:tblBorders>
            <w:top w:val="double" w:color="000000" w:sz="4" w:space="0"/>
            <w:left w:val="none" w:color="auto" w:sz="0" w:space="0"/>
            <w:bottom w:val="double" w:color="000000" w:sz="4"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71" w:hRule="atLeast"/>
          <w:jc w:val="center"/>
        </w:trPr>
        <w:tc>
          <w:tcPr>
            <w:tcW w:w="116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pacing w:val="9"/>
                <w:sz w:val="21"/>
                <w:szCs w:val="21"/>
                <w:highlight w:val="none"/>
              </w:rPr>
              <w:t>行</w:t>
            </w:r>
            <w:r>
              <w:rPr>
                <w:rFonts w:hint="default" w:ascii="Times New Roman" w:hAnsi="Times New Roman" w:eastAsia="仿宋" w:cs="Times New Roman"/>
                <w:spacing w:val="6"/>
                <w:sz w:val="21"/>
                <w:szCs w:val="21"/>
                <w:highlight w:val="none"/>
              </w:rPr>
              <w:t>政区划</w:t>
            </w:r>
          </w:p>
        </w:tc>
        <w:tc>
          <w:tcPr>
            <w:tcW w:w="3832" w:type="pct"/>
            <w:gridSpan w:val="6"/>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pacing w:val="7"/>
                <w:position w:val="1"/>
                <w:sz w:val="21"/>
                <w:szCs w:val="21"/>
                <w:highlight w:val="none"/>
              </w:rPr>
              <w:t>水</w:t>
            </w:r>
            <w:r>
              <w:rPr>
                <w:rFonts w:hint="default" w:ascii="Times New Roman" w:hAnsi="Times New Roman" w:eastAsia="仿宋" w:cs="Times New Roman"/>
                <w:spacing w:val="6"/>
                <w:position w:val="1"/>
                <w:sz w:val="21"/>
                <w:szCs w:val="21"/>
                <w:highlight w:val="none"/>
              </w:rPr>
              <w:t>力侵蚀面积及强度分级</w:t>
            </w:r>
          </w:p>
        </w:tc>
      </w:tr>
      <w:tr>
        <w:tblPrEx>
          <w:tblBorders>
            <w:top w:val="double" w:color="000000" w:sz="4" w:space="0"/>
            <w:left w:val="none" w:color="auto" w:sz="0" w:space="0"/>
            <w:bottom w:val="double" w:color="000000" w:sz="4"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78" w:hRule="atLeast"/>
          <w:jc w:val="center"/>
        </w:trPr>
        <w:tc>
          <w:tcPr>
            <w:tcW w:w="116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sz w:val="21"/>
                <w:szCs w:val="21"/>
                <w:highlight w:val="none"/>
              </w:rPr>
            </w:pPr>
          </w:p>
        </w:tc>
        <w:tc>
          <w:tcPr>
            <w:tcW w:w="7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pacing w:val="4"/>
                <w:sz w:val="21"/>
                <w:szCs w:val="21"/>
                <w:highlight w:val="none"/>
              </w:rPr>
              <w:t>水</w:t>
            </w:r>
            <w:r>
              <w:rPr>
                <w:rFonts w:hint="default" w:ascii="Times New Roman" w:hAnsi="Times New Roman" w:eastAsia="仿宋" w:cs="Times New Roman"/>
                <w:spacing w:val="3"/>
                <w:sz w:val="21"/>
                <w:szCs w:val="21"/>
                <w:highlight w:val="none"/>
              </w:rPr>
              <w:t>蚀</w:t>
            </w:r>
            <w:r>
              <w:rPr>
                <w:rFonts w:hint="default" w:ascii="Times New Roman" w:hAnsi="Times New Roman" w:eastAsia="仿宋" w:cs="Times New Roman"/>
                <w:spacing w:val="1"/>
                <w:sz w:val="21"/>
                <w:szCs w:val="21"/>
                <w:highlight w:val="none"/>
              </w:rPr>
              <w:t>面积</w:t>
            </w:r>
          </w:p>
        </w:tc>
        <w:tc>
          <w:tcPr>
            <w:tcW w:w="5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pacing w:val="4"/>
                <w:sz w:val="21"/>
                <w:szCs w:val="21"/>
                <w:highlight w:val="none"/>
              </w:rPr>
              <w:t>轻</w:t>
            </w:r>
            <w:r>
              <w:rPr>
                <w:rFonts w:hint="default" w:ascii="Times New Roman" w:hAnsi="Times New Roman" w:eastAsia="仿宋" w:cs="Times New Roman"/>
                <w:spacing w:val="3"/>
                <w:sz w:val="21"/>
                <w:szCs w:val="21"/>
                <w:highlight w:val="none"/>
              </w:rPr>
              <w:t>度</w:t>
            </w:r>
          </w:p>
        </w:tc>
        <w:tc>
          <w:tcPr>
            <w:tcW w:w="6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pacing w:val="-11"/>
                <w:sz w:val="21"/>
                <w:szCs w:val="21"/>
                <w:highlight w:val="none"/>
              </w:rPr>
              <w:t>中</w:t>
            </w:r>
            <w:r>
              <w:rPr>
                <w:rFonts w:hint="default" w:ascii="Times New Roman" w:hAnsi="Times New Roman" w:eastAsia="仿宋" w:cs="Times New Roman"/>
                <w:spacing w:val="-10"/>
                <w:sz w:val="21"/>
                <w:szCs w:val="21"/>
                <w:highlight w:val="none"/>
              </w:rPr>
              <w:t>度</w:t>
            </w:r>
          </w:p>
        </w:tc>
        <w:tc>
          <w:tcPr>
            <w:tcW w:w="5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pacing w:val="-1"/>
                <w:sz w:val="21"/>
                <w:szCs w:val="21"/>
                <w:highlight w:val="none"/>
              </w:rPr>
              <w:t>强</w:t>
            </w:r>
            <w:r>
              <w:rPr>
                <w:rFonts w:hint="default" w:ascii="Times New Roman" w:hAnsi="Times New Roman" w:eastAsia="仿宋" w:cs="Times New Roman"/>
                <w:sz w:val="21"/>
                <w:szCs w:val="21"/>
                <w:highlight w:val="none"/>
              </w:rPr>
              <w:t>烈</w:t>
            </w:r>
          </w:p>
        </w:tc>
        <w:tc>
          <w:tcPr>
            <w:tcW w:w="7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pacing w:val="6"/>
                <w:sz w:val="21"/>
                <w:szCs w:val="21"/>
                <w:highlight w:val="none"/>
              </w:rPr>
              <w:t>极强烈</w:t>
            </w:r>
          </w:p>
        </w:tc>
        <w:tc>
          <w:tcPr>
            <w:tcW w:w="5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pacing w:val="3"/>
                <w:sz w:val="21"/>
                <w:szCs w:val="21"/>
                <w:highlight w:val="none"/>
              </w:rPr>
              <w:t>剧烈</w:t>
            </w:r>
          </w:p>
        </w:tc>
      </w:tr>
      <w:tr>
        <w:tblPrEx>
          <w:tblBorders>
            <w:top w:val="double" w:color="000000" w:sz="4" w:space="0"/>
            <w:left w:val="none" w:color="auto" w:sz="0" w:space="0"/>
            <w:bottom w:val="double" w:color="000000" w:sz="4"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11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pacing w:val="8"/>
                <w:sz w:val="21"/>
                <w:szCs w:val="21"/>
                <w:highlight w:val="none"/>
              </w:rPr>
              <w:t>长</w:t>
            </w:r>
            <w:r>
              <w:rPr>
                <w:rFonts w:hint="default" w:ascii="Times New Roman" w:hAnsi="Times New Roman" w:eastAsia="仿宋" w:cs="Times New Roman"/>
                <w:spacing w:val="7"/>
                <w:sz w:val="21"/>
                <w:szCs w:val="21"/>
                <w:highlight w:val="none"/>
              </w:rPr>
              <w:t>春市二道区</w:t>
            </w:r>
          </w:p>
        </w:tc>
        <w:tc>
          <w:tcPr>
            <w:tcW w:w="7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sz w:val="21"/>
                <w:szCs w:val="21"/>
                <w:highlight w:val="none"/>
                <w:lang w:val="en-US" w:eastAsia="zh-CN"/>
              </w:rPr>
            </w:pPr>
            <w:r>
              <w:rPr>
                <w:rFonts w:hint="eastAsia" w:eastAsia="宋体" w:cs="Times New Roman"/>
                <w:spacing w:val="3"/>
                <w:sz w:val="21"/>
                <w:szCs w:val="21"/>
                <w:highlight w:val="none"/>
                <w:lang w:eastAsia="zh-CN"/>
              </w:rPr>
              <w:t>310.35</w:t>
            </w:r>
          </w:p>
        </w:tc>
        <w:tc>
          <w:tcPr>
            <w:tcW w:w="5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pacing w:val="3"/>
                <w:sz w:val="21"/>
                <w:szCs w:val="21"/>
                <w:highlight w:val="none"/>
                <w:lang w:val="en-US" w:eastAsia="zh-CN"/>
              </w:rPr>
              <w:t>285.96</w:t>
            </w:r>
          </w:p>
        </w:tc>
        <w:tc>
          <w:tcPr>
            <w:tcW w:w="6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pacing w:val="-1"/>
                <w:sz w:val="21"/>
                <w:szCs w:val="21"/>
                <w:highlight w:val="none"/>
                <w:lang w:val="en-US" w:eastAsia="zh-CN"/>
              </w:rPr>
              <w:t>19.94</w:t>
            </w:r>
          </w:p>
        </w:tc>
        <w:tc>
          <w:tcPr>
            <w:tcW w:w="5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pacing w:val="6"/>
                <w:sz w:val="21"/>
                <w:szCs w:val="21"/>
                <w:highlight w:val="none"/>
                <w:lang w:val="en-US" w:eastAsia="zh-CN"/>
              </w:rPr>
              <w:t>3.67</w:t>
            </w:r>
          </w:p>
        </w:tc>
        <w:tc>
          <w:tcPr>
            <w:tcW w:w="7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pacing w:val="-2"/>
                <w:sz w:val="21"/>
                <w:szCs w:val="21"/>
                <w:highlight w:val="none"/>
                <w:lang w:val="en-US" w:eastAsia="zh-CN"/>
              </w:rPr>
              <w:t>0.76</w:t>
            </w:r>
          </w:p>
        </w:tc>
        <w:tc>
          <w:tcPr>
            <w:tcW w:w="5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pacing w:val="-2"/>
                <w:sz w:val="21"/>
                <w:szCs w:val="21"/>
                <w:highlight w:val="none"/>
                <w:lang w:val="en-US" w:eastAsia="zh-CN"/>
              </w:rPr>
              <w:t>0.0</w:t>
            </w:r>
            <w:r>
              <w:rPr>
                <w:rFonts w:hint="eastAsia" w:cs="Times New Roman"/>
                <w:spacing w:val="-2"/>
                <w:sz w:val="21"/>
                <w:szCs w:val="21"/>
                <w:highlight w:val="none"/>
                <w:lang w:val="en-US" w:eastAsia="zh-CN"/>
              </w:rPr>
              <w:t>2</w:t>
            </w:r>
          </w:p>
        </w:tc>
      </w:tr>
    </w:tbl>
    <w:p>
      <w:pPr>
        <w:pStyle w:val="5"/>
        <w:bidi w:val="0"/>
        <w:rPr>
          <w:rFonts w:hint="default" w:ascii="Times New Roman" w:hAnsi="Times New Roman" w:cs="Times New Roman"/>
        </w:rPr>
      </w:pPr>
      <w:bookmarkStart w:id="249" w:name="_Toc31909"/>
      <w:bookmarkStart w:id="250" w:name="_Toc16891"/>
      <w:bookmarkStart w:id="251" w:name="_Toc25615"/>
      <w:r>
        <w:rPr>
          <w:rFonts w:hint="default" w:ascii="Times New Roman" w:hAnsi="Times New Roman" w:cs="Times New Roman"/>
        </w:rPr>
        <w:t>4.2水土流失影响因素分析</w:t>
      </w:r>
      <w:bookmarkEnd w:id="249"/>
      <w:bookmarkEnd w:id="250"/>
      <w:bookmarkEnd w:id="251"/>
    </w:p>
    <w:p>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4.2.1工程建设对水土流失的影响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lang w:val="en-US" w:eastAsia="zh-CN"/>
        </w:rPr>
        <w:t>1</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rPr>
        <w:t>自然条件的影响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自然因素和人为因素是造成该区水土流失的主要原因。自然因素有地形地貌、地面组成物质、植被及降雨等；地表物质的组成也是水土流失的潜在因素，一遇降雨，易于发生雨滴溅蚀，进一步发展为面蚀和沟蚀；区域林草植被少，也是造成水土流失的重要因素。人为因素主要是由于在工程建设过程中，直接改变了原地形地貌，不可避免地破坏植被、扰动地表，使原有地表的抗蚀力降低，是造成水土流失的外在因素。</w:t>
      </w:r>
    </w:p>
    <w:p>
      <w:pPr>
        <w:pageBreakBefore w:val="0"/>
        <w:kinsoku/>
        <w:wordWrap/>
        <w:bidi w:val="0"/>
        <w:adjustRightInd w:val="0"/>
        <w:spacing w:line="360" w:lineRule="auto"/>
        <w:ind w:firstLine="482"/>
        <w:jc w:val="left"/>
        <w:textAlignment w:val="baseline"/>
        <w:rPr>
          <w:rFonts w:hint="default" w:ascii="Times New Roman" w:hAnsi="Times New Roman" w:eastAsia="仿宋_GB2312" w:cs="Times New Roman"/>
          <w:snapToGrid w:val="0"/>
          <w:color w:val="auto"/>
          <w:kern w:val="0"/>
          <w:sz w:val="24"/>
        </w:rPr>
      </w:pPr>
      <w:r>
        <w:rPr>
          <w:rFonts w:hint="default" w:ascii="Times New Roman" w:hAnsi="Times New Roman" w:eastAsia="仿宋_GB2312" w:cs="Times New Roman"/>
          <w:snapToGrid w:val="0"/>
          <w:color w:val="auto"/>
          <w:kern w:val="0"/>
          <w:sz w:val="24"/>
        </w:rPr>
        <w:t>（2）场地平整的影响</w:t>
      </w:r>
    </w:p>
    <w:p>
      <w:pPr>
        <w:pageBreakBefore w:val="0"/>
        <w:kinsoku/>
        <w:wordWrap/>
        <w:bidi w:val="0"/>
        <w:adjustRightInd w:val="0"/>
        <w:spacing w:line="360" w:lineRule="auto"/>
        <w:ind w:firstLine="482"/>
        <w:jc w:val="left"/>
        <w:textAlignment w:val="baseline"/>
        <w:rPr>
          <w:rFonts w:hint="default" w:ascii="Times New Roman" w:hAnsi="Times New Roman" w:eastAsia="仿宋_GB2312" w:cs="Times New Roman"/>
          <w:snapToGrid w:val="0"/>
          <w:color w:val="auto"/>
          <w:kern w:val="0"/>
          <w:sz w:val="24"/>
        </w:rPr>
      </w:pPr>
      <w:r>
        <w:rPr>
          <w:rFonts w:hint="default" w:ascii="Times New Roman" w:hAnsi="Times New Roman" w:eastAsia="仿宋_GB2312" w:cs="Times New Roman"/>
          <w:snapToGrid w:val="0"/>
          <w:color w:val="auto"/>
          <w:kern w:val="0"/>
          <w:sz w:val="24"/>
        </w:rPr>
        <w:t>施工活动对原地面进行严重的扰动和破坏，由于原有地表保护层遭到破坏，土壤变得更加疏松，再加上原有水文系统被完全改变，排水不畅且在强烈冲刷作用下形成更有利于水土流失产生的径流路径，因而该阶段在项目整个施工过程中是最易引发水土流失和水土流失强度最大的阶段。</w:t>
      </w:r>
    </w:p>
    <w:p>
      <w:pPr>
        <w:pageBreakBefore w:val="0"/>
        <w:kinsoku/>
        <w:wordWrap/>
        <w:bidi w:val="0"/>
        <w:adjustRightInd w:val="0"/>
        <w:spacing w:line="360" w:lineRule="auto"/>
        <w:ind w:firstLine="482"/>
        <w:jc w:val="left"/>
        <w:textAlignment w:val="baseline"/>
        <w:rPr>
          <w:rFonts w:hint="default" w:ascii="Times New Roman" w:hAnsi="Times New Roman" w:eastAsia="仿宋_GB2312" w:cs="Times New Roman"/>
          <w:snapToGrid w:val="0"/>
          <w:color w:val="auto"/>
          <w:kern w:val="0"/>
          <w:sz w:val="24"/>
        </w:rPr>
      </w:pPr>
      <w:r>
        <w:rPr>
          <w:rFonts w:hint="default" w:ascii="Times New Roman" w:hAnsi="Times New Roman" w:eastAsia="仿宋_GB2312" w:cs="Times New Roman"/>
          <w:snapToGrid w:val="0"/>
          <w:color w:val="auto"/>
          <w:kern w:val="0"/>
          <w:sz w:val="24"/>
        </w:rPr>
        <w:t>（3）基础工程施工的影响</w:t>
      </w:r>
    </w:p>
    <w:p>
      <w:pPr>
        <w:pageBreakBefore w:val="0"/>
        <w:kinsoku/>
        <w:wordWrap/>
        <w:bidi w:val="0"/>
        <w:adjustRightInd w:val="0"/>
        <w:spacing w:line="360" w:lineRule="auto"/>
        <w:ind w:firstLine="482"/>
        <w:jc w:val="left"/>
        <w:textAlignment w:val="baseline"/>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napToGrid w:val="0"/>
          <w:color w:val="auto"/>
          <w:kern w:val="0"/>
          <w:sz w:val="24"/>
        </w:rPr>
        <w:t>主要包括基础开挖处理、基础砌筑。基础开挖是最易引起水土流失的施工活动，随着开挖深度和开挖土方量的增加及开挖剖面增加，产生水土流失的可能性增加，水土流失强度也随之加强，而且基础开挖所产生的大量临时堆土更容易受到降雨径流的冲刷而形成水土流失。</w:t>
      </w:r>
    </w:p>
    <w:p>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4.2.2扰动地表、损毁植被面积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eastAsia" w:eastAsia="仿宋_GB2312" w:cs="Times New Roman"/>
          <w:snapToGrid w:val="0"/>
          <w:color w:val="auto"/>
          <w:kern w:val="0"/>
          <w:sz w:val="24"/>
          <w:lang w:val="en-US" w:eastAsia="zh-CN"/>
        </w:rPr>
        <w:t>根据项目水土保持现状监测情况，并</w:t>
      </w:r>
      <w:r>
        <w:rPr>
          <w:rFonts w:hint="default" w:ascii="Times New Roman" w:hAnsi="Times New Roman" w:eastAsia="仿宋_GB2312" w:cs="Times New Roman"/>
          <w:snapToGrid w:val="0"/>
          <w:color w:val="auto"/>
          <w:kern w:val="0"/>
          <w:sz w:val="24"/>
        </w:rPr>
        <w:t>结合</w:t>
      </w:r>
      <w:r>
        <w:rPr>
          <w:rFonts w:hint="eastAsia" w:ascii="Times New Roman" w:hAnsi="Times New Roman" w:eastAsia="仿宋_GB2312" w:cs="Times New Roman"/>
          <w:snapToGrid w:val="0"/>
          <w:color w:val="auto"/>
          <w:kern w:val="0"/>
          <w:sz w:val="24"/>
          <w:lang w:val="en-US" w:eastAsia="zh-CN"/>
        </w:rPr>
        <w:t>查询</w:t>
      </w:r>
      <w:r>
        <w:rPr>
          <w:rFonts w:hint="default" w:ascii="Times New Roman" w:hAnsi="Times New Roman" w:eastAsia="仿宋_GB2312" w:cs="Times New Roman"/>
          <w:snapToGrid w:val="0"/>
          <w:color w:val="auto"/>
          <w:kern w:val="0"/>
          <w:sz w:val="24"/>
        </w:rPr>
        <w:t>项目区历史遥感</w:t>
      </w:r>
      <w:r>
        <w:rPr>
          <w:rFonts w:hint="eastAsia" w:eastAsia="仿宋_GB2312" w:cs="Times New Roman"/>
          <w:snapToGrid w:val="0"/>
          <w:color w:val="auto"/>
          <w:kern w:val="0"/>
          <w:sz w:val="24"/>
          <w:lang w:val="en-US" w:eastAsia="zh-CN"/>
        </w:rPr>
        <w:t>影像</w:t>
      </w:r>
      <w:r>
        <w:rPr>
          <w:rFonts w:hint="default" w:ascii="Times New Roman" w:hAnsi="Times New Roman" w:eastAsia="仿宋_GB2312" w:cs="Times New Roman"/>
          <w:snapToGrid w:val="0"/>
          <w:color w:val="auto"/>
          <w:kern w:val="0"/>
          <w:sz w:val="24"/>
        </w:rPr>
        <w:t>以及查阅施工记录、占地等相关</w:t>
      </w:r>
      <w:r>
        <w:rPr>
          <w:rFonts w:hint="eastAsia" w:ascii="Times New Roman" w:hAnsi="Times New Roman" w:eastAsia="仿宋_GB2312" w:cs="Times New Roman"/>
          <w:snapToGrid w:val="0"/>
          <w:color w:val="auto"/>
          <w:kern w:val="0"/>
          <w:sz w:val="24"/>
          <w:lang w:val="en-US" w:eastAsia="zh-CN"/>
        </w:rPr>
        <w:t>资料</w:t>
      </w:r>
      <w:r>
        <w:rPr>
          <w:rFonts w:hint="default" w:ascii="Times New Roman" w:hAnsi="Times New Roman" w:eastAsia="仿宋_GB2312" w:cs="Times New Roman"/>
          <w:snapToGrid w:val="0"/>
          <w:color w:val="auto"/>
          <w:kern w:val="0"/>
          <w:sz w:val="24"/>
        </w:rPr>
        <w:t>，</w:t>
      </w:r>
      <w:r>
        <w:rPr>
          <w:rFonts w:hint="default" w:ascii="Times New Roman" w:hAnsi="Times New Roman" w:eastAsia="仿宋_GB2312" w:cs="Times New Roman"/>
          <w:snapToGrid w:val="0"/>
          <w:color w:val="auto"/>
          <w:kern w:val="0"/>
          <w:sz w:val="24"/>
          <w:lang w:val="en-US" w:eastAsia="zh-CN"/>
        </w:rPr>
        <w:t>本期项目</w:t>
      </w:r>
      <w:r>
        <w:rPr>
          <w:rFonts w:hint="eastAsia" w:eastAsia="仿宋_GB2312" w:cs="Times New Roman"/>
          <w:snapToGrid w:val="0"/>
          <w:color w:val="auto"/>
          <w:kern w:val="0"/>
          <w:sz w:val="24"/>
          <w:lang w:val="en-US" w:eastAsia="zh-CN"/>
        </w:rPr>
        <w:t>实际</w:t>
      </w:r>
      <w:r>
        <w:rPr>
          <w:rFonts w:hint="default" w:ascii="Times New Roman" w:hAnsi="Times New Roman" w:eastAsia="仿宋_GB2312" w:cs="Times New Roman"/>
          <w:sz w:val="24"/>
          <w:szCs w:val="24"/>
        </w:rPr>
        <w:t>扰动地表面积</w:t>
      </w:r>
      <w:r>
        <w:rPr>
          <w:rFonts w:hint="eastAsia" w:eastAsia="仿宋_GB2312" w:cs="Times New Roman"/>
          <w:sz w:val="24"/>
          <w:szCs w:val="24"/>
          <w:lang w:eastAsia="zh-CN"/>
        </w:rPr>
        <w:t>19.98</w:t>
      </w:r>
      <w:r>
        <w:rPr>
          <w:rFonts w:hint="default" w:ascii="Times New Roman" w:hAnsi="Times New Roman" w:eastAsia="仿宋_GB2312" w:cs="Times New Roman"/>
          <w:sz w:val="24"/>
          <w:szCs w:val="24"/>
          <w:lang w:eastAsia="zh-CN"/>
        </w:rPr>
        <w:t>hm²</w:t>
      </w:r>
      <w:r>
        <w:rPr>
          <w:rFonts w:hint="default" w:ascii="Times New Roman" w:hAnsi="Times New Roman" w:eastAsia="仿宋_GB2312" w:cs="Times New Roman"/>
          <w:sz w:val="24"/>
          <w:szCs w:val="24"/>
        </w:rPr>
        <w:t>，项目区内现状地面为净地。无损毁植被面积。</w:t>
      </w:r>
    </w:p>
    <w:p>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4.2.3废余土量分析</w:t>
      </w:r>
    </w:p>
    <w:p>
      <w:pPr>
        <w:pageBreakBefore w:val="0"/>
        <w:kinsoku/>
        <w:wordWrap/>
        <w:bidi w:val="0"/>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lang w:eastAsia="zh-CN"/>
        </w:rPr>
        <w:t>本期项目</w:t>
      </w:r>
      <w:r>
        <w:rPr>
          <w:rFonts w:hint="default" w:ascii="Times New Roman" w:hAnsi="Times New Roman" w:eastAsia="仿宋_GB2312" w:cs="Times New Roman"/>
          <w:sz w:val="24"/>
          <w:highlight w:val="none"/>
        </w:rPr>
        <w:t>土石方总量</w:t>
      </w:r>
      <w:r>
        <w:rPr>
          <w:rFonts w:hint="eastAsia" w:eastAsia="仿宋_GB2312" w:cs="Times New Roman"/>
          <w:sz w:val="24"/>
          <w:highlight w:val="none"/>
          <w:lang w:val="en-US" w:eastAsia="zh-CN"/>
        </w:rPr>
        <w:t>44.58</w:t>
      </w:r>
      <w:r>
        <w:rPr>
          <w:rFonts w:hint="default" w:ascii="Times New Roman" w:hAnsi="Times New Roman" w:eastAsia="仿宋_GB2312" w:cs="Times New Roman"/>
          <w:sz w:val="24"/>
          <w:highlight w:val="none"/>
        </w:rPr>
        <w:t>万m³，其中开挖土石方量</w:t>
      </w:r>
      <w:r>
        <w:rPr>
          <w:rFonts w:hint="eastAsia" w:eastAsia="仿宋_GB2312" w:cs="Times New Roman"/>
          <w:sz w:val="24"/>
          <w:highlight w:val="none"/>
          <w:lang w:val="en-US" w:eastAsia="zh-CN"/>
        </w:rPr>
        <w:t>21.69</w:t>
      </w:r>
      <w:r>
        <w:rPr>
          <w:rFonts w:hint="default" w:ascii="Times New Roman" w:hAnsi="Times New Roman" w:eastAsia="仿宋_GB2312" w:cs="Times New Roman"/>
          <w:sz w:val="24"/>
          <w:highlight w:val="none"/>
        </w:rPr>
        <w:t>万m³，回填土石方量</w:t>
      </w:r>
      <w:r>
        <w:rPr>
          <w:rFonts w:hint="eastAsia" w:eastAsia="仿宋_GB2312" w:cs="Times New Roman"/>
          <w:sz w:val="24"/>
          <w:highlight w:val="none"/>
          <w:lang w:val="en-US" w:eastAsia="zh-CN"/>
        </w:rPr>
        <w:t>22.89</w:t>
      </w:r>
      <w:r>
        <w:rPr>
          <w:rFonts w:hint="default" w:ascii="Times New Roman" w:hAnsi="Times New Roman" w:eastAsia="仿宋_GB2312" w:cs="Times New Roman"/>
          <w:sz w:val="24"/>
          <w:highlight w:val="none"/>
        </w:rPr>
        <w:t>万m³</w:t>
      </w:r>
      <w:r>
        <w:rPr>
          <w:rFonts w:hint="default" w:ascii="Times New Roman" w:hAnsi="Times New Roman" w:eastAsia="仿宋_GB2312" w:cs="Times New Roman"/>
          <w:sz w:val="24"/>
          <w:highlight w:val="none"/>
          <w:lang w:eastAsia="zh-CN"/>
        </w:rPr>
        <w:t>（</w:t>
      </w:r>
      <w:r>
        <w:rPr>
          <w:rFonts w:hint="default" w:ascii="Times New Roman" w:hAnsi="Times New Roman" w:eastAsia="仿宋_GB2312" w:cs="Times New Roman"/>
          <w:sz w:val="24"/>
          <w:highlight w:val="none"/>
        </w:rPr>
        <w:t>绿化用土回覆</w:t>
      </w:r>
      <w:r>
        <w:rPr>
          <w:rFonts w:hint="eastAsia" w:eastAsia="仿宋_GB2312" w:cs="Times New Roman"/>
          <w:sz w:val="24"/>
          <w:highlight w:val="none"/>
          <w:lang w:eastAsia="zh-CN"/>
        </w:rPr>
        <w:t>1.20</w:t>
      </w:r>
      <w:r>
        <w:rPr>
          <w:rFonts w:hint="default" w:ascii="Times New Roman" w:hAnsi="Times New Roman" w:eastAsia="仿宋_GB2312" w:cs="Times New Roman"/>
          <w:sz w:val="24"/>
          <w:highlight w:val="none"/>
        </w:rPr>
        <w:t>万m³</w:t>
      </w:r>
      <w:r>
        <w:rPr>
          <w:rFonts w:hint="default" w:ascii="Times New Roman" w:hAnsi="Times New Roman" w:eastAsia="仿宋_GB2312" w:cs="Times New Roman"/>
          <w:sz w:val="24"/>
          <w:highlight w:val="none"/>
          <w:lang w:eastAsia="zh-CN"/>
        </w:rPr>
        <w:t>）</w:t>
      </w:r>
      <w:r>
        <w:rPr>
          <w:rFonts w:hint="default" w:ascii="Times New Roman" w:hAnsi="Times New Roman" w:eastAsia="仿宋_GB2312" w:cs="Times New Roman"/>
          <w:sz w:val="24"/>
          <w:highlight w:val="none"/>
        </w:rPr>
        <w:t>，需外借绿化用土</w:t>
      </w:r>
      <w:r>
        <w:rPr>
          <w:rFonts w:hint="eastAsia" w:eastAsia="仿宋_GB2312" w:cs="Times New Roman"/>
          <w:sz w:val="24"/>
          <w:highlight w:val="none"/>
          <w:lang w:eastAsia="zh-CN"/>
        </w:rPr>
        <w:t>1.20</w:t>
      </w:r>
      <w:r>
        <w:rPr>
          <w:rFonts w:hint="default" w:ascii="Times New Roman" w:hAnsi="Times New Roman" w:eastAsia="仿宋_GB2312" w:cs="Times New Roman"/>
          <w:sz w:val="24"/>
          <w:highlight w:val="none"/>
        </w:rPr>
        <w:t>万m³，</w:t>
      </w:r>
      <w:r>
        <w:rPr>
          <w:rFonts w:hint="eastAsia" w:eastAsia="仿宋_GB2312" w:cs="Times New Roman"/>
          <w:sz w:val="24"/>
          <w:szCs w:val="24"/>
          <w:lang w:val="en-US" w:eastAsia="zh-CN"/>
        </w:rPr>
        <w:t>所需</w:t>
      </w:r>
      <w:r>
        <w:rPr>
          <w:rFonts w:hint="default" w:ascii="Times New Roman" w:hAnsi="Times New Roman" w:eastAsia="仿宋_GB2312" w:cs="Times New Roman"/>
          <w:sz w:val="24"/>
          <w:szCs w:val="24"/>
        </w:rPr>
        <w:t>绿化用土</w:t>
      </w:r>
      <w:r>
        <w:rPr>
          <w:rFonts w:hint="eastAsia" w:eastAsia="仿宋_GB2312" w:cs="Times New Roman"/>
          <w:sz w:val="24"/>
          <w:szCs w:val="24"/>
          <w:lang w:val="en-US" w:eastAsia="zh-CN"/>
        </w:rPr>
        <w:t>均</w:t>
      </w:r>
      <w:r>
        <w:rPr>
          <w:rFonts w:hint="default" w:ascii="Times New Roman" w:hAnsi="Times New Roman" w:eastAsia="仿宋_GB2312" w:cs="Times New Roman"/>
          <w:sz w:val="24"/>
          <w:szCs w:val="24"/>
        </w:rPr>
        <w:t>由</w:t>
      </w:r>
      <w:r>
        <w:rPr>
          <w:rFonts w:hint="eastAsia" w:eastAsia="仿宋_GB2312" w:cs="Times New Roman"/>
          <w:sz w:val="24"/>
          <w:szCs w:val="24"/>
          <w:lang w:val="en-US" w:eastAsia="zh-CN"/>
        </w:rPr>
        <w:t>绿化公司负责</w:t>
      </w:r>
      <w:r>
        <w:rPr>
          <w:rFonts w:hint="default" w:ascii="Times New Roman" w:hAnsi="Times New Roman" w:eastAsia="仿宋_GB2312" w:cs="Times New Roman"/>
          <w:sz w:val="24"/>
          <w:highlight w:val="none"/>
        </w:rPr>
        <w:t>。无永久性弃土弃渣。</w:t>
      </w:r>
    </w:p>
    <w:p>
      <w:pPr>
        <w:pStyle w:val="5"/>
        <w:bidi w:val="0"/>
        <w:rPr>
          <w:rFonts w:hint="default" w:ascii="Times New Roman" w:hAnsi="Times New Roman" w:cs="Times New Roman"/>
        </w:rPr>
      </w:pPr>
      <w:bookmarkStart w:id="252" w:name="_Toc24545"/>
      <w:bookmarkStart w:id="253" w:name="_Toc28376"/>
      <w:bookmarkStart w:id="254" w:name="_Toc1010"/>
      <w:r>
        <w:rPr>
          <w:rFonts w:hint="default" w:ascii="Times New Roman" w:hAnsi="Times New Roman" w:cs="Times New Roman"/>
        </w:rPr>
        <w:t>4.3土壤流失量预测</w:t>
      </w:r>
      <w:bookmarkEnd w:id="252"/>
      <w:bookmarkEnd w:id="253"/>
      <w:bookmarkEnd w:id="254"/>
    </w:p>
    <w:p>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4.3.1预测单元</w:t>
      </w:r>
    </w:p>
    <w:p>
      <w:pPr>
        <w:pageBreakBefore w:val="0"/>
        <w:kinsoku/>
        <w:wordWrap/>
        <w:bidi w:val="0"/>
        <w:spacing w:line="360" w:lineRule="auto"/>
        <w:ind w:firstLine="480" w:firstLineChars="200"/>
        <w:rPr>
          <w:rFonts w:hint="default" w:ascii="Times New Roman" w:hAnsi="Times New Roman" w:eastAsia="仿宋_GB2312" w:cs="Times New Roman"/>
          <w:sz w:val="24"/>
          <w:szCs w:val="24"/>
          <w:highlight w:val="none"/>
          <w:lang w:val="en-US" w:eastAsia="zh-CN"/>
        </w:rPr>
      </w:pPr>
      <w:r>
        <w:rPr>
          <w:rFonts w:hint="default" w:ascii="Times New Roman" w:hAnsi="Times New Roman" w:eastAsia="仿宋_GB2312" w:cs="Times New Roman"/>
          <w:sz w:val="24"/>
          <w:szCs w:val="24"/>
          <w:highlight w:val="none"/>
        </w:rPr>
        <w:t>根据项目区地形地貌、扰动方式、扰动后地表的物质组成、气象特征等相近的原则结合工程平面布置图，将</w:t>
      </w:r>
      <w:r>
        <w:rPr>
          <w:rFonts w:hint="default" w:ascii="Times New Roman" w:hAnsi="Times New Roman" w:eastAsia="仿宋_GB2312" w:cs="Times New Roman"/>
          <w:sz w:val="24"/>
          <w:szCs w:val="24"/>
          <w:highlight w:val="none"/>
          <w:lang w:eastAsia="zh-CN"/>
        </w:rPr>
        <w:t>本期项目</w:t>
      </w:r>
      <w:r>
        <w:rPr>
          <w:rFonts w:hint="default" w:ascii="Times New Roman" w:hAnsi="Times New Roman" w:eastAsia="仿宋_GB2312" w:cs="Times New Roman"/>
          <w:sz w:val="24"/>
          <w:szCs w:val="24"/>
          <w:highlight w:val="none"/>
        </w:rPr>
        <w:t>水土流失的预测范围划分为工程建设区</w:t>
      </w:r>
      <w:r>
        <w:rPr>
          <w:rFonts w:hint="default" w:ascii="Times New Roman" w:hAnsi="Times New Roman" w:eastAsia="仿宋_GB2312" w:cs="Times New Roman"/>
          <w:sz w:val="24"/>
          <w:szCs w:val="24"/>
          <w:highlight w:val="none"/>
          <w:lang w:val="en-US" w:eastAsia="zh-CN"/>
        </w:rPr>
        <w:t>1</w:t>
      </w:r>
      <w:r>
        <w:rPr>
          <w:rFonts w:hint="default" w:ascii="Times New Roman" w:hAnsi="Times New Roman" w:eastAsia="仿宋_GB2312" w:cs="Times New Roman"/>
          <w:sz w:val="24"/>
          <w:szCs w:val="24"/>
          <w:highlight w:val="none"/>
        </w:rPr>
        <w:t>个</w:t>
      </w:r>
      <w:r>
        <w:rPr>
          <w:rFonts w:hint="default" w:ascii="Times New Roman" w:hAnsi="Times New Roman" w:eastAsia="仿宋_GB2312" w:cs="Times New Roman"/>
          <w:sz w:val="24"/>
          <w:szCs w:val="24"/>
          <w:highlight w:val="none"/>
          <w:lang w:val="en-US" w:eastAsia="zh-CN"/>
        </w:rPr>
        <w:t>预测单元。</w:t>
      </w:r>
    </w:p>
    <w:p>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4.3.2预测时段</w:t>
      </w:r>
    </w:p>
    <w:p>
      <w:pPr>
        <w:pageBreakBefore w:val="0"/>
        <w:kinsoku/>
        <w:wordWrap/>
        <w:bidi w:val="0"/>
        <w:spacing w:line="360" w:lineRule="auto"/>
        <w:ind w:firstLine="480" w:firstLineChars="200"/>
        <w:rPr>
          <w:rFonts w:hint="default" w:ascii="Times New Roman" w:hAnsi="Times New Roman" w:eastAsia="仿宋_GB2312" w:cs="Times New Roman"/>
          <w:snapToGrid w:val="0"/>
          <w:kern w:val="0"/>
          <w:sz w:val="24"/>
          <w:highlight w:val="none"/>
        </w:rPr>
      </w:pPr>
      <w:r>
        <w:rPr>
          <w:rFonts w:hint="default" w:ascii="Times New Roman" w:hAnsi="Times New Roman" w:eastAsia="仿宋_GB2312" w:cs="Times New Roman"/>
          <w:snapToGrid w:val="0"/>
          <w:kern w:val="0"/>
          <w:sz w:val="24"/>
          <w:highlight w:val="none"/>
        </w:rPr>
        <w:t>根据《生产建设项目水土保持技术标准》（GB50433-2018）和《生产建设项目水土流失防治标准》（GB/T50434-2018）</w:t>
      </w:r>
      <w:r>
        <w:rPr>
          <w:rFonts w:hint="eastAsia" w:eastAsia="仿宋_GB2312" w:cs="Times New Roman"/>
          <w:snapToGrid w:val="0"/>
          <w:kern w:val="0"/>
          <w:sz w:val="24"/>
          <w:highlight w:val="none"/>
          <w:lang w:val="en-US" w:eastAsia="zh-CN"/>
        </w:rPr>
        <w:t>等有关</w:t>
      </w:r>
      <w:r>
        <w:rPr>
          <w:rFonts w:hint="default" w:ascii="Times New Roman" w:hAnsi="Times New Roman" w:eastAsia="仿宋_GB2312" w:cs="Times New Roman"/>
          <w:snapToGrid w:val="0"/>
          <w:kern w:val="0"/>
          <w:sz w:val="24"/>
          <w:highlight w:val="none"/>
        </w:rPr>
        <w:t>规定。预测时段分为施工期（含施工准备期）及自然恢复期。</w:t>
      </w:r>
    </w:p>
    <w:p>
      <w:pPr>
        <w:pageBreakBefore w:val="0"/>
        <w:kinsoku/>
        <w:wordWrap/>
        <w:bidi w:val="0"/>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施工期预测时间应按连续12个月为一年计；不足12个月，但达到一个雨（风）季长度的，按一年计；不足一个雨（风）季长度的，按占雨（风）季长度的比例计算。</w:t>
      </w:r>
    </w:p>
    <w:p>
      <w:pPr>
        <w:pageBreakBefore w:val="0"/>
        <w:kinsoku/>
        <w:wordWrap/>
        <w:bidi w:val="0"/>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（1）施工期（含施工准备期）</w:t>
      </w:r>
    </w:p>
    <w:p>
      <w:pPr>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bidi w:val="0"/>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施工期指各预测单元进行工程建设的时期，对于本方案而言，该项目</w:t>
      </w:r>
      <w:r>
        <w:rPr>
          <w:rFonts w:hint="eastAsia" w:eastAsia="仿宋_GB2312" w:cs="Times New Roman"/>
          <w:sz w:val="24"/>
          <w:highlight w:val="none"/>
          <w:lang w:val="en-US" w:eastAsia="zh-CN"/>
        </w:rPr>
        <w:t>计划</w:t>
      </w:r>
      <w:r>
        <w:rPr>
          <w:rFonts w:hint="default" w:ascii="Times New Roman" w:hAnsi="Times New Roman" w:eastAsia="仿宋_GB2312" w:cs="Times New Roman"/>
          <w:sz w:val="24"/>
          <w:highlight w:val="none"/>
        </w:rPr>
        <w:t>于</w:t>
      </w:r>
      <w:r>
        <w:rPr>
          <w:rFonts w:hint="eastAsia" w:eastAsia="仿宋_GB2312" w:cs="Times New Roman"/>
          <w:sz w:val="24"/>
          <w:highlight w:val="none"/>
          <w:lang w:eastAsia="zh-CN"/>
        </w:rPr>
        <w:t>2023年7月</w:t>
      </w:r>
      <w:r>
        <w:rPr>
          <w:rFonts w:hint="default" w:ascii="Times New Roman" w:hAnsi="Times New Roman" w:eastAsia="仿宋_GB2312" w:cs="Times New Roman"/>
          <w:sz w:val="24"/>
          <w:highlight w:val="none"/>
        </w:rPr>
        <w:t>开工，</w:t>
      </w:r>
      <w:r>
        <w:rPr>
          <w:rFonts w:hint="eastAsia" w:eastAsia="仿宋_GB2312" w:cs="Times New Roman"/>
          <w:sz w:val="24"/>
          <w:highlight w:val="none"/>
          <w:lang w:eastAsia="zh-CN"/>
        </w:rPr>
        <w:t>2024年12月</w:t>
      </w:r>
      <w:r>
        <w:rPr>
          <w:rFonts w:hint="default" w:ascii="Times New Roman" w:hAnsi="Times New Roman" w:eastAsia="仿宋_GB2312" w:cs="Times New Roman"/>
          <w:sz w:val="24"/>
          <w:highlight w:val="none"/>
        </w:rPr>
        <w:t>完工，总工期</w:t>
      </w:r>
      <w:r>
        <w:rPr>
          <w:rFonts w:hint="eastAsia" w:eastAsia="仿宋_GB2312" w:cs="Times New Roman"/>
          <w:sz w:val="24"/>
          <w:highlight w:val="none"/>
          <w:lang w:val="en-US" w:eastAsia="zh-CN"/>
        </w:rPr>
        <w:t>18个</w:t>
      </w:r>
      <w:r>
        <w:rPr>
          <w:rFonts w:hint="default" w:ascii="Times New Roman" w:hAnsi="Times New Roman" w:eastAsia="仿宋_GB2312" w:cs="Times New Roman"/>
          <w:sz w:val="24"/>
          <w:highlight w:val="none"/>
        </w:rPr>
        <w:t>月。根据施工准备期预测时段与施工期预测时段，按照最大不利因素原则确定。</w:t>
      </w:r>
    </w:p>
    <w:p>
      <w:pPr>
        <w:pageBreakBefore w:val="0"/>
        <w:kinsoku/>
        <w:wordWrap/>
        <w:bidi w:val="0"/>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（2）自然恢复期</w:t>
      </w:r>
    </w:p>
    <w:p>
      <w:pPr>
        <w:pageBreakBefore w:val="0"/>
        <w:tabs>
          <w:tab w:val="left" w:pos="916"/>
          <w:tab w:val="left" w:pos="1832"/>
          <w:tab w:val="left" w:pos="274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bidi w:val="0"/>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自然恢复期为施工扰动结束后，不采取水土保持措施的情况下，土壤侵蚀强度自然恢复到扰动前土壤侵蚀强度所需要的时间，应根据当地自然条件确定，一般情况湿润区取2年，半湿润区取3年，干旱半干旱区取5年。</w:t>
      </w:r>
      <w:r>
        <w:rPr>
          <w:rFonts w:hint="default" w:ascii="Times New Roman" w:hAnsi="Times New Roman" w:eastAsia="仿宋_GB2312" w:cs="Times New Roman"/>
          <w:sz w:val="24"/>
          <w:highlight w:val="none"/>
          <w:lang w:eastAsia="zh-CN"/>
        </w:rPr>
        <w:t>本期项目</w:t>
      </w:r>
      <w:r>
        <w:rPr>
          <w:rFonts w:hint="default" w:ascii="Times New Roman" w:hAnsi="Times New Roman" w:eastAsia="仿宋_GB2312" w:cs="Times New Roman"/>
          <w:sz w:val="24"/>
          <w:highlight w:val="none"/>
        </w:rPr>
        <w:t>属半湿润区，自然恢复期为3年。</w:t>
      </w:r>
    </w:p>
    <w:p>
      <w:pPr>
        <w:pStyle w:val="164"/>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val="0"/>
          <w:bCs w:val="0"/>
          <w:sz w:val="21"/>
          <w:szCs w:val="21"/>
          <w:highlight w:val="none"/>
          <w:lang w:val="en-US" w:eastAsia="zh-CN"/>
        </w:rPr>
      </w:pPr>
      <w:r>
        <w:rPr>
          <w:rFonts w:hint="default" w:ascii="Times New Roman" w:hAnsi="Times New Roman" w:eastAsia="微软雅黑" w:cs="Times New Roman"/>
          <w:b w:val="0"/>
          <w:bCs w:val="0"/>
          <w:sz w:val="21"/>
          <w:szCs w:val="21"/>
          <w:highlight w:val="none"/>
          <w:lang w:val="en-US" w:eastAsia="zh-CN"/>
        </w:rPr>
        <w:t>表4-2  预测单元及预测时段划分表</w:t>
      </w:r>
    </w:p>
    <w:tbl>
      <w:tblPr>
        <w:tblStyle w:val="556"/>
        <w:tblW w:w="4998" w:type="pct"/>
        <w:jc w:val="center"/>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1189"/>
        <w:gridCol w:w="1142"/>
        <w:gridCol w:w="1485"/>
        <w:gridCol w:w="2527"/>
        <w:gridCol w:w="890"/>
        <w:gridCol w:w="1172"/>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7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7"/>
                <w:sz w:val="21"/>
                <w:szCs w:val="21"/>
              </w:rPr>
              <w:t>预</w:t>
            </w:r>
            <w:r>
              <w:rPr>
                <w:rFonts w:hint="default" w:ascii="Times New Roman" w:hAnsi="Times New Roman" w:eastAsia="仿宋_GB2312" w:cs="Times New Roman"/>
                <w:spacing w:val="5"/>
                <w:sz w:val="21"/>
                <w:szCs w:val="21"/>
              </w:rPr>
              <w:t>测时期</w:t>
            </w:r>
          </w:p>
        </w:tc>
        <w:tc>
          <w:tcPr>
            <w:tcW w:w="1562"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7"/>
                <w:sz w:val="21"/>
                <w:szCs w:val="21"/>
              </w:rPr>
              <w:t>预</w:t>
            </w:r>
            <w:r>
              <w:rPr>
                <w:rFonts w:hint="default" w:ascii="Times New Roman" w:hAnsi="Times New Roman" w:eastAsia="仿宋_GB2312" w:cs="Times New Roman"/>
                <w:spacing w:val="5"/>
                <w:sz w:val="21"/>
                <w:szCs w:val="21"/>
              </w:rPr>
              <w:t>测单元</w:t>
            </w:r>
          </w:p>
        </w:tc>
        <w:tc>
          <w:tcPr>
            <w:tcW w:w="15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6"/>
                <w:sz w:val="21"/>
                <w:szCs w:val="21"/>
              </w:rPr>
              <w:t>施工进度</w:t>
            </w:r>
          </w:p>
        </w:tc>
        <w:tc>
          <w:tcPr>
            <w:tcW w:w="5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5"/>
                <w:sz w:val="21"/>
                <w:szCs w:val="21"/>
              </w:rPr>
              <w:t>预</w:t>
            </w:r>
            <w:r>
              <w:rPr>
                <w:rFonts w:hint="default" w:ascii="Times New Roman" w:hAnsi="Times New Roman" w:eastAsia="仿宋_GB2312" w:cs="Times New Roman"/>
                <w:spacing w:val="4"/>
                <w:sz w:val="21"/>
                <w:szCs w:val="21"/>
              </w:rPr>
              <w:t>测时</w:t>
            </w:r>
            <w:r>
              <w:rPr>
                <w:rFonts w:hint="default" w:ascii="Times New Roman" w:hAnsi="Times New Roman" w:eastAsia="仿宋_GB2312" w:cs="Times New Roman"/>
                <w:spacing w:val="-7"/>
                <w:w w:val="87"/>
                <w:sz w:val="21"/>
                <w:szCs w:val="21"/>
              </w:rPr>
              <w:t>段</w:t>
            </w:r>
            <w:r>
              <w:rPr>
                <w:rFonts w:hint="default" w:ascii="Times New Roman" w:hAnsi="Times New Roman" w:eastAsia="仿宋_GB2312" w:cs="Times New Roman"/>
                <w:spacing w:val="-7"/>
                <w:w w:val="87"/>
                <w:sz w:val="21"/>
                <w:szCs w:val="21"/>
                <w:lang w:eastAsia="zh-CN"/>
              </w:rPr>
              <w:t>（</w:t>
            </w:r>
            <w:r>
              <w:rPr>
                <w:rFonts w:hint="default" w:ascii="Times New Roman" w:hAnsi="Times New Roman" w:eastAsia="仿宋_GB2312" w:cs="Times New Roman"/>
                <w:spacing w:val="-7"/>
                <w:w w:val="87"/>
                <w:sz w:val="21"/>
                <w:szCs w:val="21"/>
              </w:rPr>
              <w:t>a</w:t>
            </w:r>
            <w:r>
              <w:rPr>
                <w:rFonts w:hint="default" w:ascii="Times New Roman" w:hAnsi="Times New Roman" w:eastAsia="仿宋_GB2312" w:cs="Times New Roman"/>
                <w:spacing w:val="-7"/>
                <w:w w:val="87"/>
                <w:sz w:val="21"/>
                <w:szCs w:val="21"/>
                <w:lang w:eastAsia="zh-CN"/>
              </w:rPr>
              <w:t>）</w:t>
            </w:r>
          </w:p>
        </w:tc>
        <w:tc>
          <w:tcPr>
            <w:tcW w:w="6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7"/>
                <w:sz w:val="21"/>
                <w:szCs w:val="21"/>
              </w:rPr>
              <w:t>预</w:t>
            </w:r>
            <w:r>
              <w:rPr>
                <w:rFonts w:hint="default" w:ascii="Times New Roman" w:hAnsi="Times New Roman" w:eastAsia="仿宋_GB2312" w:cs="Times New Roman"/>
                <w:spacing w:val="5"/>
                <w:sz w:val="21"/>
                <w:szCs w:val="21"/>
              </w:rPr>
              <w:t>测面积</w:t>
            </w:r>
            <w:r>
              <w:rPr>
                <w:rFonts w:hint="default" w:ascii="Times New Roman" w:hAnsi="Times New Roman" w:eastAsia="仿宋_GB2312" w:cs="Times New Roman"/>
                <w:spacing w:val="34"/>
                <w:sz w:val="21"/>
                <w:szCs w:val="21"/>
              </w:rPr>
              <w:t>(</w:t>
            </w:r>
            <w:r>
              <w:rPr>
                <w:rFonts w:hint="default" w:ascii="Times New Roman" w:hAnsi="Times New Roman" w:eastAsia="仿宋_GB2312" w:cs="Times New Roman"/>
                <w:sz w:val="21"/>
                <w:szCs w:val="21"/>
              </w:rPr>
              <w:t>m</w:t>
            </w:r>
            <w:r>
              <w:rPr>
                <w:rFonts w:hint="default" w:ascii="Times New Roman" w:hAnsi="Times New Roman" w:eastAsia="仿宋_GB2312" w:cs="Times New Roman"/>
                <w:spacing w:val="33"/>
                <w:sz w:val="21"/>
                <w:szCs w:val="21"/>
              </w:rPr>
              <w:t>²)</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70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5"/>
                <w:sz w:val="21"/>
                <w:szCs w:val="21"/>
              </w:rPr>
              <w:t>施工期</w:t>
            </w:r>
          </w:p>
        </w:tc>
        <w:tc>
          <w:tcPr>
            <w:tcW w:w="679"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pacing w:val="-1"/>
                <w:sz w:val="21"/>
                <w:szCs w:val="21"/>
              </w:rPr>
            </w:pPr>
            <w:r>
              <w:rPr>
                <w:rFonts w:hint="default" w:ascii="Times New Roman" w:hAnsi="Times New Roman" w:eastAsia="仿宋_GB2312" w:cs="Times New Roman"/>
                <w:spacing w:val="-1"/>
                <w:sz w:val="21"/>
                <w:szCs w:val="21"/>
              </w:rPr>
              <w:t>工程</w:t>
            </w:r>
            <w:r>
              <w:rPr>
                <w:rFonts w:hint="default" w:ascii="Times New Roman" w:hAnsi="Times New Roman" w:eastAsia="仿宋_GB2312" w:cs="Times New Roman"/>
                <w:spacing w:val="5"/>
                <w:sz w:val="21"/>
                <w:szCs w:val="21"/>
              </w:rPr>
              <w:t>建设区</w:t>
            </w:r>
          </w:p>
        </w:tc>
        <w:tc>
          <w:tcPr>
            <w:tcW w:w="8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建构筑物区</w:t>
            </w:r>
          </w:p>
        </w:tc>
        <w:tc>
          <w:tcPr>
            <w:tcW w:w="1503"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1"/>
                <w:szCs w:val="21"/>
              </w:rPr>
            </w:pPr>
            <w:r>
              <w:rPr>
                <w:rFonts w:hint="eastAsia" w:eastAsia="仿宋_GB2312" w:cs="Times New Roman"/>
                <w:sz w:val="21"/>
                <w:szCs w:val="21"/>
                <w:lang w:val="en-US" w:eastAsia="zh-CN"/>
              </w:rPr>
              <w:t>2023年7月</w:t>
            </w:r>
            <w:r>
              <w:rPr>
                <w:rFonts w:hint="default" w:ascii="Times New Roman" w:hAnsi="Times New Roman" w:eastAsia="仿宋_GB2312" w:cs="Times New Roman"/>
                <w:sz w:val="21"/>
                <w:szCs w:val="21"/>
                <w:lang w:val="en-US" w:eastAsia="zh-CN"/>
              </w:rPr>
              <w:t>~202</w:t>
            </w:r>
            <w:r>
              <w:rPr>
                <w:rFonts w:hint="eastAsia" w:eastAsia="仿宋_GB2312" w:cs="Times New Roman"/>
                <w:sz w:val="21"/>
                <w:szCs w:val="21"/>
                <w:lang w:val="en-US" w:eastAsia="zh-CN"/>
              </w:rPr>
              <w:t>4</w:t>
            </w:r>
            <w:r>
              <w:rPr>
                <w:rFonts w:hint="default" w:ascii="Times New Roman" w:hAnsi="Times New Roman" w:eastAsia="仿宋_GB2312" w:cs="Times New Roman"/>
                <w:sz w:val="21"/>
                <w:szCs w:val="21"/>
                <w:lang w:val="en-US" w:eastAsia="zh-CN"/>
              </w:rPr>
              <w:t>年</w:t>
            </w:r>
            <w:r>
              <w:rPr>
                <w:rFonts w:hint="eastAsia" w:eastAsia="仿宋_GB2312" w:cs="Times New Roman"/>
                <w:sz w:val="21"/>
                <w:szCs w:val="21"/>
                <w:lang w:val="en-US" w:eastAsia="zh-CN"/>
              </w:rPr>
              <w:t>6</w:t>
            </w:r>
            <w:r>
              <w:rPr>
                <w:rFonts w:hint="default" w:ascii="Times New Roman" w:hAnsi="Times New Roman" w:eastAsia="仿宋_GB2312" w:cs="Times New Roman"/>
                <w:sz w:val="21"/>
                <w:szCs w:val="21"/>
                <w:lang w:val="en-US" w:eastAsia="zh-CN"/>
              </w:rPr>
              <w:t>月</w:t>
            </w:r>
          </w:p>
        </w:tc>
        <w:tc>
          <w:tcPr>
            <w:tcW w:w="5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eastAsia" w:eastAsia="仿宋_GB2312" w:cs="Times New Roman"/>
                <w:sz w:val="21"/>
                <w:szCs w:val="21"/>
                <w:lang w:val="en-US" w:eastAsia="zh-CN"/>
              </w:rPr>
              <w:t>1.50</w:t>
            </w:r>
          </w:p>
        </w:tc>
        <w:tc>
          <w:tcPr>
            <w:tcW w:w="6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eastAsia" w:eastAsia="仿宋_GB2312" w:cs="Times New Roman"/>
                <w:sz w:val="21"/>
                <w:szCs w:val="21"/>
                <w:lang w:val="en-US" w:eastAsia="zh-CN"/>
              </w:rPr>
              <w:t>80041.76</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70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p>
        </w:tc>
        <w:tc>
          <w:tcPr>
            <w:tcW w:w="67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p>
        </w:tc>
        <w:tc>
          <w:tcPr>
            <w:tcW w:w="8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道路及硬化区</w:t>
            </w:r>
          </w:p>
        </w:tc>
        <w:tc>
          <w:tcPr>
            <w:tcW w:w="15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202</w:t>
            </w:r>
            <w:r>
              <w:rPr>
                <w:rFonts w:hint="eastAsia" w:eastAsia="仿宋_GB2312" w:cs="Times New Roman"/>
                <w:sz w:val="21"/>
                <w:szCs w:val="21"/>
                <w:lang w:val="en-US" w:eastAsia="zh-CN"/>
              </w:rPr>
              <w:t>4</w:t>
            </w:r>
            <w:r>
              <w:rPr>
                <w:rFonts w:hint="default" w:ascii="Times New Roman" w:hAnsi="Times New Roman" w:eastAsia="仿宋_GB2312" w:cs="Times New Roman"/>
                <w:sz w:val="21"/>
                <w:szCs w:val="21"/>
                <w:lang w:val="en-US" w:eastAsia="zh-CN"/>
              </w:rPr>
              <w:t>年</w:t>
            </w:r>
            <w:r>
              <w:rPr>
                <w:rFonts w:hint="eastAsia" w:eastAsia="仿宋_GB2312" w:cs="Times New Roman"/>
                <w:sz w:val="21"/>
                <w:szCs w:val="21"/>
                <w:lang w:val="en-US" w:eastAsia="zh-CN"/>
              </w:rPr>
              <w:t>6</w:t>
            </w:r>
            <w:r>
              <w:rPr>
                <w:rFonts w:hint="default" w:ascii="Times New Roman" w:hAnsi="Times New Roman" w:eastAsia="仿宋_GB2312" w:cs="Times New Roman"/>
                <w:sz w:val="21"/>
                <w:szCs w:val="21"/>
                <w:lang w:val="en-US" w:eastAsia="zh-CN"/>
              </w:rPr>
              <w:t>月~</w:t>
            </w:r>
            <w:r>
              <w:rPr>
                <w:rFonts w:hint="eastAsia" w:eastAsia="仿宋_GB2312" w:cs="Times New Roman"/>
                <w:sz w:val="21"/>
                <w:szCs w:val="21"/>
                <w:lang w:val="en-US" w:eastAsia="zh-CN"/>
              </w:rPr>
              <w:t>2024年12月</w:t>
            </w:r>
          </w:p>
        </w:tc>
        <w:tc>
          <w:tcPr>
            <w:tcW w:w="5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eastAsia" w:eastAsia="仿宋_GB2312" w:cs="Times New Roman"/>
                <w:sz w:val="21"/>
                <w:szCs w:val="21"/>
                <w:lang w:val="en-US" w:eastAsia="zh-CN"/>
              </w:rPr>
              <w:t>2.0</w:t>
            </w:r>
          </w:p>
        </w:tc>
        <w:tc>
          <w:tcPr>
            <w:tcW w:w="6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eastAsia" w:eastAsia="仿宋_GB2312" w:cs="Times New Roman"/>
                <w:sz w:val="21"/>
                <w:szCs w:val="21"/>
                <w:lang w:val="en-US" w:eastAsia="zh-CN"/>
              </w:rPr>
              <w:t>79857.96</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70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p>
        </w:tc>
        <w:tc>
          <w:tcPr>
            <w:tcW w:w="67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p>
        </w:tc>
        <w:tc>
          <w:tcPr>
            <w:tcW w:w="8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绿化区</w:t>
            </w:r>
          </w:p>
        </w:tc>
        <w:tc>
          <w:tcPr>
            <w:tcW w:w="15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eastAsia" w:eastAsia="仿宋_GB2312" w:cs="Times New Roman"/>
                <w:sz w:val="21"/>
                <w:szCs w:val="21"/>
                <w:lang w:val="en-US" w:eastAsia="zh-CN"/>
              </w:rPr>
              <w:t>2024年8月</w:t>
            </w:r>
            <w:r>
              <w:rPr>
                <w:rFonts w:hint="default" w:ascii="Times New Roman" w:hAnsi="Times New Roman" w:eastAsia="仿宋_GB2312" w:cs="Times New Roman"/>
                <w:sz w:val="21"/>
                <w:szCs w:val="21"/>
                <w:lang w:val="en-US" w:eastAsia="zh-CN"/>
              </w:rPr>
              <w:t>~</w:t>
            </w:r>
            <w:r>
              <w:rPr>
                <w:rFonts w:hint="eastAsia" w:eastAsia="仿宋_GB2312" w:cs="Times New Roman"/>
                <w:sz w:val="21"/>
                <w:szCs w:val="21"/>
                <w:lang w:val="en-US" w:eastAsia="zh-CN"/>
              </w:rPr>
              <w:t>2024年10月</w:t>
            </w:r>
          </w:p>
        </w:tc>
        <w:tc>
          <w:tcPr>
            <w:tcW w:w="5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eastAsia" w:eastAsia="仿宋_GB2312" w:cs="Times New Roman"/>
                <w:sz w:val="21"/>
                <w:szCs w:val="21"/>
                <w:lang w:val="en-US" w:eastAsia="zh-CN"/>
              </w:rPr>
              <w:t>0.25</w:t>
            </w:r>
          </w:p>
        </w:tc>
        <w:tc>
          <w:tcPr>
            <w:tcW w:w="6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eastAsia" w:eastAsia="仿宋_GB2312" w:cs="Times New Roman"/>
                <w:sz w:val="21"/>
                <w:szCs w:val="21"/>
                <w:lang w:val="en-US" w:eastAsia="zh-CN"/>
              </w:rPr>
              <w:t>39933.28</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PrEx>
        <w:trPr>
          <w:trHeight w:val="340" w:hRule="atLeast"/>
          <w:jc w:val="center"/>
        </w:trPr>
        <w:tc>
          <w:tcPr>
            <w:tcW w:w="70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p>
        </w:tc>
        <w:tc>
          <w:tcPr>
            <w:tcW w:w="67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p>
        </w:tc>
        <w:tc>
          <w:tcPr>
            <w:tcW w:w="8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小计</w:t>
            </w:r>
          </w:p>
        </w:tc>
        <w:tc>
          <w:tcPr>
            <w:tcW w:w="15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p>
        </w:tc>
        <w:tc>
          <w:tcPr>
            <w:tcW w:w="5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p>
        </w:tc>
        <w:tc>
          <w:tcPr>
            <w:tcW w:w="6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eastAsia" w:eastAsia="仿宋_GB2312" w:cs="Times New Roman"/>
                <w:sz w:val="21"/>
                <w:szCs w:val="21"/>
                <w:lang w:val="en-US" w:eastAsia="zh-CN"/>
              </w:rPr>
              <w:t>199833</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7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pacing w:val="5"/>
                <w:sz w:val="21"/>
                <w:szCs w:val="21"/>
              </w:rPr>
            </w:pPr>
            <w:r>
              <w:rPr>
                <w:rFonts w:hint="default" w:ascii="Times New Roman" w:hAnsi="Times New Roman" w:eastAsia="仿宋_GB2312" w:cs="Times New Roman"/>
                <w:spacing w:val="5"/>
                <w:sz w:val="21"/>
                <w:szCs w:val="21"/>
              </w:rPr>
              <w:t>自然恢复期</w:t>
            </w:r>
          </w:p>
        </w:tc>
        <w:tc>
          <w:tcPr>
            <w:tcW w:w="6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pacing w:val="5"/>
                <w:sz w:val="21"/>
                <w:szCs w:val="21"/>
              </w:rPr>
            </w:pPr>
            <w:r>
              <w:rPr>
                <w:rFonts w:hint="default" w:ascii="Times New Roman" w:hAnsi="Times New Roman" w:eastAsia="仿宋_GB2312" w:cs="Times New Roman"/>
                <w:spacing w:val="5"/>
                <w:sz w:val="21"/>
                <w:szCs w:val="21"/>
              </w:rPr>
              <w:t>工程建设区</w:t>
            </w:r>
          </w:p>
        </w:tc>
        <w:tc>
          <w:tcPr>
            <w:tcW w:w="8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绿化区</w:t>
            </w:r>
          </w:p>
        </w:tc>
        <w:tc>
          <w:tcPr>
            <w:tcW w:w="15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p>
        </w:tc>
        <w:tc>
          <w:tcPr>
            <w:tcW w:w="5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eastAsia" w:eastAsia="仿宋_GB2312" w:cs="Times New Roman"/>
                <w:sz w:val="21"/>
                <w:szCs w:val="21"/>
                <w:lang w:val="en-US" w:eastAsia="zh-CN"/>
              </w:rPr>
              <w:t>3.0</w:t>
            </w:r>
          </w:p>
        </w:tc>
        <w:tc>
          <w:tcPr>
            <w:tcW w:w="6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eastAsia" w:eastAsia="仿宋_GB2312" w:cs="Times New Roman"/>
                <w:sz w:val="21"/>
                <w:szCs w:val="21"/>
                <w:lang w:val="en-US" w:eastAsia="zh-CN"/>
              </w:rPr>
              <w:t>39933.28</w:t>
            </w:r>
          </w:p>
        </w:tc>
      </w:tr>
    </w:tbl>
    <w:p>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4.3.3土壤侵蚀模数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8"/>
          <w:highlight w:val="none"/>
        </w:rPr>
      </w:pPr>
      <w:r>
        <w:rPr>
          <w:rFonts w:hint="default" w:ascii="Times New Roman" w:hAnsi="Times New Roman" w:eastAsia="仿宋_GB2312" w:cs="Times New Roman"/>
          <w:sz w:val="24"/>
          <w:szCs w:val="28"/>
          <w:highlight w:val="none"/>
        </w:rPr>
        <w:t>本方案依据《土壤侵蚀分类分级标准》（SL190-2007），结合现场勘查，综合评定该项工程建设扰动前后及自然恢复期的土壤侵蚀模数。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8"/>
          <w:highlight w:val="none"/>
        </w:rPr>
      </w:pPr>
      <w:r>
        <w:rPr>
          <w:rFonts w:hint="default" w:ascii="Times New Roman" w:hAnsi="Times New Roman" w:eastAsia="仿宋_GB2312" w:cs="Times New Roman"/>
          <w:sz w:val="24"/>
          <w:szCs w:val="28"/>
          <w:highlight w:val="none"/>
        </w:rPr>
        <w:t>土壤侵蚀模数确定分析如下：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8"/>
          <w:highlight w:val="none"/>
        </w:rPr>
      </w:pPr>
      <w:r>
        <w:rPr>
          <w:rFonts w:hint="default" w:ascii="Times New Roman" w:hAnsi="Times New Roman" w:cs="Times New Roman"/>
          <w:sz w:val="24"/>
          <w:szCs w:val="28"/>
          <w:highlight w:val="none"/>
        </w:rPr>
        <w:t>①</w:t>
      </w:r>
      <w:r>
        <w:rPr>
          <w:rFonts w:hint="default" w:ascii="Times New Roman" w:hAnsi="Times New Roman" w:eastAsia="仿宋_GB2312" w:cs="Times New Roman"/>
          <w:sz w:val="24"/>
          <w:szCs w:val="28"/>
          <w:highlight w:val="none"/>
        </w:rPr>
        <w:t>扰动前土壤侵蚀模数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8"/>
          <w:highlight w:val="none"/>
        </w:rPr>
      </w:pPr>
      <w:r>
        <w:rPr>
          <w:rFonts w:hint="default" w:ascii="Times New Roman" w:hAnsi="Times New Roman" w:eastAsia="仿宋_GB2312" w:cs="Times New Roman"/>
          <w:sz w:val="24"/>
          <w:szCs w:val="28"/>
          <w:highlight w:val="none"/>
        </w:rPr>
        <w:t>土壤侵蚀强度以轻度为主。结合工程区土地利用类型、地面坡度等因子，参考《土壤侵蚀分类分级标准》，确定</w:t>
      </w:r>
      <w:r>
        <w:rPr>
          <w:rFonts w:hint="default" w:ascii="Times New Roman" w:hAnsi="Times New Roman" w:eastAsia="仿宋_GB2312" w:cs="Times New Roman"/>
          <w:sz w:val="24"/>
          <w:szCs w:val="28"/>
          <w:highlight w:val="none"/>
          <w:lang w:eastAsia="zh-CN"/>
        </w:rPr>
        <w:t>本期项目</w:t>
      </w:r>
      <w:r>
        <w:rPr>
          <w:rFonts w:hint="default" w:ascii="Times New Roman" w:hAnsi="Times New Roman" w:eastAsia="仿宋_GB2312" w:cs="Times New Roman"/>
          <w:sz w:val="24"/>
          <w:szCs w:val="28"/>
          <w:highlight w:val="none"/>
        </w:rPr>
        <w:t>土壤侵蚀模数背景值为400t/</w:t>
      </w:r>
      <w:r>
        <w:rPr>
          <w:rFonts w:hint="default" w:ascii="Times New Roman" w:hAnsi="Times New Roman" w:eastAsia="仿宋_GB2312" w:cs="Times New Roman"/>
          <w:sz w:val="24"/>
          <w:szCs w:val="28"/>
          <w:highlight w:val="none"/>
          <w:lang w:eastAsia="zh-CN"/>
        </w:rPr>
        <w:t>km²</w:t>
      </w:r>
      <w:r>
        <w:rPr>
          <w:rFonts w:hint="default" w:ascii="Times New Roman" w:hAnsi="Times New Roman" w:eastAsia="仿宋_GB2312" w:cs="Times New Roman"/>
          <w:sz w:val="24"/>
          <w:szCs w:val="28"/>
          <w:highlight w:val="none"/>
        </w:rPr>
        <w:t>.a。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8"/>
          <w:highlight w:val="none"/>
        </w:rPr>
      </w:pPr>
      <w:r>
        <w:rPr>
          <w:rFonts w:hint="default" w:ascii="Times New Roman" w:hAnsi="Times New Roman" w:cs="Times New Roman"/>
          <w:sz w:val="24"/>
          <w:szCs w:val="28"/>
          <w:highlight w:val="none"/>
        </w:rPr>
        <w:t>②</w:t>
      </w:r>
      <w:r>
        <w:rPr>
          <w:rFonts w:hint="default" w:ascii="Times New Roman" w:hAnsi="Times New Roman" w:eastAsia="仿宋_GB2312" w:cs="Times New Roman"/>
          <w:sz w:val="24"/>
          <w:szCs w:val="28"/>
          <w:highlight w:val="none"/>
        </w:rPr>
        <w:t>扰动后土壤侵蚀模数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highlight w:val="none"/>
        </w:rPr>
      </w:pPr>
      <w:r>
        <w:rPr>
          <w:rFonts w:hint="default" w:ascii="Times New Roman" w:hAnsi="Times New Roman" w:eastAsia="仿宋_GB2312" w:cs="Times New Roman"/>
          <w:sz w:val="24"/>
          <w:szCs w:val="28"/>
          <w:highlight w:val="none"/>
        </w:rPr>
        <w:t>根据对工程建设中产生的水土流失成因、类型、分布分析，通过现场调查确定扰动后的土壤侵蚀模数。自然恢复期，由于施工活动结束，施工区扰动程度大大减小，项目区相应的水土流失强度减弱。预测基础数据见表4-5。</w:t>
      </w:r>
    </w:p>
    <w:p>
      <w:pPr>
        <w:pStyle w:val="164"/>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val="0"/>
          <w:bCs w:val="0"/>
          <w:sz w:val="21"/>
          <w:szCs w:val="21"/>
          <w:highlight w:val="none"/>
          <w:lang w:val="en-US" w:eastAsia="zh-CN"/>
        </w:rPr>
      </w:pPr>
      <w:r>
        <w:rPr>
          <w:rFonts w:hint="default" w:ascii="Times New Roman" w:hAnsi="Times New Roman" w:eastAsia="微软雅黑" w:cs="Times New Roman"/>
          <w:b w:val="0"/>
          <w:bCs w:val="0"/>
          <w:sz w:val="21"/>
          <w:szCs w:val="21"/>
          <w:highlight w:val="none"/>
          <w:lang w:val="en-US" w:eastAsia="zh-CN"/>
        </w:rPr>
        <w:t>表4-3  各分区扰动地貌土壤侵蚀模数表</w:t>
      </w:r>
    </w:p>
    <w:tbl>
      <w:tblPr>
        <w:tblStyle w:val="556"/>
        <w:tblW w:w="4998"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364"/>
        <w:gridCol w:w="1818"/>
        <w:gridCol w:w="1813"/>
        <w:gridCol w:w="1288"/>
        <w:gridCol w:w="1061"/>
        <w:gridCol w:w="1061"/>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1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7"/>
                <w:sz w:val="21"/>
                <w:szCs w:val="21"/>
              </w:rPr>
              <w:t>预</w:t>
            </w:r>
            <w:r>
              <w:rPr>
                <w:rFonts w:hint="default" w:ascii="Times New Roman" w:hAnsi="Times New Roman" w:eastAsia="仿宋_GB2312" w:cs="Times New Roman"/>
                <w:spacing w:val="5"/>
                <w:sz w:val="21"/>
                <w:szCs w:val="21"/>
              </w:rPr>
              <w:t>测单元</w:t>
            </w:r>
          </w:p>
        </w:tc>
        <w:tc>
          <w:tcPr>
            <w:tcW w:w="108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pacing w:val="6"/>
                <w:sz w:val="21"/>
                <w:szCs w:val="21"/>
              </w:rPr>
              <w:t>土</w:t>
            </w:r>
            <w:r>
              <w:rPr>
                <w:rFonts w:hint="default" w:ascii="Times New Roman" w:hAnsi="Times New Roman" w:eastAsia="仿宋_GB2312" w:cs="Times New Roman"/>
                <w:spacing w:val="5"/>
                <w:sz w:val="21"/>
                <w:szCs w:val="21"/>
              </w:rPr>
              <w:t>壤侵蚀</w:t>
            </w:r>
            <w:r>
              <w:rPr>
                <w:rFonts w:hint="default" w:ascii="Times New Roman" w:hAnsi="Times New Roman" w:eastAsia="仿宋_GB2312" w:cs="Times New Roman"/>
                <w:spacing w:val="2"/>
                <w:sz w:val="21"/>
                <w:szCs w:val="21"/>
              </w:rPr>
              <w:t>背景值</w:t>
            </w:r>
            <w:r>
              <w:rPr>
                <w:rFonts w:hint="default" w:ascii="Times New Roman" w:hAnsi="Times New Roman" w:eastAsia="仿宋_GB2312" w:cs="Times New Roman"/>
                <w:spacing w:val="2"/>
                <w:sz w:val="21"/>
                <w:szCs w:val="21"/>
                <w:lang w:eastAsia="zh-CN"/>
              </w:rPr>
              <w:t>（</w:t>
            </w:r>
            <w:r>
              <w:rPr>
                <w:rFonts w:hint="default" w:ascii="Times New Roman" w:hAnsi="Times New Roman" w:eastAsia="仿宋_GB2312" w:cs="Times New Roman"/>
                <w:sz w:val="21"/>
                <w:szCs w:val="21"/>
                <w:lang w:val="en-US" w:eastAsia="zh-CN"/>
              </w:rPr>
              <w:t>t/km</w:t>
            </w:r>
            <w:r>
              <w:rPr>
                <w:rFonts w:hint="default" w:ascii="Times New Roman" w:hAnsi="Times New Roman" w:eastAsia="仿宋_GB2312" w:cs="Times New Roman"/>
                <w:sz w:val="21"/>
                <w:szCs w:val="21"/>
                <w:vertAlign w:val="superscript"/>
                <w:lang w:val="en-US" w:eastAsia="zh-CN"/>
              </w:rPr>
              <w:t>2</w:t>
            </w:r>
            <w:r>
              <w:rPr>
                <w:rFonts w:hint="default" w:ascii="Times New Roman" w:hAnsi="Times New Roman" w:eastAsia="仿宋_GB2312" w:cs="Times New Roman"/>
                <w:sz w:val="21"/>
                <w:szCs w:val="21"/>
                <w:lang w:val="en-US" w:eastAsia="zh-CN"/>
              </w:rPr>
              <w:t>·a</w:t>
            </w:r>
            <w:r>
              <w:rPr>
                <w:rFonts w:hint="default" w:ascii="Times New Roman" w:hAnsi="Times New Roman" w:eastAsia="仿宋_GB2312" w:cs="Times New Roman"/>
                <w:spacing w:val="2"/>
                <w:sz w:val="21"/>
                <w:szCs w:val="21"/>
                <w:lang w:eastAsia="zh-CN"/>
              </w:rPr>
              <w:t>）</w:t>
            </w:r>
          </w:p>
        </w:tc>
        <w:tc>
          <w:tcPr>
            <w:tcW w:w="107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pacing w:val="6"/>
                <w:sz w:val="21"/>
                <w:szCs w:val="21"/>
              </w:rPr>
              <w:t>施工期土壤侵蚀模</w:t>
            </w:r>
            <w:r>
              <w:rPr>
                <w:rFonts w:hint="default" w:ascii="Times New Roman" w:hAnsi="Times New Roman" w:eastAsia="仿宋_GB2312" w:cs="Times New Roman"/>
                <w:spacing w:val="6"/>
                <w:sz w:val="21"/>
                <w:szCs w:val="21"/>
                <w:lang w:eastAsia="zh-CN"/>
              </w:rPr>
              <w:t>（</w:t>
            </w:r>
            <w:r>
              <w:rPr>
                <w:rFonts w:hint="default" w:ascii="Times New Roman" w:hAnsi="Times New Roman" w:eastAsia="仿宋_GB2312" w:cs="Times New Roman"/>
                <w:sz w:val="21"/>
                <w:szCs w:val="21"/>
                <w:lang w:val="en-US" w:eastAsia="zh-CN"/>
              </w:rPr>
              <w:t>t/km</w:t>
            </w:r>
            <w:r>
              <w:rPr>
                <w:rFonts w:hint="default" w:ascii="Times New Roman" w:hAnsi="Times New Roman" w:eastAsia="仿宋_GB2312" w:cs="Times New Roman"/>
                <w:sz w:val="21"/>
                <w:szCs w:val="21"/>
                <w:vertAlign w:val="superscript"/>
                <w:lang w:val="en-US" w:eastAsia="zh-CN"/>
              </w:rPr>
              <w:t>2</w:t>
            </w:r>
            <w:r>
              <w:rPr>
                <w:rFonts w:hint="default" w:ascii="Times New Roman" w:hAnsi="Times New Roman" w:eastAsia="仿宋_GB2312" w:cs="Times New Roman"/>
                <w:sz w:val="21"/>
                <w:szCs w:val="21"/>
                <w:lang w:val="en-US" w:eastAsia="zh-CN"/>
              </w:rPr>
              <w:t>·a</w:t>
            </w:r>
            <w:r>
              <w:rPr>
                <w:rFonts w:hint="default" w:ascii="Times New Roman" w:hAnsi="Times New Roman" w:eastAsia="仿宋_GB2312" w:cs="Times New Roman"/>
                <w:spacing w:val="6"/>
                <w:sz w:val="21"/>
                <w:szCs w:val="21"/>
                <w:lang w:eastAsia="zh-CN"/>
              </w:rPr>
              <w:t>）</w:t>
            </w:r>
          </w:p>
        </w:tc>
        <w:tc>
          <w:tcPr>
            <w:tcW w:w="2028"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pacing w:val="5"/>
                <w:sz w:val="21"/>
                <w:szCs w:val="21"/>
              </w:rPr>
              <w:t>自然恢复期土壤侵蚀模数</w:t>
            </w:r>
            <w:r>
              <w:rPr>
                <w:rFonts w:hint="default" w:ascii="Times New Roman" w:hAnsi="Times New Roman" w:eastAsia="仿宋_GB2312" w:cs="Times New Roman"/>
                <w:spacing w:val="5"/>
                <w:sz w:val="21"/>
                <w:szCs w:val="21"/>
                <w:lang w:eastAsia="zh-CN"/>
              </w:rPr>
              <w:t>（</w:t>
            </w:r>
            <w:r>
              <w:rPr>
                <w:rFonts w:hint="default" w:ascii="Times New Roman" w:hAnsi="Times New Roman" w:eastAsia="仿宋_GB2312" w:cs="Times New Roman"/>
                <w:sz w:val="21"/>
                <w:szCs w:val="21"/>
                <w:lang w:val="en-US" w:eastAsia="zh-CN"/>
              </w:rPr>
              <w:t>t/km</w:t>
            </w:r>
            <w:r>
              <w:rPr>
                <w:rFonts w:hint="default" w:ascii="Times New Roman" w:hAnsi="Times New Roman" w:eastAsia="仿宋_GB2312" w:cs="Times New Roman"/>
                <w:sz w:val="21"/>
                <w:szCs w:val="21"/>
                <w:vertAlign w:val="superscript"/>
                <w:lang w:val="en-US" w:eastAsia="zh-CN"/>
              </w:rPr>
              <w:t>2</w:t>
            </w:r>
            <w:r>
              <w:rPr>
                <w:rFonts w:hint="default" w:ascii="Times New Roman" w:hAnsi="Times New Roman" w:eastAsia="仿宋_GB2312" w:cs="Times New Roman"/>
                <w:sz w:val="21"/>
                <w:szCs w:val="21"/>
                <w:lang w:val="en-US" w:eastAsia="zh-CN"/>
              </w:rPr>
              <w:t>·a</w:t>
            </w:r>
            <w:r>
              <w:rPr>
                <w:rFonts w:hint="default" w:ascii="Times New Roman" w:hAnsi="Times New Roman" w:eastAsia="仿宋_GB2312" w:cs="Times New Roman"/>
                <w:spacing w:val="5"/>
                <w:sz w:val="21"/>
                <w:szCs w:val="21"/>
                <w:lang w:eastAsia="zh-CN"/>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1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p>
        </w:tc>
        <w:tc>
          <w:tcPr>
            <w:tcW w:w="108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p>
        </w:tc>
        <w:tc>
          <w:tcPr>
            <w:tcW w:w="107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p>
        </w:tc>
        <w:tc>
          <w:tcPr>
            <w:tcW w:w="7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7"/>
                <w:sz w:val="21"/>
                <w:szCs w:val="21"/>
              </w:rPr>
              <w:t>第1年</w:t>
            </w:r>
          </w:p>
        </w:tc>
        <w:tc>
          <w:tcPr>
            <w:tcW w:w="6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7"/>
                <w:sz w:val="21"/>
                <w:szCs w:val="21"/>
              </w:rPr>
              <w:t>第2年</w:t>
            </w:r>
          </w:p>
        </w:tc>
        <w:tc>
          <w:tcPr>
            <w:tcW w:w="6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7"/>
                <w:sz w:val="21"/>
                <w:szCs w:val="21"/>
              </w:rPr>
              <w:t>第3年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6"/>
                <w:sz w:val="21"/>
                <w:szCs w:val="21"/>
              </w:rPr>
              <w:t>工程建设区</w:t>
            </w:r>
          </w:p>
        </w:tc>
        <w:tc>
          <w:tcPr>
            <w:tcW w:w="108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rPr>
            </w:pPr>
            <w:r>
              <w:rPr>
                <w:rFonts w:hint="eastAsia" w:eastAsia="仿宋_GB2312" w:cs="Times New Roman"/>
                <w:spacing w:val="2"/>
                <w:sz w:val="21"/>
                <w:szCs w:val="21"/>
                <w:lang w:val="en-US" w:eastAsia="zh-CN"/>
              </w:rPr>
              <w:t>4</w:t>
            </w:r>
            <w:r>
              <w:rPr>
                <w:rFonts w:hint="default" w:ascii="Times New Roman" w:hAnsi="Times New Roman" w:eastAsia="仿宋_GB2312" w:cs="Times New Roman"/>
                <w:spacing w:val="2"/>
                <w:sz w:val="21"/>
                <w:szCs w:val="21"/>
                <w:lang w:val="en-US" w:eastAsia="zh-CN"/>
              </w:rPr>
              <w:t>00</w:t>
            </w:r>
          </w:p>
        </w:tc>
        <w:tc>
          <w:tcPr>
            <w:tcW w:w="10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pacing w:val="4"/>
                <w:sz w:val="21"/>
                <w:szCs w:val="21"/>
                <w:lang w:val="en-US" w:eastAsia="zh-CN"/>
              </w:rPr>
              <w:t>4000</w:t>
            </w:r>
          </w:p>
        </w:tc>
        <w:tc>
          <w:tcPr>
            <w:tcW w:w="7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pacing w:val="2"/>
                <w:position w:val="2"/>
                <w:sz w:val="21"/>
                <w:szCs w:val="21"/>
                <w:lang w:val="en-US" w:eastAsia="zh-CN"/>
              </w:rPr>
              <w:t>4000</w:t>
            </w:r>
          </w:p>
        </w:tc>
        <w:tc>
          <w:tcPr>
            <w:tcW w:w="6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pacing w:val="2"/>
                <w:position w:val="2"/>
                <w:sz w:val="21"/>
                <w:szCs w:val="21"/>
                <w:lang w:val="en-US" w:eastAsia="zh-CN"/>
              </w:rPr>
              <w:t>2300</w:t>
            </w:r>
          </w:p>
        </w:tc>
        <w:tc>
          <w:tcPr>
            <w:tcW w:w="6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pacing w:val="2"/>
                <w:position w:val="2"/>
                <w:sz w:val="21"/>
                <w:szCs w:val="21"/>
                <w:lang w:val="en-US" w:eastAsia="zh-CN"/>
              </w:rPr>
              <w:t>600</w:t>
            </w:r>
          </w:p>
        </w:tc>
      </w:tr>
    </w:tbl>
    <w:p>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4.3.4可能造成的土壤流失量预测</w:t>
      </w:r>
    </w:p>
    <w:p>
      <w:pPr>
        <w:pStyle w:val="164"/>
        <w:pageBreakBefore w:val="0"/>
        <w:kinsoku/>
        <w:wordWrap/>
        <w:bidi w:val="0"/>
        <w:spacing w:line="360" w:lineRule="auto"/>
        <w:ind w:firstLine="480"/>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8"/>
          <w:highlight w:val="none"/>
        </w:rPr>
        <w:t>本方案采用现场调查结合专家预测法进行预测。利用下面的公式分时段（施工期和自然恢复期）、分区域进行预测。</w:t>
      </w:r>
    </w:p>
    <w:p>
      <w:pPr>
        <w:pageBreakBefore w:val="0"/>
        <w:kinsoku/>
        <w:wordWrap/>
        <w:bidi w:val="0"/>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水土流失量的预测采用以下公式：</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W=</w:t>
      </w:r>
      <w:r>
        <w:rPr>
          <w:rFonts w:hint="default" w:ascii="Times New Roman" w:hAnsi="Times New Roman" w:eastAsia="仿宋_GB2312" w:cs="Times New Roman"/>
          <w:sz w:val="24"/>
          <w:highlight w:val="none"/>
        </w:rPr>
        <w:drawing>
          <wp:inline distT="0" distB="0" distL="114300" distR="114300">
            <wp:extent cx="248285" cy="368300"/>
            <wp:effectExtent l="0" t="0" r="18415" b="12700"/>
            <wp:docPr id="112" name="图片 75" descr="公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75" descr="公式"/>
                    <pic:cNvPicPr>
                      <a:picLocks noChangeAspect="1"/>
                    </pic:cNvPicPr>
                  </pic:nvPicPr>
                  <pic:blipFill>
                    <a:blip r:embed="rId50"/>
                    <a:stretch>
                      <a:fillRect/>
                    </a:stretch>
                  </pic:blipFill>
                  <pic:spPr>
                    <a:xfrm>
                      <a:off x="0" y="0"/>
                      <a:ext cx="248285" cy="368300"/>
                    </a:xfrm>
                    <a:prstGeom prst="rect">
                      <a:avLst/>
                    </a:prstGeom>
                    <a:noFill/>
                    <a:ln>
                      <a:noFill/>
                    </a:ln>
                  </pic:spPr>
                </pic:pic>
              </a:graphicData>
            </a:graphic>
          </wp:inline>
        </w:drawing>
      </w:r>
      <w:r>
        <w:rPr>
          <w:rFonts w:hint="default" w:ascii="Times New Roman" w:hAnsi="Times New Roman" w:eastAsia="仿宋_GB2312" w:cs="Times New Roman"/>
          <w:sz w:val="24"/>
          <w:highlight w:val="none"/>
          <w:vertAlign w:val="subscript"/>
        </w:rPr>
        <w:drawing>
          <wp:inline distT="0" distB="0" distL="114300" distR="114300">
            <wp:extent cx="226695" cy="317500"/>
            <wp:effectExtent l="0" t="0" r="1905" b="6350"/>
            <wp:docPr id="113" name="图片 79" descr="公式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79" descr="公式 - 副本"/>
                    <pic:cNvPicPr>
                      <a:picLocks noChangeAspect="1"/>
                    </pic:cNvPicPr>
                  </pic:nvPicPr>
                  <pic:blipFill>
                    <a:blip r:embed="rId51"/>
                    <a:stretch>
                      <a:fillRect/>
                    </a:stretch>
                  </pic:blipFill>
                  <pic:spPr>
                    <a:xfrm>
                      <a:off x="0" y="0"/>
                      <a:ext cx="226695" cy="317500"/>
                    </a:xfrm>
                    <a:prstGeom prst="rect">
                      <a:avLst/>
                    </a:prstGeom>
                    <a:noFill/>
                    <a:ln>
                      <a:noFill/>
                    </a:ln>
                  </pic:spPr>
                </pic:pic>
              </a:graphicData>
            </a:graphic>
          </wp:inline>
        </w:drawing>
      </w:r>
      <w:r>
        <w:rPr>
          <w:rFonts w:hint="default" w:ascii="Times New Roman" w:hAnsi="Times New Roman" w:eastAsia="仿宋_GB2312" w:cs="Times New Roman"/>
          <w:i/>
          <w:iCs/>
          <w:sz w:val="24"/>
          <w:highlight w:val="none"/>
        </w:rPr>
        <w:t>F</w:t>
      </w:r>
      <w:r>
        <w:rPr>
          <w:rFonts w:hint="default" w:ascii="Times New Roman" w:hAnsi="Times New Roman" w:eastAsia="仿宋_GB2312" w:cs="Times New Roman"/>
          <w:sz w:val="24"/>
          <w:highlight w:val="none"/>
          <w:vertAlign w:val="subscript"/>
        </w:rPr>
        <w:t>ji</w:t>
      </w:r>
      <w:r>
        <w:rPr>
          <w:rFonts w:hint="default" w:ascii="Times New Roman" w:hAnsi="Times New Roman" w:eastAsia="仿宋_GB2312" w:cs="Times New Roman"/>
          <w:i/>
          <w:iCs/>
          <w:sz w:val="24"/>
          <w:highlight w:val="none"/>
        </w:rPr>
        <w:t>M</w:t>
      </w:r>
      <w:r>
        <w:rPr>
          <w:rFonts w:hint="default" w:ascii="Times New Roman" w:hAnsi="Times New Roman" w:eastAsia="仿宋_GB2312" w:cs="Times New Roman"/>
          <w:sz w:val="24"/>
          <w:highlight w:val="none"/>
          <w:vertAlign w:val="subscript"/>
        </w:rPr>
        <w:t>ji</w:t>
      </w:r>
      <w:r>
        <w:rPr>
          <w:rFonts w:hint="default" w:ascii="Times New Roman" w:hAnsi="Times New Roman" w:eastAsia="仿宋_GB2312" w:cs="Times New Roman"/>
          <w:i/>
          <w:iCs/>
          <w:sz w:val="24"/>
          <w:highlight w:val="none"/>
        </w:rPr>
        <w:t>T</w:t>
      </w:r>
      <w:r>
        <w:rPr>
          <w:rFonts w:hint="default" w:ascii="Times New Roman" w:hAnsi="Times New Roman" w:eastAsia="仿宋_GB2312" w:cs="Times New Roman"/>
          <w:sz w:val="24"/>
          <w:highlight w:val="none"/>
          <w:vertAlign w:val="subscript"/>
        </w:rPr>
        <w:t>ji</w:t>
      </w:r>
    </w:p>
    <w:p>
      <w:pPr>
        <w:pStyle w:val="37"/>
        <w:pageBreakBefore w:val="0"/>
        <w:kinsoku/>
        <w:wordWrap/>
        <w:bidi w:val="0"/>
        <w:spacing w:line="360" w:lineRule="auto"/>
        <w:ind w:firstLine="480"/>
        <w:rPr>
          <w:rFonts w:hint="default" w:ascii="Times New Roman" w:hAnsi="Times New Roman" w:eastAsia="仿宋_GB2312" w:cs="Times New Roman"/>
          <w:snapToGrid w:val="0"/>
          <w:kern w:val="0"/>
          <w:sz w:val="24"/>
          <w:highlight w:val="none"/>
        </w:rPr>
      </w:pPr>
      <w:r>
        <w:rPr>
          <w:rFonts w:hint="default" w:ascii="Times New Roman" w:hAnsi="Times New Roman" w:eastAsia="仿宋_GB2312" w:cs="Times New Roman"/>
          <w:snapToGrid w:val="0"/>
          <w:kern w:val="0"/>
          <w:sz w:val="24"/>
          <w:highlight w:val="none"/>
        </w:rPr>
        <w:t>W—土壤流失量（t）；</w:t>
      </w:r>
    </w:p>
    <w:p>
      <w:pPr>
        <w:pStyle w:val="37"/>
        <w:pageBreakBefore w:val="0"/>
        <w:kinsoku/>
        <w:wordWrap/>
        <w:bidi w:val="0"/>
        <w:spacing w:line="360" w:lineRule="auto"/>
        <w:ind w:firstLineChars="0"/>
        <w:rPr>
          <w:rFonts w:hint="default" w:ascii="Times New Roman" w:hAnsi="Times New Roman" w:eastAsia="仿宋_GB2312" w:cs="Times New Roman"/>
          <w:snapToGrid w:val="0"/>
          <w:kern w:val="0"/>
          <w:sz w:val="24"/>
          <w:highlight w:val="none"/>
        </w:rPr>
      </w:pPr>
      <w:r>
        <w:rPr>
          <w:rFonts w:hint="default" w:ascii="Times New Roman" w:hAnsi="Times New Roman" w:eastAsia="仿宋_GB2312" w:cs="Times New Roman"/>
          <w:snapToGrid w:val="0"/>
          <w:kern w:val="0"/>
          <w:sz w:val="24"/>
          <w:highlight w:val="none"/>
        </w:rPr>
        <w:t>j—预测时段，j=1，2，即指施工期（含施工准备期）和自然恢复期两个时段；</w:t>
      </w:r>
    </w:p>
    <w:p>
      <w:pPr>
        <w:pStyle w:val="37"/>
        <w:pageBreakBefore w:val="0"/>
        <w:kinsoku/>
        <w:wordWrap/>
        <w:bidi w:val="0"/>
        <w:spacing w:line="360" w:lineRule="auto"/>
        <w:ind w:firstLineChars="0"/>
        <w:rPr>
          <w:rFonts w:hint="default" w:ascii="Times New Roman" w:hAnsi="Times New Roman" w:eastAsia="仿宋_GB2312" w:cs="Times New Roman"/>
          <w:snapToGrid w:val="0"/>
          <w:kern w:val="0"/>
          <w:sz w:val="24"/>
          <w:highlight w:val="none"/>
        </w:rPr>
      </w:pPr>
      <w:r>
        <w:rPr>
          <w:rFonts w:hint="default" w:ascii="Times New Roman" w:hAnsi="Times New Roman" w:eastAsia="仿宋_GB2312" w:cs="Times New Roman"/>
          <w:snapToGrid w:val="0"/>
          <w:kern w:val="0"/>
          <w:sz w:val="24"/>
          <w:highlight w:val="none"/>
        </w:rPr>
        <w:t>i—预测单元，i=1</w:t>
      </w:r>
      <w:r>
        <w:rPr>
          <w:rFonts w:hint="default" w:ascii="Times New Roman" w:hAnsi="Times New Roman" w:eastAsia="仿宋_GB2312" w:cs="Times New Roman"/>
          <w:snapToGrid w:val="0"/>
          <w:kern w:val="0"/>
          <w:sz w:val="24"/>
          <w:highlight w:val="none"/>
          <w:lang w:eastAsia="zh-CN"/>
        </w:rPr>
        <w:t>，</w:t>
      </w:r>
      <w:r>
        <w:rPr>
          <w:rFonts w:hint="default" w:ascii="Times New Roman" w:hAnsi="Times New Roman" w:eastAsia="仿宋_GB2312" w:cs="Times New Roman"/>
          <w:snapToGrid w:val="0"/>
          <w:kern w:val="0"/>
          <w:sz w:val="24"/>
          <w:highlight w:val="none"/>
          <w:lang w:val="en-US" w:eastAsia="zh-CN"/>
        </w:rPr>
        <w:t>2，3</w:t>
      </w:r>
      <w:r>
        <w:rPr>
          <w:rFonts w:hint="default" w:ascii="Times New Roman" w:hAnsi="Times New Roman" w:eastAsia="仿宋_GB2312" w:cs="Times New Roman"/>
          <w:snapToGrid w:val="0"/>
          <w:kern w:val="0"/>
          <w:sz w:val="24"/>
          <w:highlight w:val="none"/>
        </w:rPr>
        <w:t>；</w:t>
      </w:r>
    </w:p>
    <w:p>
      <w:pPr>
        <w:pStyle w:val="37"/>
        <w:pageBreakBefore w:val="0"/>
        <w:kinsoku/>
        <w:wordWrap/>
        <w:bidi w:val="0"/>
        <w:spacing w:line="360" w:lineRule="auto"/>
        <w:ind w:firstLineChars="0"/>
        <w:rPr>
          <w:rFonts w:hint="default" w:ascii="Times New Roman" w:hAnsi="Times New Roman" w:eastAsia="仿宋_GB2312" w:cs="Times New Roman"/>
          <w:snapToGrid w:val="0"/>
          <w:kern w:val="0"/>
          <w:sz w:val="24"/>
          <w:highlight w:val="none"/>
        </w:rPr>
      </w:pPr>
      <w:r>
        <w:rPr>
          <w:rFonts w:hint="default" w:ascii="Times New Roman" w:hAnsi="Times New Roman" w:eastAsia="仿宋_GB2312" w:cs="Times New Roman"/>
          <w:snapToGrid w:val="0"/>
          <w:kern w:val="0"/>
          <w:sz w:val="24"/>
          <w:highlight w:val="none"/>
        </w:rPr>
        <w:t>k—预测时段，1，2，指施工期和自然恢复期；</w:t>
      </w:r>
    </w:p>
    <w:p>
      <w:pPr>
        <w:pStyle w:val="37"/>
        <w:pageBreakBefore w:val="0"/>
        <w:kinsoku/>
        <w:wordWrap/>
        <w:bidi w:val="0"/>
        <w:spacing w:line="360" w:lineRule="auto"/>
        <w:ind w:firstLineChars="0"/>
        <w:rPr>
          <w:rFonts w:hint="default" w:ascii="Times New Roman" w:hAnsi="Times New Roman" w:eastAsia="仿宋_GB2312" w:cs="Times New Roman"/>
          <w:snapToGrid w:val="0"/>
          <w:kern w:val="0"/>
          <w:sz w:val="24"/>
          <w:highlight w:val="none"/>
        </w:rPr>
      </w:pPr>
      <w:r>
        <w:rPr>
          <w:rFonts w:hint="default" w:ascii="Times New Roman" w:hAnsi="Times New Roman" w:eastAsia="仿宋_GB2312" w:cs="Times New Roman"/>
          <w:i/>
          <w:iCs/>
          <w:sz w:val="24"/>
          <w:highlight w:val="none"/>
        </w:rPr>
        <w:t>F</w:t>
      </w:r>
      <w:r>
        <w:rPr>
          <w:rFonts w:hint="default" w:ascii="Times New Roman" w:hAnsi="Times New Roman" w:eastAsia="仿宋_GB2312" w:cs="Times New Roman"/>
          <w:sz w:val="24"/>
          <w:highlight w:val="none"/>
          <w:vertAlign w:val="subscript"/>
        </w:rPr>
        <w:t>ji</w:t>
      </w:r>
      <w:r>
        <w:rPr>
          <w:rFonts w:hint="default" w:ascii="Times New Roman" w:hAnsi="Times New Roman" w:eastAsia="仿宋_GB2312" w:cs="Times New Roman"/>
          <w:snapToGrid w:val="0"/>
          <w:kern w:val="0"/>
          <w:sz w:val="24"/>
          <w:highlight w:val="none"/>
        </w:rPr>
        <w:t>—第j预测时段、第i预测单元的面积（</w:t>
      </w:r>
      <w:r>
        <w:rPr>
          <w:rFonts w:hint="default" w:ascii="Times New Roman" w:hAnsi="Times New Roman" w:eastAsia="仿宋_GB2312" w:cs="Times New Roman"/>
          <w:snapToGrid w:val="0"/>
          <w:kern w:val="0"/>
          <w:sz w:val="24"/>
          <w:highlight w:val="none"/>
          <w:lang w:eastAsia="zh-CN"/>
        </w:rPr>
        <w:t>km²</w:t>
      </w:r>
      <w:r>
        <w:rPr>
          <w:rFonts w:hint="default" w:ascii="Times New Roman" w:hAnsi="Times New Roman" w:eastAsia="仿宋_GB2312" w:cs="Times New Roman"/>
          <w:snapToGrid w:val="0"/>
          <w:kern w:val="0"/>
          <w:sz w:val="24"/>
          <w:highlight w:val="none"/>
        </w:rPr>
        <w:t>）；</w:t>
      </w:r>
    </w:p>
    <w:p>
      <w:pPr>
        <w:pStyle w:val="37"/>
        <w:pageBreakBefore w:val="0"/>
        <w:kinsoku/>
        <w:wordWrap/>
        <w:bidi w:val="0"/>
        <w:spacing w:line="360" w:lineRule="auto"/>
        <w:ind w:firstLineChars="0"/>
        <w:rPr>
          <w:rFonts w:hint="default" w:ascii="Times New Roman" w:hAnsi="Times New Roman" w:eastAsia="仿宋_GB2312" w:cs="Times New Roman"/>
          <w:snapToGrid w:val="0"/>
          <w:kern w:val="0"/>
          <w:sz w:val="24"/>
          <w:highlight w:val="none"/>
        </w:rPr>
      </w:pPr>
      <w:r>
        <w:rPr>
          <w:rFonts w:hint="default" w:ascii="Times New Roman" w:hAnsi="Times New Roman" w:eastAsia="仿宋_GB2312" w:cs="Times New Roman"/>
          <w:snapToGrid w:val="0"/>
          <w:kern w:val="0"/>
          <w:sz w:val="24"/>
          <w:highlight w:val="none"/>
        </w:rPr>
        <w:t>M</w:t>
      </w:r>
      <w:r>
        <w:rPr>
          <w:rFonts w:hint="default" w:ascii="Times New Roman" w:hAnsi="Times New Roman" w:eastAsia="仿宋_GB2312" w:cs="Times New Roman"/>
          <w:sz w:val="24"/>
          <w:highlight w:val="none"/>
          <w:vertAlign w:val="subscript"/>
        </w:rPr>
        <w:t>ji</w:t>
      </w:r>
      <w:r>
        <w:rPr>
          <w:rFonts w:hint="default" w:ascii="Times New Roman" w:hAnsi="Times New Roman" w:eastAsia="仿宋_GB2312" w:cs="Times New Roman"/>
          <w:snapToGrid w:val="0"/>
          <w:kern w:val="0"/>
          <w:sz w:val="24"/>
          <w:highlight w:val="none"/>
        </w:rPr>
        <w:t>—第j预测时段、第i预测单元的土壤侵蚀模数[t/（</w:t>
      </w:r>
      <w:r>
        <w:rPr>
          <w:rFonts w:hint="default" w:ascii="Times New Roman" w:hAnsi="Times New Roman" w:eastAsia="仿宋_GB2312" w:cs="Times New Roman"/>
          <w:snapToGrid w:val="0"/>
          <w:kern w:val="0"/>
          <w:sz w:val="24"/>
          <w:highlight w:val="none"/>
          <w:lang w:eastAsia="zh-CN"/>
        </w:rPr>
        <w:t>km²</w:t>
      </w:r>
      <w:r>
        <w:rPr>
          <w:rFonts w:hint="default" w:ascii="Times New Roman" w:hAnsi="Times New Roman" w:eastAsia="仿宋_GB2312" w:cs="Times New Roman"/>
          <w:snapToGrid w:val="0"/>
          <w:kern w:val="0"/>
          <w:sz w:val="24"/>
          <w:highlight w:val="none"/>
        </w:rPr>
        <w:t>.a）]；</w:t>
      </w:r>
    </w:p>
    <w:p>
      <w:pPr>
        <w:pStyle w:val="37"/>
        <w:pageBreakBefore w:val="0"/>
        <w:kinsoku/>
        <w:wordWrap/>
        <w:bidi w:val="0"/>
        <w:spacing w:line="360" w:lineRule="auto"/>
        <w:ind w:firstLineChars="0"/>
        <w:rPr>
          <w:rFonts w:hint="default" w:ascii="Times New Roman" w:hAnsi="Times New Roman" w:eastAsia="仿宋_GB2312" w:cs="Times New Roman"/>
          <w:sz w:val="24"/>
          <w:highlight w:val="none"/>
        </w:rPr>
      </w:pPr>
      <w:r>
        <w:rPr>
          <w:rFonts w:hint="default" w:ascii="Times New Roman" w:hAnsi="Times New Roman" w:eastAsia="仿宋_GB2312" w:cs="Times New Roman"/>
          <w:snapToGrid w:val="0"/>
          <w:kern w:val="0"/>
          <w:sz w:val="24"/>
          <w:highlight w:val="none"/>
        </w:rPr>
        <w:t>T</w:t>
      </w:r>
      <w:r>
        <w:rPr>
          <w:rFonts w:hint="default" w:ascii="Times New Roman" w:hAnsi="Times New Roman" w:eastAsia="仿宋_GB2312" w:cs="Times New Roman"/>
          <w:sz w:val="24"/>
          <w:highlight w:val="none"/>
          <w:vertAlign w:val="subscript"/>
        </w:rPr>
        <w:t>ji</w:t>
      </w:r>
      <w:r>
        <w:rPr>
          <w:rFonts w:hint="default" w:ascii="Times New Roman" w:hAnsi="Times New Roman" w:eastAsia="仿宋_GB2312" w:cs="Times New Roman"/>
          <w:snapToGrid w:val="0"/>
          <w:kern w:val="0"/>
          <w:sz w:val="24"/>
          <w:highlight w:val="none"/>
        </w:rPr>
        <w:t>—第j预测时段、第i预测单元的预测时段长（a）。</w:t>
      </w:r>
    </w:p>
    <w:p>
      <w:pPr>
        <w:pStyle w:val="8"/>
        <w:keepNext/>
        <w:keepLines/>
        <w:pageBreakBefore w:val="0"/>
        <w:widowControl w:val="0"/>
        <w:numPr>
          <w:ilvl w:val="0"/>
          <w:numId w:val="0"/>
        </w:numPr>
        <w:tabs>
          <w:tab w:val="clear" w:pos="864"/>
        </w:tabs>
        <w:kinsoku/>
        <w:wordWrap/>
        <w:overflowPunct/>
        <w:topLinePunct w:val="0"/>
        <w:autoSpaceDE/>
        <w:autoSpaceDN/>
        <w:bidi w:val="0"/>
        <w:adjustRightInd w:val="0"/>
        <w:snapToGrid/>
        <w:spacing w:line="360" w:lineRule="auto"/>
        <w:ind w:leftChars="0" w:firstLine="482" w:firstLineChars="200"/>
        <w:textAlignment w:val="baseline"/>
        <w:rPr>
          <w:rFonts w:hint="default" w:ascii="Times New Roman" w:hAnsi="Times New Roman" w:eastAsia="仿宋_GB2312" w:cs="Times New Roman"/>
          <w:b/>
          <w:bCs/>
          <w:i w:val="0"/>
          <w:iCs w:val="0"/>
          <w:sz w:val="24"/>
          <w:szCs w:val="24"/>
          <w:lang w:val="en-US" w:eastAsia="zh-CN"/>
        </w:rPr>
      </w:pPr>
      <w:r>
        <w:rPr>
          <w:rFonts w:hint="default" w:ascii="Times New Roman" w:hAnsi="Times New Roman" w:eastAsia="仿宋_GB2312" w:cs="Times New Roman"/>
          <w:b/>
          <w:bCs/>
          <w:i w:val="0"/>
          <w:iCs w:val="0"/>
          <w:sz w:val="24"/>
          <w:szCs w:val="24"/>
          <w:lang w:val="en-US" w:eastAsia="zh-CN"/>
        </w:rPr>
        <w:t>4.3.4.1施工期土壤流失量预测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施工期，各预测单元地表开挖与回填，其土壤松散系数不一，密实结构发生变化，土体的凝聚力、粘度、内摩擦角度等都会发生很大变化，抗蚀能力明显下降，侵蚀强度一般较原来增大较多，侵蚀模数也相应增大。结合实地调查分析，扰动侵蚀模数根据施工工艺和施工时段的不同，在不同的时段有不同的变化，水土流失预测直接采用扰动前后土壤侵蚀模数变化、侵蚀面积和侵蚀时间来确定。经预测，</w:t>
      </w:r>
      <w:r>
        <w:rPr>
          <w:rFonts w:hint="default" w:ascii="Times New Roman" w:hAnsi="Times New Roman" w:eastAsia="仿宋_GB2312" w:cs="Times New Roman"/>
          <w:color w:val="auto"/>
          <w:sz w:val="24"/>
          <w:lang w:eastAsia="zh-CN"/>
        </w:rPr>
        <w:t>本期项目</w:t>
      </w:r>
      <w:r>
        <w:rPr>
          <w:rFonts w:hint="default" w:ascii="Times New Roman" w:hAnsi="Times New Roman" w:eastAsia="仿宋_GB2312" w:cs="Times New Roman"/>
          <w:color w:val="auto"/>
          <w:sz w:val="24"/>
        </w:rPr>
        <w:t>施工期内产生</w:t>
      </w:r>
      <w:r>
        <w:rPr>
          <w:rFonts w:hint="default" w:ascii="Times New Roman" w:hAnsi="Times New Roman" w:eastAsia="仿宋_GB2312" w:cs="Times New Roman"/>
          <w:bCs/>
          <w:color w:val="auto"/>
          <w:sz w:val="24"/>
        </w:rPr>
        <w:t>土壤</w:t>
      </w:r>
      <w:r>
        <w:rPr>
          <w:rFonts w:hint="default" w:ascii="Times New Roman" w:hAnsi="Times New Roman" w:eastAsia="仿宋_GB2312" w:cs="Times New Roman"/>
          <w:color w:val="auto"/>
          <w:sz w:val="24"/>
        </w:rPr>
        <w:t>流失总量为</w:t>
      </w:r>
      <w:r>
        <w:rPr>
          <w:rFonts w:hint="eastAsia" w:eastAsia="仿宋_GB2312" w:cs="Times New Roman"/>
          <w:color w:val="auto"/>
          <w:sz w:val="24"/>
          <w:lang w:val="en-US" w:eastAsia="zh-CN"/>
        </w:rPr>
        <w:t>1159.05</w:t>
      </w:r>
      <w:r>
        <w:rPr>
          <w:rFonts w:hint="default" w:ascii="Times New Roman" w:hAnsi="Times New Roman" w:eastAsia="仿宋_GB2312" w:cs="Times New Roman"/>
          <w:color w:val="auto"/>
          <w:sz w:val="24"/>
        </w:rPr>
        <w:t>t，新增</w:t>
      </w:r>
      <w:r>
        <w:rPr>
          <w:rFonts w:hint="default" w:ascii="Times New Roman" w:hAnsi="Times New Roman" w:eastAsia="仿宋_GB2312" w:cs="Times New Roman"/>
          <w:bCs/>
          <w:color w:val="auto"/>
          <w:sz w:val="24"/>
        </w:rPr>
        <w:t>土壤</w:t>
      </w:r>
      <w:r>
        <w:rPr>
          <w:rFonts w:hint="default" w:ascii="Times New Roman" w:hAnsi="Times New Roman" w:eastAsia="仿宋_GB2312" w:cs="Times New Roman"/>
          <w:color w:val="auto"/>
          <w:sz w:val="24"/>
        </w:rPr>
        <w:t>流失总量为</w:t>
      </w:r>
      <w:r>
        <w:rPr>
          <w:rFonts w:hint="eastAsia" w:eastAsia="仿宋_GB2312" w:cs="Times New Roman"/>
          <w:color w:val="auto"/>
          <w:sz w:val="24"/>
          <w:lang w:val="en-US" w:eastAsia="zh-CN"/>
        </w:rPr>
        <w:t>1043.14</w:t>
      </w:r>
      <w:r>
        <w:rPr>
          <w:rFonts w:hint="default" w:ascii="Times New Roman" w:hAnsi="Times New Roman" w:eastAsia="仿宋_GB2312" w:cs="Times New Roman"/>
          <w:color w:val="auto"/>
          <w:sz w:val="24"/>
        </w:rPr>
        <w:t>t。</w:t>
      </w:r>
    </w:p>
    <w:p>
      <w:pPr>
        <w:pStyle w:val="164"/>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val="0"/>
          <w:bCs w:val="0"/>
          <w:sz w:val="21"/>
          <w:szCs w:val="21"/>
          <w:highlight w:val="none"/>
          <w:lang w:val="en-US" w:eastAsia="zh-CN"/>
        </w:rPr>
      </w:pPr>
      <w:r>
        <w:rPr>
          <w:rFonts w:hint="default" w:ascii="Times New Roman" w:hAnsi="Times New Roman" w:eastAsia="微软雅黑" w:cs="Times New Roman"/>
          <w:b w:val="0"/>
          <w:bCs w:val="0"/>
          <w:sz w:val="21"/>
          <w:szCs w:val="21"/>
          <w:highlight w:val="none"/>
          <w:lang w:val="en-US" w:eastAsia="zh-CN"/>
        </w:rPr>
        <w:t>表4-4  施工期土壤流失量统计表</w:t>
      </w:r>
    </w:p>
    <w:tbl>
      <w:tblPr>
        <w:tblStyle w:val="88"/>
        <w:tblW w:w="4998"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4"/>
        <w:gridCol w:w="1432"/>
        <w:gridCol w:w="1023"/>
        <w:gridCol w:w="1036"/>
        <w:gridCol w:w="777"/>
        <w:gridCol w:w="900"/>
        <w:gridCol w:w="982"/>
        <w:gridCol w:w="873"/>
        <w:gridCol w:w="934"/>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5"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预测单元</w:t>
            </w:r>
          </w:p>
        </w:tc>
        <w:tc>
          <w:tcPr>
            <w:tcW w:w="59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sz w:val="20"/>
                <w:szCs w:val="20"/>
                <w:u w:val="none"/>
              </w:rPr>
            </w:pPr>
            <w:r>
              <w:rPr>
                <w:rFonts w:hint="default" w:ascii="Times New Roman" w:hAnsi="Times New Roman" w:eastAsia="仿宋_GB2312" w:cs="Times New Roman"/>
                <w:i w:val="0"/>
                <w:iCs w:val="0"/>
                <w:color w:val="000000"/>
                <w:kern w:val="0"/>
                <w:sz w:val="20"/>
                <w:szCs w:val="20"/>
                <w:u w:val="none"/>
                <w:lang w:val="en-US" w:eastAsia="zh-CN" w:bidi="ar"/>
              </w:rPr>
              <w:t>水土流失面积(m</w:t>
            </w:r>
            <w:r>
              <w:rPr>
                <w:rFonts w:hint="default" w:ascii="Times New Roman" w:hAnsi="Times New Roman" w:eastAsia="仿宋_GB2312" w:cs="Times New Roman"/>
                <w:i w:val="0"/>
                <w:iCs w:val="0"/>
                <w:color w:val="000000"/>
                <w:kern w:val="0"/>
                <w:sz w:val="20"/>
                <w:szCs w:val="20"/>
                <w:u w:val="none"/>
                <w:vertAlign w:val="superscript"/>
                <w:lang w:val="en-US" w:eastAsia="zh-CN" w:bidi="ar"/>
              </w:rPr>
              <w:t>2</w:t>
            </w:r>
            <w:r>
              <w:rPr>
                <w:rFonts w:hint="default" w:ascii="Times New Roman" w:hAnsi="Times New Roman" w:eastAsia="仿宋_GB2312" w:cs="Times New Roman"/>
                <w:i w:val="0"/>
                <w:iCs w:val="0"/>
                <w:color w:val="000000"/>
                <w:kern w:val="0"/>
                <w:sz w:val="20"/>
                <w:szCs w:val="20"/>
                <w:u w:val="none"/>
                <w:lang w:val="en-US" w:eastAsia="zh-CN" w:bidi="ar"/>
              </w:rPr>
              <w:t>)</w:t>
            </w:r>
          </w:p>
        </w:tc>
        <w:tc>
          <w:tcPr>
            <w:tcW w:w="60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sz w:val="20"/>
                <w:szCs w:val="20"/>
                <w:u w:val="none"/>
              </w:rPr>
            </w:pPr>
            <w:r>
              <w:rPr>
                <w:rFonts w:hint="default" w:ascii="Times New Roman" w:hAnsi="Times New Roman" w:eastAsia="仿宋_GB2312" w:cs="Times New Roman"/>
                <w:i w:val="0"/>
                <w:iCs w:val="0"/>
                <w:color w:val="000000"/>
                <w:kern w:val="0"/>
                <w:sz w:val="20"/>
                <w:szCs w:val="20"/>
                <w:u w:val="none"/>
                <w:lang w:val="en-US" w:eastAsia="zh-CN" w:bidi="ar"/>
              </w:rPr>
              <w:t>侵蚀模数(t/km</w:t>
            </w:r>
            <w:r>
              <w:rPr>
                <w:rFonts w:hint="default" w:ascii="Times New Roman" w:hAnsi="Times New Roman" w:eastAsia="仿宋_GB2312" w:cs="Times New Roman"/>
                <w:i w:val="0"/>
                <w:iCs w:val="0"/>
                <w:color w:val="000000"/>
                <w:kern w:val="0"/>
                <w:sz w:val="20"/>
                <w:szCs w:val="20"/>
                <w:u w:val="none"/>
                <w:vertAlign w:val="superscript"/>
                <w:lang w:val="en-US" w:eastAsia="zh-CN" w:bidi="ar"/>
              </w:rPr>
              <w:t>2</w:t>
            </w:r>
            <w:r>
              <w:rPr>
                <w:rFonts w:hint="default" w:ascii="Times New Roman" w:hAnsi="Times New Roman" w:eastAsia="仿宋_GB2312" w:cs="Times New Roman"/>
                <w:i w:val="0"/>
                <w:iCs w:val="0"/>
                <w:color w:val="000000"/>
                <w:kern w:val="0"/>
                <w:sz w:val="20"/>
                <w:szCs w:val="20"/>
                <w:u w:val="none"/>
                <w:lang w:val="en-US" w:eastAsia="zh-CN" w:bidi="ar"/>
              </w:rPr>
              <w:t>.a)</w:t>
            </w:r>
          </w:p>
        </w:tc>
        <w:tc>
          <w:tcPr>
            <w:tcW w:w="45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sz w:val="20"/>
                <w:szCs w:val="20"/>
                <w:u w:val="none"/>
              </w:rPr>
            </w:pPr>
            <w:r>
              <w:rPr>
                <w:rFonts w:hint="default" w:ascii="Times New Roman" w:hAnsi="Times New Roman" w:eastAsia="仿宋_GB2312" w:cs="Times New Roman"/>
                <w:i w:val="0"/>
                <w:iCs w:val="0"/>
                <w:color w:val="000000"/>
                <w:kern w:val="0"/>
                <w:sz w:val="20"/>
                <w:szCs w:val="20"/>
                <w:u w:val="none"/>
                <w:lang w:val="en-US" w:eastAsia="zh-CN" w:bidi="ar"/>
              </w:rPr>
              <w:t>预测时段(a)</w:t>
            </w:r>
          </w:p>
        </w:tc>
        <w:tc>
          <w:tcPr>
            <w:tcW w:w="52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sz w:val="20"/>
                <w:szCs w:val="20"/>
                <w:u w:val="none"/>
              </w:rPr>
            </w:pPr>
            <w:r>
              <w:rPr>
                <w:rFonts w:hint="default" w:ascii="Times New Roman" w:hAnsi="Times New Roman" w:eastAsia="仿宋_GB2312" w:cs="Times New Roman"/>
                <w:i w:val="0"/>
                <w:iCs w:val="0"/>
                <w:color w:val="000000"/>
                <w:kern w:val="0"/>
                <w:sz w:val="20"/>
                <w:szCs w:val="20"/>
                <w:u w:val="none"/>
                <w:lang w:val="en-US" w:eastAsia="zh-CN" w:bidi="ar"/>
              </w:rPr>
              <w:t>土壤流失量(t)</w:t>
            </w:r>
          </w:p>
        </w:tc>
        <w:tc>
          <w:tcPr>
            <w:tcW w:w="5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sz w:val="20"/>
                <w:szCs w:val="20"/>
                <w:u w:val="none"/>
              </w:rPr>
            </w:pPr>
            <w:r>
              <w:rPr>
                <w:rFonts w:hint="default" w:ascii="Times New Roman" w:hAnsi="Times New Roman" w:eastAsia="仿宋_GB2312" w:cs="Times New Roman"/>
                <w:i w:val="0"/>
                <w:iCs w:val="0"/>
                <w:color w:val="000000"/>
                <w:kern w:val="0"/>
                <w:sz w:val="20"/>
                <w:szCs w:val="20"/>
                <w:u w:val="none"/>
                <w:lang w:val="en-US" w:eastAsia="zh-CN" w:bidi="ar"/>
              </w:rPr>
              <w:t>背景值(t/km</w:t>
            </w:r>
            <w:r>
              <w:rPr>
                <w:rFonts w:hint="default" w:ascii="Times New Roman" w:hAnsi="Times New Roman" w:eastAsia="仿宋_GB2312" w:cs="Times New Roman"/>
                <w:i w:val="0"/>
                <w:iCs w:val="0"/>
                <w:color w:val="000000"/>
                <w:kern w:val="0"/>
                <w:sz w:val="20"/>
                <w:szCs w:val="20"/>
                <w:u w:val="none"/>
                <w:vertAlign w:val="superscript"/>
                <w:lang w:val="en-US" w:eastAsia="zh-CN" w:bidi="ar"/>
              </w:rPr>
              <w:t>2</w:t>
            </w:r>
            <w:r>
              <w:rPr>
                <w:rFonts w:hint="default" w:ascii="Times New Roman" w:hAnsi="Times New Roman" w:eastAsia="仿宋_GB2312" w:cs="Times New Roman"/>
                <w:i w:val="0"/>
                <w:iCs w:val="0"/>
                <w:color w:val="000000"/>
                <w:kern w:val="0"/>
                <w:sz w:val="20"/>
                <w:szCs w:val="20"/>
                <w:u w:val="none"/>
                <w:lang w:val="en-US" w:eastAsia="zh-CN" w:bidi="ar"/>
              </w:rPr>
              <w:t>.a)</w:t>
            </w:r>
          </w:p>
        </w:tc>
        <w:tc>
          <w:tcPr>
            <w:tcW w:w="50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sz w:val="20"/>
                <w:szCs w:val="20"/>
                <w:u w:val="none"/>
              </w:rPr>
            </w:pPr>
            <w:r>
              <w:rPr>
                <w:rFonts w:hint="default" w:ascii="Times New Roman" w:hAnsi="Times New Roman" w:eastAsia="仿宋_GB2312" w:cs="Times New Roman"/>
                <w:i w:val="0"/>
                <w:iCs w:val="0"/>
                <w:color w:val="000000"/>
                <w:kern w:val="0"/>
                <w:sz w:val="20"/>
                <w:szCs w:val="20"/>
                <w:u w:val="none"/>
                <w:lang w:val="en-US" w:eastAsia="zh-CN" w:bidi="ar"/>
              </w:rPr>
              <w:t>原地貌土壤流失量（t）</w:t>
            </w:r>
          </w:p>
        </w:tc>
        <w:tc>
          <w:tcPr>
            <w:tcW w:w="54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sz w:val="20"/>
                <w:szCs w:val="20"/>
                <w:u w:val="none"/>
              </w:rPr>
            </w:pPr>
            <w:r>
              <w:rPr>
                <w:rFonts w:hint="default" w:ascii="Times New Roman" w:hAnsi="Times New Roman" w:eastAsia="仿宋_GB2312" w:cs="Times New Roman"/>
                <w:i w:val="0"/>
                <w:iCs w:val="0"/>
                <w:color w:val="000000"/>
                <w:kern w:val="0"/>
                <w:sz w:val="20"/>
                <w:szCs w:val="20"/>
                <w:u w:val="none"/>
                <w:lang w:val="en-US" w:eastAsia="zh-CN" w:bidi="ar"/>
              </w:rPr>
              <w:t>新增土壤流失量（t)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vMerge w:val="restar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sz w:val="20"/>
                <w:szCs w:val="20"/>
                <w:u w:val="none"/>
              </w:rPr>
            </w:pPr>
            <w:r>
              <w:rPr>
                <w:rFonts w:hint="default" w:ascii="Times New Roman" w:hAnsi="Times New Roman" w:eastAsia="仿宋_GB2312" w:cs="Times New Roman"/>
                <w:i w:val="0"/>
                <w:iCs w:val="0"/>
                <w:color w:val="000000"/>
                <w:kern w:val="0"/>
                <w:sz w:val="20"/>
                <w:szCs w:val="20"/>
                <w:u w:val="none"/>
                <w:lang w:val="en-US" w:eastAsia="zh-CN" w:bidi="ar"/>
              </w:rPr>
              <w:t>工程建设区</w:t>
            </w:r>
          </w:p>
        </w:tc>
        <w:tc>
          <w:tcPr>
            <w:tcW w:w="8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sz w:val="20"/>
                <w:szCs w:val="20"/>
                <w:lang w:val="en-US" w:eastAsia="zh-CN"/>
              </w:rPr>
              <w:t>建构筑物区</w:t>
            </w:r>
          </w:p>
        </w:tc>
        <w:tc>
          <w:tcPr>
            <w:tcW w:w="5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i w:val="0"/>
                <w:iCs w:val="0"/>
                <w:color w:val="000000"/>
                <w:sz w:val="20"/>
                <w:szCs w:val="20"/>
                <w:u w:val="none"/>
              </w:rPr>
            </w:pPr>
            <w:r>
              <w:rPr>
                <w:rFonts w:hint="eastAsia" w:eastAsia="仿宋_GB2312" w:cs="Times New Roman"/>
                <w:sz w:val="20"/>
                <w:szCs w:val="20"/>
                <w:lang w:val="en-US" w:eastAsia="zh-CN"/>
              </w:rPr>
              <w:t>80041.76</w:t>
            </w:r>
          </w:p>
        </w:tc>
        <w:tc>
          <w:tcPr>
            <w:tcW w:w="60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sz w:val="20"/>
                <w:szCs w:val="20"/>
                <w:u w:val="none"/>
                <w:lang w:val="en-US"/>
              </w:rPr>
            </w:pPr>
            <w:r>
              <w:rPr>
                <w:rFonts w:hint="eastAsia" w:eastAsia="仿宋_GB2312" w:cs="Times New Roman"/>
                <w:i w:val="0"/>
                <w:iCs w:val="0"/>
                <w:color w:val="000000"/>
                <w:kern w:val="0"/>
                <w:sz w:val="20"/>
                <w:szCs w:val="20"/>
                <w:u w:val="none"/>
                <w:lang w:val="en-US" w:eastAsia="zh-CN" w:bidi="ar"/>
              </w:rPr>
              <w:t>4000</w:t>
            </w:r>
          </w:p>
        </w:tc>
        <w:tc>
          <w:tcPr>
            <w:tcW w:w="7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i w:val="0"/>
                <w:iCs w:val="0"/>
                <w:color w:val="000000"/>
                <w:sz w:val="20"/>
                <w:szCs w:val="20"/>
                <w:highlight w:val="yellow"/>
                <w:u w:val="none"/>
                <w:lang w:val="en-US" w:eastAsia="zh-CN"/>
              </w:rPr>
            </w:pPr>
            <w:r>
              <w:rPr>
                <w:rFonts w:hint="eastAsia" w:eastAsia="仿宋_GB2312" w:cs="Times New Roman"/>
                <w:sz w:val="21"/>
                <w:szCs w:val="21"/>
                <w:lang w:val="en-US" w:eastAsia="zh-CN"/>
              </w:rPr>
              <w:t>1.50</w:t>
            </w:r>
          </w:p>
        </w:tc>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eastAsia="仿宋_GB2312" w:cs="Times New Roman"/>
                <w:sz w:val="20"/>
                <w:szCs w:val="20"/>
                <w:lang w:val="en-US" w:eastAsia="zh-CN"/>
              </w:rPr>
            </w:pPr>
            <w:r>
              <w:rPr>
                <w:rFonts w:hint="default" w:eastAsia="仿宋_GB2312" w:cs="Times New Roman"/>
                <w:sz w:val="20"/>
                <w:szCs w:val="20"/>
                <w:lang w:val="en-US" w:eastAsia="zh-CN"/>
              </w:rPr>
              <w:t xml:space="preserve">480.25 </w:t>
            </w:r>
          </w:p>
        </w:tc>
        <w:tc>
          <w:tcPr>
            <w:tcW w:w="5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eastAsia="仿宋_GB2312" w:cs="Times New Roman"/>
                <w:sz w:val="20"/>
                <w:szCs w:val="20"/>
                <w:lang w:val="en-US" w:eastAsia="zh-CN"/>
              </w:rPr>
            </w:pPr>
            <w:r>
              <w:rPr>
                <w:rFonts w:hint="default" w:eastAsia="仿宋_GB2312" w:cs="Times New Roman"/>
                <w:sz w:val="20"/>
                <w:szCs w:val="20"/>
                <w:lang w:val="en-US" w:eastAsia="zh-CN"/>
              </w:rPr>
              <w:t>400</w:t>
            </w:r>
          </w:p>
        </w:tc>
        <w:tc>
          <w:tcPr>
            <w:tcW w:w="8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eastAsia="仿宋_GB2312" w:cs="Times New Roman"/>
                <w:sz w:val="20"/>
                <w:szCs w:val="20"/>
                <w:lang w:val="en-US" w:eastAsia="zh-CN"/>
              </w:rPr>
            </w:pPr>
            <w:r>
              <w:rPr>
                <w:rFonts w:hint="default" w:eastAsia="仿宋_GB2312" w:cs="Times New Roman"/>
                <w:sz w:val="20"/>
                <w:szCs w:val="20"/>
                <w:lang w:val="en-US" w:eastAsia="zh-CN"/>
              </w:rPr>
              <w:t xml:space="preserve">48.03 </w:t>
            </w:r>
          </w:p>
        </w:tc>
        <w:tc>
          <w:tcPr>
            <w:tcW w:w="9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eastAsia="仿宋_GB2312" w:cs="Times New Roman"/>
                <w:sz w:val="20"/>
                <w:szCs w:val="20"/>
                <w:lang w:val="en-US" w:eastAsia="zh-CN"/>
              </w:rPr>
            </w:pPr>
            <w:r>
              <w:rPr>
                <w:rFonts w:hint="default" w:eastAsia="仿宋_GB2312" w:cs="Times New Roman"/>
                <w:sz w:val="20"/>
                <w:szCs w:val="20"/>
                <w:lang w:val="en-US" w:eastAsia="zh-CN"/>
              </w:rPr>
              <w:t xml:space="preserve">432.23 </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vMerge w:val="continue"/>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p>
        </w:tc>
        <w:tc>
          <w:tcPr>
            <w:tcW w:w="8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sz w:val="20"/>
                <w:szCs w:val="20"/>
                <w:lang w:val="en-US" w:eastAsia="zh-CN"/>
              </w:rPr>
              <w:t>道路及硬化区</w:t>
            </w:r>
          </w:p>
        </w:tc>
        <w:tc>
          <w:tcPr>
            <w:tcW w:w="5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i w:val="0"/>
                <w:iCs w:val="0"/>
                <w:color w:val="000000"/>
                <w:kern w:val="0"/>
                <w:sz w:val="20"/>
                <w:szCs w:val="20"/>
                <w:u w:val="none"/>
                <w:lang w:val="en-US" w:eastAsia="zh-CN" w:bidi="ar"/>
              </w:rPr>
            </w:pPr>
            <w:r>
              <w:rPr>
                <w:rFonts w:hint="eastAsia" w:eastAsia="仿宋_GB2312" w:cs="Times New Roman"/>
                <w:sz w:val="20"/>
                <w:szCs w:val="20"/>
                <w:lang w:val="en-US" w:eastAsia="zh-CN"/>
              </w:rPr>
              <w:t>79857.96</w:t>
            </w:r>
          </w:p>
        </w:tc>
        <w:tc>
          <w:tcPr>
            <w:tcW w:w="60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eastAsia" w:eastAsia="仿宋_GB2312" w:cs="Times New Roman"/>
                <w:i w:val="0"/>
                <w:iCs w:val="0"/>
                <w:color w:val="000000"/>
                <w:kern w:val="0"/>
                <w:sz w:val="20"/>
                <w:szCs w:val="20"/>
                <w:u w:val="none"/>
                <w:lang w:val="en-US" w:eastAsia="zh-CN" w:bidi="ar"/>
              </w:rPr>
              <w:t>4000</w:t>
            </w:r>
          </w:p>
        </w:tc>
        <w:tc>
          <w:tcPr>
            <w:tcW w:w="7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i w:val="0"/>
                <w:iCs w:val="0"/>
                <w:color w:val="000000"/>
                <w:kern w:val="0"/>
                <w:sz w:val="20"/>
                <w:szCs w:val="20"/>
                <w:highlight w:val="yellow"/>
                <w:u w:val="none"/>
                <w:lang w:val="en-US" w:eastAsia="zh-CN" w:bidi="ar"/>
              </w:rPr>
            </w:pPr>
            <w:r>
              <w:rPr>
                <w:rFonts w:hint="eastAsia" w:eastAsia="仿宋_GB2312" w:cs="Times New Roman"/>
                <w:sz w:val="21"/>
                <w:szCs w:val="21"/>
                <w:lang w:val="en-US" w:eastAsia="zh-CN"/>
              </w:rPr>
              <w:t>2.0</w:t>
            </w:r>
          </w:p>
        </w:tc>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eastAsia="仿宋_GB2312" w:cs="Times New Roman"/>
                <w:sz w:val="20"/>
                <w:szCs w:val="20"/>
                <w:lang w:val="en-US" w:eastAsia="zh-CN"/>
              </w:rPr>
            </w:pPr>
            <w:r>
              <w:rPr>
                <w:rFonts w:hint="default" w:eastAsia="仿宋_GB2312" w:cs="Times New Roman"/>
                <w:sz w:val="20"/>
                <w:szCs w:val="20"/>
                <w:lang w:val="en-US" w:eastAsia="zh-CN"/>
              </w:rPr>
              <w:t xml:space="preserve">638.86 </w:t>
            </w:r>
          </w:p>
        </w:tc>
        <w:tc>
          <w:tcPr>
            <w:tcW w:w="5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eastAsia="仿宋_GB2312" w:cs="Times New Roman"/>
                <w:sz w:val="20"/>
                <w:szCs w:val="20"/>
                <w:lang w:val="en-US" w:eastAsia="zh-CN"/>
              </w:rPr>
            </w:pPr>
            <w:r>
              <w:rPr>
                <w:rFonts w:hint="default" w:eastAsia="仿宋_GB2312" w:cs="Times New Roman"/>
                <w:sz w:val="20"/>
                <w:szCs w:val="20"/>
                <w:lang w:val="en-US" w:eastAsia="zh-CN"/>
              </w:rPr>
              <w:t>400</w:t>
            </w:r>
          </w:p>
        </w:tc>
        <w:tc>
          <w:tcPr>
            <w:tcW w:w="8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eastAsia="仿宋_GB2312" w:cs="Times New Roman"/>
                <w:sz w:val="20"/>
                <w:szCs w:val="20"/>
                <w:lang w:val="en-US" w:eastAsia="zh-CN"/>
              </w:rPr>
            </w:pPr>
            <w:r>
              <w:rPr>
                <w:rFonts w:hint="default" w:eastAsia="仿宋_GB2312" w:cs="Times New Roman"/>
                <w:sz w:val="20"/>
                <w:szCs w:val="20"/>
                <w:lang w:val="en-US" w:eastAsia="zh-CN"/>
              </w:rPr>
              <w:t xml:space="preserve">63.89 </w:t>
            </w:r>
          </w:p>
        </w:tc>
        <w:tc>
          <w:tcPr>
            <w:tcW w:w="9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eastAsia="仿宋_GB2312" w:cs="Times New Roman"/>
                <w:sz w:val="20"/>
                <w:szCs w:val="20"/>
                <w:lang w:val="en-US" w:eastAsia="zh-CN"/>
              </w:rPr>
            </w:pPr>
            <w:r>
              <w:rPr>
                <w:rFonts w:hint="default" w:eastAsia="仿宋_GB2312" w:cs="Times New Roman"/>
                <w:sz w:val="20"/>
                <w:szCs w:val="20"/>
                <w:lang w:val="en-US" w:eastAsia="zh-CN"/>
              </w:rPr>
              <w:t xml:space="preserve">574.98 </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vMerge w:val="continue"/>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p>
        </w:tc>
        <w:tc>
          <w:tcPr>
            <w:tcW w:w="8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sz w:val="20"/>
                <w:szCs w:val="20"/>
                <w:lang w:val="en-US" w:eastAsia="zh-CN"/>
              </w:rPr>
              <w:t>绿化区</w:t>
            </w:r>
          </w:p>
        </w:tc>
        <w:tc>
          <w:tcPr>
            <w:tcW w:w="5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i w:val="0"/>
                <w:iCs w:val="0"/>
                <w:color w:val="000000"/>
                <w:kern w:val="0"/>
                <w:sz w:val="20"/>
                <w:szCs w:val="20"/>
                <w:u w:val="none"/>
                <w:lang w:val="en-US" w:eastAsia="zh-CN" w:bidi="ar"/>
              </w:rPr>
            </w:pPr>
            <w:r>
              <w:rPr>
                <w:rFonts w:hint="eastAsia" w:eastAsia="仿宋_GB2312" w:cs="Times New Roman"/>
                <w:sz w:val="20"/>
                <w:szCs w:val="20"/>
                <w:lang w:val="en-US" w:eastAsia="zh-CN"/>
              </w:rPr>
              <w:t>39933.28</w:t>
            </w:r>
          </w:p>
        </w:tc>
        <w:tc>
          <w:tcPr>
            <w:tcW w:w="60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4000</w:t>
            </w:r>
          </w:p>
        </w:tc>
        <w:tc>
          <w:tcPr>
            <w:tcW w:w="7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i w:val="0"/>
                <w:iCs w:val="0"/>
                <w:color w:val="000000"/>
                <w:kern w:val="0"/>
                <w:sz w:val="20"/>
                <w:szCs w:val="20"/>
                <w:highlight w:val="yellow"/>
                <w:u w:val="none"/>
                <w:lang w:val="en-US" w:eastAsia="zh-CN" w:bidi="ar"/>
              </w:rPr>
            </w:pPr>
            <w:r>
              <w:rPr>
                <w:rFonts w:hint="eastAsia" w:eastAsia="仿宋_GB2312" w:cs="Times New Roman"/>
                <w:sz w:val="21"/>
                <w:szCs w:val="21"/>
                <w:lang w:val="en-US" w:eastAsia="zh-CN"/>
              </w:rPr>
              <w:t>0.25</w:t>
            </w:r>
          </w:p>
        </w:tc>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eastAsia="仿宋_GB2312" w:cs="Times New Roman"/>
                <w:sz w:val="20"/>
                <w:szCs w:val="20"/>
                <w:lang w:val="en-US" w:eastAsia="zh-CN"/>
              </w:rPr>
            </w:pPr>
            <w:r>
              <w:rPr>
                <w:rFonts w:hint="default" w:eastAsia="仿宋_GB2312" w:cs="Times New Roman"/>
                <w:sz w:val="20"/>
                <w:szCs w:val="20"/>
                <w:lang w:val="en-US" w:eastAsia="zh-CN"/>
              </w:rPr>
              <w:t xml:space="preserve">39.93 </w:t>
            </w:r>
          </w:p>
        </w:tc>
        <w:tc>
          <w:tcPr>
            <w:tcW w:w="5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eastAsia="仿宋_GB2312" w:cs="Times New Roman"/>
                <w:sz w:val="20"/>
                <w:szCs w:val="20"/>
                <w:lang w:val="en-US" w:eastAsia="zh-CN"/>
              </w:rPr>
            </w:pPr>
            <w:r>
              <w:rPr>
                <w:rFonts w:hint="default" w:eastAsia="仿宋_GB2312" w:cs="Times New Roman"/>
                <w:sz w:val="20"/>
                <w:szCs w:val="20"/>
                <w:lang w:val="en-US" w:eastAsia="zh-CN"/>
              </w:rPr>
              <w:t>400</w:t>
            </w:r>
          </w:p>
        </w:tc>
        <w:tc>
          <w:tcPr>
            <w:tcW w:w="8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eastAsia="仿宋_GB2312" w:cs="Times New Roman"/>
                <w:sz w:val="20"/>
                <w:szCs w:val="20"/>
                <w:lang w:val="en-US" w:eastAsia="zh-CN"/>
              </w:rPr>
            </w:pPr>
            <w:r>
              <w:rPr>
                <w:rFonts w:hint="default" w:eastAsia="仿宋_GB2312" w:cs="Times New Roman"/>
                <w:sz w:val="20"/>
                <w:szCs w:val="20"/>
                <w:lang w:val="en-US" w:eastAsia="zh-CN"/>
              </w:rPr>
              <w:t xml:space="preserve">3.99 </w:t>
            </w:r>
          </w:p>
        </w:tc>
        <w:tc>
          <w:tcPr>
            <w:tcW w:w="9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eastAsia="仿宋_GB2312" w:cs="Times New Roman"/>
                <w:sz w:val="20"/>
                <w:szCs w:val="20"/>
                <w:lang w:val="en-US" w:eastAsia="zh-CN"/>
              </w:rPr>
            </w:pPr>
            <w:r>
              <w:rPr>
                <w:rFonts w:hint="default" w:eastAsia="仿宋_GB2312" w:cs="Times New Roman"/>
                <w:sz w:val="20"/>
                <w:szCs w:val="20"/>
                <w:lang w:val="en-US" w:eastAsia="zh-CN"/>
              </w:rPr>
              <w:t xml:space="preserve">35.94 </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5" w:type="pct"/>
            <w:gridSpan w:val="2"/>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lang w:val="en-US" w:eastAsia="zh-CN"/>
              </w:rPr>
              <w:t>合计</w:t>
            </w:r>
          </w:p>
        </w:tc>
        <w:tc>
          <w:tcPr>
            <w:tcW w:w="5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20"/>
                <w:szCs w:val="20"/>
                <w:lang w:val="en-US" w:eastAsia="zh-CN"/>
              </w:rPr>
            </w:pPr>
            <w:r>
              <w:rPr>
                <w:rFonts w:hint="eastAsia" w:eastAsia="仿宋_GB2312" w:cs="Times New Roman"/>
                <w:sz w:val="20"/>
                <w:szCs w:val="20"/>
                <w:lang w:val="en-US" w:eastAsia="zh-CN"/>
              </w:rPr>
              <w:t>199833</w:t>
            </w:r>
          </w:p>
        </w:tc>
        <w:tc>
          <w:tcPr>
            <w:tcW w:w="60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p>
        </w:tc>
        <w:tc>
          <w:tcPr>
            <w:tcW w:w="45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p>
        </w:tc>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eastAsia="仿宋_GB2312" w:cs="Times New Roman"/>
                <w:sz w:val="20"/>
                <w:szCs w:val="20"/>
                <w:lang w:val="en-US" w:eastAsia="zh-CN"/>
              </w:rPr>
            </w:pPr>
            <w:r>
              <w:rPr>
                <w:rFonts w:hint="default" w:eastAsia="仿宋_GB2312" w:cs="Times New Roman"/>
                <w:sz w:val="20"/>
                <w:szCs w:val="20"/>
                <w:lang w:val="en-US" w:eastAsia="zh-CN"/>
              </w:rPr>
              <w:t xml:space="preserve">1159.05 </w:t>
            </w:r>
          </w:p>
        </w:tc>
        <w:tc>
          <w:tcPr>
            <w:tcW w:w="5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eastAsia="仿宋_GB2312" w:cs="Times New Roman"/>
                <w:sz w:val="20"/>
                <w:szCs w:val="20"/>
                <w:lang w:val="en-US" w:eastAsia="zh-CN"/>
              </w:rPr>
            </w:pPr>
          </w:p>
        </w:tc>
        <w:tc>
          <w:tcPr>
            <w:tcW w:w="8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eastAsia="仿宋_GB2312" w:cs="Times New Roman"/>
                <w:sz w:val="20"/>
                <w:szCs w:val="20"/>
                <w:lang w:val="en-US" w:eastAsia="zh-CN"/>
              </w:rPr>
            </w:pPr>
            <w:r>
              <w:rPr>
                <w:rFonts w:hint="default" w:eastAsia="仿宋_GB2312" w:cs="Times New Roman"/>
                <w:sz w:val="20"/>
                <w:szCs w:val="20"/>
                <w:lang w:val="en-US" w:eastAsia="zh-CN"/>
              </w:rPr>
              <w:t xml:space="preserve">115.90 </w:t>
            </w:r>
          </w:p>
        </w:tc>
        <w:tc>
          <w:tcPr>
            <w:tcW w:w="9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eastAsia="仿宋_GB2312" w:cs="Times New Roman"/>
                <w:sz w:val="20"/>
                <w:szCs w:val="20"/>
                <w:lang w:val="en-US" w:eastAsia="zh-CN"/>
              </w:rPr>
            </w:pPr>
            <w:r>
              <w:rPr>
                <w:rFonts w:hint="default" w:eastAsia="仿宋_GB2312" w:cs="Times New Roman"/>
                <w:sz w:val="20"/>
                <w:szCs w:val="20"/>
                <w:lang w:val="en-US" w:eastAsia="zh-CN"/>
              </w:rPr>
              <w:t xml:space="preserve">1043.14 </w:t>
            </w:r>
          </w:p>
        </w:tc>
      </w:tr>
    </w:tbl>
    <w:p>
      <w:pPr>
        <w:pStyle w:val="8"/>
        <w:keepNext/>
        <w:keepLines/>
        <w:pageBreakBefore w:val="0"/>
        <w:widowControl w:val="0"/>
        <w:numPr>
          <w:ilvl w:val="0"/>
          <w:numId w:val="0"/>
        </w:numPr>
        <w:tabs>
          <w:tab w:val="clear" w:pos="864"/>
        </w:tabs>
        <w:kinsoku/>
        <w:wordWrap/>
        <w:overflowPunct/>
        <w:topLinePunct w:val="0"/>
        <w:autoSpaceDE/>
        <w:autoSpaceDN/>
        <w:bidi w:val="0"/>
        <w:adjustRightInd/>
        <w:snapToGrid/>
        <w:spacing w:line="360" w:lineRule="auto"/>
        <w:ind w:leftChars="0" w:firstLine="482" w:firstLineChars="200"/>
        <w:jc w:val="both"/>
        <w:textAlignment w:val="baseline"/>
        <w:rPr>
          <w:rFonts w:hint="default" w:ascii="Times New Roman" w:hAnsi="Times New Roman" w:eastAsia="仿宋_GB2312" w:cs="Times New Roman"/>
          <w:b/>
          <w:bCs/>
          <w:i w:val="0"/>
          <w:iCs w:val="0"/>
          <w:sz w:val="24"/>
          <w:szCs w:val="24"/>
          <w:lang w:val="en-US" w:eastAsia="zh-CN"/>
        </w:rPr>
      </w:pPr>
      <w:r>
        <w:rPr>
          <w:rFonts w:hint="default" w:ascii="Times New Roman" w:hAnsi="Times New Roman" w:eastAsia="仿宋_GB2312" w:cs="Times New Roman"/>
          <w:b/>
          <w:bCs/>
          <w:i w:val="0"/>
          <w:iCs w:val="0"/>
          <w:sz w:val="24"/>
          <w:szCs w:val="24"/>
          <w:lang w:val="en-US" w:eastAsia="zh-CN"/>
        </w:rPr>
        <w:t>4.3.4.2自然恢复期土壤流失量预测</w:t>
      </w:r>
    </w:p>
    <w:p>
      <w:pPr>
        <w:pStyle w:val="164"/>
        <w:pageBreakBefore w:val="0"/>
        <w:widowControl w:val="0"/>
        <w:kinsoku/>
        <w:wordWrap/>
        <w:overflowPunct/>
        <w:topLinePunct w:val="0"/>
        <w:autoSpaceDE/>
        <w:autoSpaceDN/>
        <w:bidi w:val="0"/>
        <w:adjustRightInd/>
        <w:snapToGrid/>
        <w:spacing w:line="360" w:lineRule="auto"/>
        <w:ind w:firstLine="480"/>
        <w:jc w:val="both"/>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color w:val="auto"/>
          <w:sz w:val="24"/>
          <w:szCs w:val="24"/>
        </w:rPr>
        <w:t>自然恢复期水土流失预测，是指在自然恢复期内产生的水土流失量预测。施工后期，各种扰动地表的活动基本停止，但裸露的地表在植被没有完全发挥作用之前，水土流失仍较严重。自然恢复期各区产生的</w:t>
      </w:r>
      <w:r>
        <w:rPr>
          <w:rFonts w:hint="default" w:ascii="Times New Roman" w:hAnsi="Times New Roman" w:eastAsia="仿宋_GB2312" w:cs="Times New Roman"/>
          <w:bCs/>
          <w:color w:val="auto"/>
          <w:sz w:val="24"/>
          <w:szCs w:val="24"/>
        </w:rPr>
        <w:t>土壤</w:t>
      </w:r>
      <w:r>
        <w:rPr>
          <w:rFonts w:hint="default" w:ascii="Times New Roman" w:hAnsi="Times New Roman" w:eastAsia="仿宋_GB2312" w:cs="Times New Roman"/>
          <w:color w:val="auto"/>
          <w:sz w:val="24"/>
          <w:szCs w:val="24"/>
        </w:rPr>
        <w:t>流失总量为</w:t>
      </w:r>
      <w:r>
        <w:rPr>
          <w:rFonts w:hint="eastAsia" w:ascii="Times New Roman" w:hAnsi="Times New Roman" w:eastAsia="仿宋_GB2312" w:cs="Times New Roman"/>
          <w:color w:val="auto"/>
          <w:sz w:val="24"/>
          <w:szCs w:val="24"/>
          <w:lang w:val="en-US" w:eastAsia="zh-CN"/>
        </w:rPr>
        <w:t>275.54</w:t>
      </w:r>
      <w:r>
        <w:rPr>
          <w:rFonts w:hint="default" w:ascii="Times New Roman" w:hAnsi="Times New Roman" w:eastAsia="仿宋_GB2312" w:cs="Times New Roman"/>
          <w:color w:val="auto"/>
          <w:sz w:val="24"/>
          <w:szCs w:val="24"/>
        </w:rPr>
        <w:t>t，新增</w:t>
      </w:r>
      <w:r>
        <w:rPr>
          <w:rFonts w:hint="default" w:ascii="Times New Roman" w:hAnsi="Times New Roman" w:eastAsia="仿宋_GB2312" w:cs="Times New Roman"/>
          <w:bCs/>
          <w:color w:val="auto"/>
          <w:sz w:val="24"/>
          <w:szCs w:val="24"/>
        </w:rPr>
        <w:t>土壤</w:t>
      </w:r>
      <w:r>
        <w:rPr>
          <w:rFonts w:hint="default" w:ascii="Times New Roman" w:hAnsi="Times New Roman" w:eastAsia="仿宋_GB2312" w:cs="Times New Roman"/>
          <w:color w:val="auto"/>
          <w:sz w:val="24"/>
          <w:szCs w:val="24"/>
        </w:rPr>
        <w:t>流失总量为</w:t>
      </w:r>
      <w:r>
        <w:rPr>
          <w:rFonts w:hint="eastAsia" w:ascii="Times New Roman" w:hAnsi="Times New Roman" w:eastAsia="仿宋_GB2312" w:cs="Times New Roman"/>
          <w:color w:val="auto"/>
          <w:sz w:val="24"/>
          <w:szCs w:val="24"/>
          <w:lang w:val="en-US" w:eastAsia="zh-CN"/>
        </w:rPr>
        <w:t>227.62t</w:t>
      </w:r>
      <w:r>
        <w:rPr>
          <w:rFonts w:hint="default" w:ascii="Times New Roman" w:hAnsi="Times New Roman" w:eastAsia="仿宋_GB2312" w:cs="Times New Roman"/>
          <w:color w:val="auto"/>
          <w:sz w:val="24"/>
          <w:szCs w:val="24"/>
        </w:rPr>
        <w:t>。</w:t>
      </w:r>
    </w:p>
    <w:p>
      <w:pPr>
        <w:pStyle w:val="164"/>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val="0"/>
          <w:bCs w:val="0"/>
          <w:sz w:val="21"/>
          <w:szCs w:val="21"/>
          <w:highlight w:val="none"/>
          <w:lang w:val="zh-CN" w:eastAsia="zh-CN"/>
        </w:rPr>
      </w:pPr>
    </w:p>
    <w:p>
      <w:pPr>
        <w:pStyle w:val="164"/>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val="0"/>
          <w:bCs w:val="0"/>
          <w:sz w:val="21"/>
          <w:szCs w:val="21"/>
          <w:highlight w:val="none"/>
          <w:lang w:val="zh-CN" w:eastAsia="zh-CN"/>
        </w:rPr>
      </w:pPr>
    </w:p>
    <w:p>
      <w:pPr>
        <w:pStyle w:val="164"/>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val="0"/>
          <w:bCs w:val="0"/>
          <w:sz w:val="21"/>
          <w:szCs w:val="21"/>
          <w:highlight w:val="none"/>
          <w:lang w:val="zh-CN" w:eastAsia="zh-CN"/>
        </w:rPr>
      </w:pPr>
    </w:p>
    <w:p>
      <w:pPr>
        <w:pStyle w:val="164"/>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val="0"/>
          <w:bCs w:val="0"/>
          <w:sz w:val="21"/>
          <w:szCs w:val="21"/>
          <w:highlight w:val="none"/>
          <w:lang w:val="zh-CN" w:eastAsia="zh-CN"/>
        </w:rPr>
      </w:pPr>
      <w:r>
        <w:rPr>
          <w:rFonts w:hint="default" w:ascii="Times New Roman" w:hAnsi="Times New Roman" w:eastAsia="微软雅黑" w:cs="Times New Roman"/>
          <w:b w:val="0"/>
          <w:bCs w:val="0"/>
          <w:sz w:val="21"/>
          <w:szCs w:val="21"/>
          <w:highlight w:val="none"/>
          <w:lang w:val="zh-CN" w:eastAsia="zh-CN"/>
        </w:rPr>
        <w:t>表4-</w:t>
      </w:r>
      <w:r>
        <w:rPr>
          <w:rFonts w:hint="default" w:ascii="Times New Roman" w:hAnsi="Times New Roman" w:eastAsia="微软雅黑" w:cs="Times New Roman"/>
          <w:b w:val="0"/>
          <w:bCs w:val="0"/>
          <w:sz w:val="21"/>
          <w:szCs w:val="21"/>
          <w:highlight w:val="none"/>
          <w:lang w:val="en-US" w:eastAsia="zh-CN"/>
        </w:rPr>
        <w:t>5</w:t>
      </w:r>
      <w:r>
        <w:rPr>
          <w:rFonts w:hint="default" w:ascii="Times New Roman" w:hAnsi="Times New Roman" w:eastAsia="微软雅黑" w:cs="Times New Roman"/>
          <w:b w:val="0"/>
          <w:bCs w:val="0"/>
          <w:sz w:val="21"/>
          <w:szCs w:val="21"/>
          <w:highlight w:val="none"/>
          <w:lang w:val="zh-CN" w:eastAsia="zh-CN"/>
        </w:rPr>
        <w:t xml:space="preserve"> </w:t>
      </w:r>
      <w:r>
        <w:rPr>
          <w:rFonts w:hint="default" w:ascii="Times New Roman" w:hAnsi="Times New Roman" w:eastAsia="微软雅黑" w:cs="Times New Roman"/>
          <w:b w:val="0"/>
          <w:bCs w:val="0"/>
          <w:sz w:val="21"/>
          <w:szCs w:val="21"/>
          <w:highlight w:val="none"/>
          <w:lang w:val="en-US" w:eastAsia="zh-CN"/>
        </w:rPr>
        <w:t xml:space="preserve"> </w:t>
      </w:r>
      <w:r>
        <w:rPr>
          <w:rFonts w:hint="default" w:ascii="Times New Roman" w:hAnsi="Times New Roman" w:eastAsia="微软雅黑" w:cs="Times New Roman"/>
          <w:b w:val="0"/>
          <w:bCs w:val="0"/>
          <w:sz w:val="21"/>
          <w:szCs w:val="21"/>
          <w:highlight w:val="none"/>
          <w:lang w:val="zh-CN" w:eastAsia="zh-CN"/>
        </w:rPr>
        <w:t>自然恢复期土壤流失量预测表</w:t>
      </w:r>
    </w:p>
    <w:tbl>
      <w:tblPr>
        <w:tblStyle w:val="88"/>
        <w:tblW w:w="4998" w:type="pct"/>
        <w:jc w:val="center"/>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91"/>
        <w:gridCol w:w="818"/>
        <w:gridCol w:w="1119"/>
        <w:gridCol w:w="831"/>
        <w:gridCol w:w="737"/>
        <w:gridCol w:w="941"/>
        <w:gridCol w:w="1091"/>
        <w:gridCol w:w="1268"/>
        <w:gridCol w:w="1125"/>
      </w:tblGrid>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75" w:type="pct"/>
            <w:gridSpan w:val="2"/>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预测单元</w:t>
            </w:r>
          </w:p>
        </w:tc>
        <w:tc>
          <w:tcPr>
            <w:tcW w:w="64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预测面积</w:t>
            </w:r>
            <w:r>
              <w:rPr>
                <w:rFonts w:hint="default" w:ascii="Times New Roman" w:hAnsi="Times New Roman" w:eastAsia="仿宋_GB2312" w:cs="Times New Roman"/>
                <w:i w:val="0"/>
                <w:iCs w:val="0"/>
                <w:color w:val="000000"/>
                <w:kern w:val="0"/>
                <w:sz w:val="20"/>
                <w:szCs w:val="20"/>
                <w:u w:val="none"/>
                <w:lang w:val="en-US" w:eastAsia="zh-CN" w:bidi="ar"/>
              </w:rPr>
              <w:t>(m</w:t>
            </w:r>
            <w:r>
              <w:rPr>
                <w:rFonts w:hint="default" w:ascii="Times New Roman" w:hAnsi="Times New Roman" w:eastAsia="仿宋_GB2312" w:cs="Times New Roman"/>
                <w:i w:val="0"/>
                <w:iCs w:val="0"/>
                <w:color w:val="000000"/>
                <w:kern w:val="0"/>
                <w:sz w:val="20"/>
                <w:szCs w:val="20"/>
                <w:u w:val="none"/>
                <w:vertAlign w:val="superscript"/>
                <w:lang w:val="en-US" w:eastAsia="zh-CN" w:bidi="ar"/>
              </w:rPr>
              <w:t>2</w:t>
            </w:r>
            <w:r>
              <w:rPr>
                <w:rFonts w:hint="default" w:ascii="Times New Roman" w:hAnsi="Times New Roman" w:eastAsia="仿宋_GB2312" w:cs="Times New Roman"/>
                <w:i w:val="0"/>
                <w:iCs w:val="0"/>
                <w:color w:val="000000"/>
                <w:kern w:val="0"/>
                <w:sz w:val="20"/>
                <w:szCs w:val="20"/>
                <w:u w:val="none"/>
                <w:lang w:val="en-US" w:eastAsia="zh-CN" w:bidi="ar"/>
              </w:rPr>
              <w:t>)</w:t>
            </w:r>
          </w:p>
        </w:tc>
        <w:tc>
          <w:tcPr>
            <w:tcW w:w="909" w:type="pct"/>
            <w:gridSpan w:val="2"/>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侵蚀模数（t/km</w:t>
            </w:r>
            <w:r>
              <w:rPr>
                <w:rFonts w:hint="default" w:ascii="Times New Roman" w:hAnsi="Times New Roman" w:eastAsia="仿宋_GB2312" w:cs="Times New Roman"/>
                <w:kern w:val="0"/>
                <w:sz w:val="20"/>
                <w:szCs w:val="20"/>
                <w:highlight w:val="none"/>
                <w:vertAlign w:val="superscript"/>
                <w:lang w:bidi="ar"/>
              </w:rPr>
              <w:t>2</w:t>
            </w:r>
            <w:r>
              <w:rPr>
                <w:rFonts w:hint="default" w:ascii="Times New Roman" w:hAnsi="Times New Roman" w:eastAsia="仿宋_GB2312" w:cs="Times New Roman"/>
                <w:kern w:val="0"/>
                <w:sz w:val="20"/>
                <w:szCs w:val="20"/>
                <w:highlight w:val="none"/>
                <w:lang w:bidi="ar"/>
              </w:rPr>
              <w:t>.a)</w:t>
            </w:r>
          </w:p>
        </w:tc>
        <w:tc>
          <w:tcPr>
            <w:tcW w:w="545"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土壤流失量(t)</w:t>
            </w:r>
          </w:p>
        </w:tc>
        <w:tc>
          <w:tcPr>
            <w:tcW w:w="63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背景值（t/km</w:t>
            </w:r>
            <w:r>
              <w:rPr>
                <w:rFonts w:hint="default" w:ascii="Times New Roman" w:hAnsi="Times New Roman" w:eastAsia="仿宋_GB2312" w:cs="Times New Roman"/>
                <w:kern w:val="0"/>
                <w:sz w:val="20"/>
                <w:szCs w:val="20"/>
                <w:highlight w:val="none"/>
                <w:vertAlign w:val="superscript"/>
                <w:lang w:bidi="ar"/>
              </w:rPr>
              <w:t>2</w:t>
            </w:r>
            <w:r>
              <w:rPr>
                <w:rFonts w:hint="default" w:ascii="Times New Roman" w:hAnsi="Times New Roman" w:eastAsia="仿宋_GB2312" w:cs="Times New Roman"/>
                <w:kern w:val="0"/>
                <w:sz w:val="20"/>
                <w:szCs w:val="20"/>
                <w:highlight w:val="none"/>
                <w:lang w:bidi="ar"/>
              </w:rPr>
              <w:t>.a)</w:t>
            </w:r>
          </w:p>
        </w:tc>
        <w:tc>
          <w:tcPr>
            <w:tcW w:w="735"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原地貌土壤流失量（t）</w:t>
            </w:r>
          </w:p>
        </w:tc>
        <w:tc>
          <w:tcPr>
            <w:tcW w:w="65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新增土壤流失量（t）</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0" w:hRule="atLeast"/>
          <w:jc w:val="center"/>
        </w:trPr>
        <w:tc>
          <w:tcPr>
            <w:tcW w:w="400" w:type="pct"/>
            <w:vMerge w:val="restar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i w:val="0"/>
                <w:iCs w:val="0"/>
                <w:color w:val="000000"/>
                <w:kern w:val="0"/>
                <w:sz w:val="20"/>
                <w:szCs w:val="20"/>
                <w:u w:val="none"/>
                <w:lang w:val="en-US" w:eastAsia="zh-CN" w:bidi="ar"/>
              </w:rPr>
              <w:t>工程建设区</w:t>
            </w:r>
          </w:p>
        </w:tc>
        <w:tc>
          <w:tcPr>
            <w:tcW w:w="474" w:type="pct"/>
            <w:vMerge w:val="restar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z w:val="20"/>
                <w:szCs w:val="20"/>
                <w:lang w:val="en-US" w:eastAsia="zh-CN"/>
              </w:rPr>
              <w:t>绿化区</w:t>
            </w:r>
          </w:p>
        </w:tc>
        <w:tc>
          <w:tcPr>
            <w:tcW w:w="64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highlight w:val="none"/>
              </w:rPr>
            </w:pPr>
            <w:r>
              <w:rPr>
                <w:rFonts w:hint="eastAsia" w:eastAsia="仿宋_GB2312" w:cs="Times New Roman"/>
                <w:sz w:val="20"/>
                <w:szCs w:val="20"/>
                <w:lang w:val="en-US" w:eastAsia="zh-CN"/>
              </w:rPr>
              <w:t>39933.28</w:t>
            </w:r>
          </w:p>
        </w:tc>
        <w:tc>
          <w:tcPr>
            <w:tcW w:w="481"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highlight w:val="none"/>
                <w:lang w:val="en-US" w:eastAsia="zh-CN"/>
              </w:rPr>
            </w:pPr>
            <w:r>
              <w:rPr>
                <w:rFonts w:hint="default" w:ascii="Times New Roman" w:hAnsi="Times New Roman" w:eastAsia="仿宋_GB2312" w:cs="Times New Roman"/>
                <w:kern w:val="0"/>
                <w:sz w:val="20"/>
                <w:szCs w:val="20"/>
                <w:highlight w:val="none"/>
                <w:lang w:bidi="ar"/>
              </w:rPr>
              <w:t>第1年</w:t>
            </w:r>
          </w:p>
        </w:tc>
        <w:tc>
          <w:tcPr>
            <w:tcW w:w="427"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highlight w:val="none"/>
                <w:lang w:val="en-US" w:eastAsia="zh-CN"/>
              </w:rPr>
            </w:pPr>
            <w:r>
              <w:rPr>
                <w:rFonts w:hint="eastAsia" w:eastAsia="仿宋_GB2312" w:cs="Times New Roman"/>
                <w:kern w:val="0"/>
                <w:sz w:val="20"/>
                <w:szCs w:val="20"/>
                <w:highlight w:val="none"/>
                <w:lang w:val="en-US" w:eastAsia="zh-CN" w:bidi="ar"/>
              </w:rPr>
              <w:t>4000</w:t>
            </w:r>
          </w:p>
        </w:tc>
        <w:tc>
          <w:tcPr>
            <w:tcW w:w="545"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eastAsia="仿宋_GB2312" w:cs="Times New Roman"/>
                <w:kern w:val="0"/>
                <w:sz w:val="20"/>
                <w:szCs w:val="20"/>
                <w:highlight w:val="none"/>
                <w:lang w:val="en-US" w:eastAsia="zh-CN" w:bidi="ar"/>
              </w:rPr>
            </w:pPr>
            <w:r>
              <w:rPr>
                <w:rFonts w:hint="default" w:eastAsia="仿宋_GB2312" w:cs="Times New Roman"/>
                <w:kern w:val="0"/>
                <w:sz w:val="20"/>
                <w:szCs w:val="20"/>
                <w:highlight w:val="none"/>
                <w:lang w:val="en-US" w:eastAsia="zh-CN" w:bidi="ar"/>
              </w:rPr>
              <w:t xml:space="preserve">159.73 </w:t>
            </w:r>
          </w:p>
        </w:tc>
        <w:tc>
          <w:tcPr>
            <w:tcW w:w="632"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lang w:val="en-US" w:eastAsia="zh-CN"/>
              </w:rPr>
              <w:t>400</w:t>
            </w:r>
          </w:p>
        </w:tc>
        <w:tc>
          <w:tcPr>
            <w:tcW w:w="73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lang w:val="en-US" w:eastAsia="zh-CN"/>
              </w:rPr>
              <w:t xml:space="preserve">15.97 </w:t>
            </w:r>
          </w:p>
        </w:tc>
        <w:tc>
          <w:tcPr>
            <w:tcW w:w="652"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lang w:val="en-US" w:eastAsia="zh-CN"/>
              </w:rPr>
              <w:t xml:space="preserve">143.76 </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400" w:type="pct"/>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p>
        </w:tc>
        <w:tc>
          <w:tcPr>
            <w:tcW w:w="474" w:type="pct"/>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lang w:val="en-US" w:eastAsia="zh-CN"/>
              </w:rPr>
            </w:pPr>
          </w:p>
        </w:tc>
        <w:tc>
          <w:tcPr>
            <w:tcW w:w="64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eastAsia" w:eastAsia="仿宋_GB2312" w:cs="Times New Roman"/>
                <w:sz w:val="20"/>
                <w:szCs w:val="20"/>
                <w:lang w:val="en-US" w:eastAsia="zh-CN"/>
              </w:rPr>
            </w:pPr>
            <w:r>
              <w:rPr>
                <w:rFonts w:hint="eastAsia" w:eastAsia="仿宋_GB2312" w:cs="Times New Roman"/>
                <w:sz w:val="20"/>
                <w:szCs w:val="20"/>
                <w:lang w:val="en-US" w:eastAsia="zh-CN"/>
              </w:rPr>
              <w:t>39933.28</w:t>
            </w:r>
          </w:p>
        </w:tc>
        <w:tc>
          <w:tcPr>
            <w:tcW w:w="481"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kern w:val="0"/>
                <w:sz w:val="20"/>
                <w:szCs w:val="20"/>
                <w:highlight w:val="none"/>
                <w:lang w:val="en-US" w:eastAsia="zh-CN" w:bidi="ar"/>
              </w:rPr>
            </w:pPr>
            <w:r>
              <w:rPr>
                <w:rFonts w:hint="default" w:ascii="Times New Roman" w:hAnsi="Times New Roman" w:eastAsia="仿宋_GB2312" w:cs="Times New Roman"/>
                <w:kern w:val="0"/>
                <w:sz w:val="20"/>
                <w:szCs w:val="20"/>
                <w:highlight w:val="none"/>
                <w:lang w:bidi="ar"/>
              </w:rPr>
              <w:t>第2年</w:t>
            </w:r>
          </w:p>
        </w:tc>
        <w:tc>
          <w:tcPr>
            <w:tcW w:w="427"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kern w:val="0"/>
                <w:sz w:val="20"/>
                <w:szCs w:val="20"/>
                <w:highlight w:val="none"/>
                <w:lang w:val="en-US" w:eastAsia="zh-CN" w:bidi="ar"/>
              </w:rPr>
            </w:pPr>
            <w:r>
              <w:rPr>
                <w:rFonts w:hint="eastAsia" w:eastAsia="仿宋_GB2312" w:cs="Times New Roman"/>
                <w:kern w:val="0"/>
                <w:sz w:val="20"/>
                <w:szCs w:val="20"/>
                <w:highlight w:val="none"/>
                <w:lang w:val="en-US" w:eastAsia="zh-CN" w:bidi="ar"/>
              </w:rPr>
              <w:t>2300</w:t>
            </w:r>
          </w:p>
        </w:tc>
        <w:tc>
          <w:tcPr>
            <w:tcW w:w="545"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eastAsia="仿宋_GB2312" w:cs="Times New Roman"/>
                <w:kern w:val="0"/>
                <w:sz w:val="20"/>
                <w:szCs w:val="20"/>
                <w:highlight w:val="none"/>
                <w:lang w:val="en-US" w:eastAsia="zh-CN" w:bidi="ar"/>
              </w:rPr>
            </w:pPr>
            <w:r>
              <w:rPr>
                <w:rFonts w:hint="default" w:eastAsia="仿宋_GB2312" w:cs="Times New Roman"/>
                <w:kern w:val="0"/>
                <w:sz w:val="20"/>
                <w:szCs w:val="20"/>
                <w:highlight w:val="none"/>
                <w:lang w:val="en-US" w:eastAsia="zh-CN" w:bidi="ar"/>
              </w:rPr>
              <w:t xml:space="preserve">91.85 </w:t>
            </w:r>
          </w:p>
        </w:tc>
        <w:tc>
          <w:tcPr>
            <w:tcW w:w="632"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lang w:val="en-US" w:eastAsia="zh-CN"/>
              </w:rPr>
              <w:t>400</w:t>
            </w:r>
          </w:p>
        </w:tc>
        <w:tc>
          <w:tcPr>
            <w:tcW w:w="73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lang w:val="en-US" w:eastAsia="zh-CN"/>
              </w:rPr>
              <w:t xml:space="preserve">15.97 </w:t>
            </w:r>
          </w:p>
        </w:tc>
        <w:tc>
          <w:tcPr>
            <w:tcW w:w="652"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lang w:val="en-US" w:eastAsia="zh-CN"/>
              </w:rPr>
              <w:t xml:space="preserve">75.87 </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00" w:type="pct"/>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000000"/>
                <w:kern w:val="0"/>
                <w:sz w:val="20"/>
                <w:szCs w:val="20"/>
                <w:u w:val="none"/>
                <w:lang w:val="en-US" w:eastAsia="zh-CN" w:bidi="ar"/>
              </w:rPr>
            </w:pPr>
          </w:p>
        </w:tc>
        <w:tc>
          <w:tcPr>
            <w:tcW w:w="474" w:type="pct"/>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lang w:val="en-US" w:eastAsia="zh-CN"/>
              </w:rPr>
            </w:pPr>
          </w:p>
        </w:tc>
        <w:tc>
          <w:tcPr>
            <w:tcW w:w="64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eastAsia" w:eastAsia="仿宋_GB2312" w:cs="Times New Roman"/>
                <w:sz w:val="20"/>
                <w:szCs w:val="20"/>
                <w:lang w:val="en-US" w:eastAsia="zh-CN"/>
              </w:rPr>
            </w:pPr>
            <w:r>
              <w:rPr>
                <w:rFonts w:hint="eastAsia" w:eastAsia="仿宋_GB2312" w:cs="Times New Roman"/>
                <w:sz w:val="20"/>
                <w:szCs w:val="20"/>
                <w:lang w:val="en-US" w:eastAsia="zh-CN"/>
              </w:rPr>
              <w:t>39933.28</w:t>
            </w:r>
          </w:p>
        </w:tc>
        <w:tc>
          <w:tcPr>
            <w:tcW w:w="481"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kern w:val="0"/>
                <w:sz w:val="20"/>
                <w:szCs w:val="20"/>
                <w:highlight w:val="none"/>
                <w:lang w:val="en-US" w:eastAsia="zh-CN" w:bidi="ar"/>
              </w:rPr>
            </w:pPr>
            <w:r>
              <w:rPr>
                <w:rFonts w:hint="default" w:ascii="Times New Roman" w:hAnsi="Times New Roman" w:eastAsia="仿宋_GB2312" w:cs="Times New Roman"/>
                <w:kern w:val="0"/>
                <w:sz w:val="20"/>
                <w:szCs w:val="20"/>
                <w:highlight w:val="none"/>
                <w:lang w:bidi="ar"/>
              </w:rPr>
              <w:t>第3年</w:t>
            </w:r>
          </w:p>
        </w:tc>
        <w:tc>
          <w:tcPr>
            <w:tcW w:w="427"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kern w:val="0"/>
                <w:sz w:val="20"/>
                <w:szCs w:val="20"/>
                <w:highlight w:val="none"/>
                <w:lang w:val="en-US" w:eastAsia="zh-CN" w:bidi="ar"/>
              </w:rPr>
            </w:pPr>
            <w:r>
              <w:rPr>
                <w:rFonts w:hint="eastAsia" w:eastAsia="仿宋_GB2312" w:cs="Times New Roman"/>
                <w:kern w:val="0"/>
                <w:sz w:val="20"/>
                <w:szCs w:val="20"/>
                <w:highlight w:val="none"/>
                <w:lang w:val="en-US" w:eastAsia="zh-CN" w:bidi="ar"/>
              </w:rPr>
              <w:t>600</w:t>
            </w:r>
          </w:p>
        </w:tc>
        <w:tc>
          <w:tcPr>
            <w:tcW w:w="545"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eastAsia="仿宋_GB2312" w:cs="Times New Roman"/>
                <w:kern w:val="0"/>
                <w:sz w:val="20"/>
                <w:szCs w:val="20"/>
                <w:highlight w:val="none"/>
                <w:lang w:val="en-US" w:eastAsia="zh-CN" w:bidi="ar"/>
              </w:rPr>
            </w:pPr>
            <w:r>
              <w:rPr>
                <w:rFonts w:hint="default" w:eastAsia="仿宋_GB2312" w:cs="Times New Roman"/>
                <w:kern w:val="0"/>
                <w:sz w:val="20"/>
                <w:szCs w:val="20"/>
                <w:highlight w:val="none"/>
                <w:lang w:val="en-US" w:eastAsia="zh-CN" w:bidi="ar"/>
              </w:rPr>
              <w:t xml:space="preserve">23.96 </w:t>
            </w:r>
          </w:p>
        </w:tc>
        <w:tc>
          <w:tcPr>
            <w:tcW w:w="632"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lang w:val="en-US" w:eastAsia="zh-CN"/>
              </w:rPr>
              <w:t>400</w:t>
            </w:r>
          </w:p>
        </w:tc>
        <w:tc>
          <w:tcPr>
            <w:tcW w:w="73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lang w:val="en-US" w:eastAsia="zh-CN"/>
              </w:rPr>
              <w:t xml:space="preserve">15.97 </w:t>
            </w:r>
          </w:p>
        </w:tc>
        <w:tc>
          <w:tcPr>
            <w:tcW w:w="652"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lang w:val="en-US" w:eastAsia="zh-CN"/>
              </w:rPr>
              <w:t xml:space="preserve">7.99 </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433" w:type="pct"/>
            <w:gridSpan w:val="5"/>
            <w:tcBorders>
              <w:tl2br w:val="nil"/>
              <w:tr2bl w:val="nil"/>
            </w:tcBorders>
            <w:shd w:val="clear" w:color="auto" w:fill="auto"/>
            <w:noWrap/>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kern w:val="0"/>
                <w:sz w:val="20"/>
                <w:szCs w:val="20"/>
                <w:highlight w:val="none"/>
                <w:lang w:bidi="ar"/>
              </w:rPr>
              <w:t>合计</w:t>
            </w:r>
          </w:p>
        </w:tc>
        <w:tc>
          <w:tcPr>
            <w:tcW w:w="545"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eastAsia="仿宋_GB2312" w:cs="Times New Roman"/>
                <w:kern w:val="0"/>
                <w:sz w:val="20"/>
                <w:szCs w:val="20"/>
                <w:highlight w:val="none"/>
                <w:lang w:val="en-US" w:eastAsia="zh-CN" w:bidi="ar"/>
              </w:rPr>
            </w:pPr>
            <w:r>
              <w:rPr>
                <w:rFonts w:hint="eastAsia" w:eastAsia="仿宋_GB2312" w:cs="Times New Roman"/>
                <w:kern w:val="0"/>
                <w:sz w:val="20"/>
                <w:szCs w:val="20"/>
                <w:highlight w:val="none"/>
                <w:lang w:val="en-US" w:eastAsia="zh-CN" w:bidi="ar"/>
              </w:rPr>
              <w:t xml:space="preserve">275.54 </w:t>
            </w:r>
          </w:p>
        </w:tc>
        <w:tc>
          <w:tcPr>
            <w:tcW w:w="632"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lang w:val="en-US" w:eastAsia="zh-CN"/>
              </w:rPr>
            </w:pPr>
          </w:p>
        </w:tc>
        <w:tc>
          <w:tcPr>
            <w:tcW w:w="73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sz w:val="20"/>
                <w:szCs w:val="20"/>
                <w:lang w:val="en-US" w:eastAsia="zh-CN"/>
              </w:rPr>
            </w:pPr>
            <w:r>
              <w:rPr>
                <w:rFonts w:hint="eastAsia" w:ascii="Times New Roman" w:hAnsi="Times New Roman" w:eastAsia="仿宋_GB2312" w:cs="Times New Roman"/>
                <w:sz w:val="20"/>
                <w:szCs w:val="20"/>
                <w:lang w:val="en-US" w:eastAsia="zh-CN"/>
              </w:rPr>
              <w:t xml:space="preserve">47.92 </w:t>
            </w:r>
          </w:p>
        </w:tc>
        <w:tc>
          <w:tcPr>
            <w:tcW w:w="652"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sz w:val="20"/>
                <w:szCs w:val="20"/>
                <w:lang w:val="en-US" w:eastAsia="zh-CN"/>
              </w:rPr>
            </w:pPr>
            <w:r>
              <w:rPr>
                <w:rFonts w:hint="eastAsia" w:ascii="Times New Roman" w:hAnsi="Times New Roman" w:eastAsia="仿宋_GB2312" w:cs="Times New Roman"/>
                <w:sz w:val="20"/>
                <w:szCs w:val="20"/>
                <w:lang w:val="en-US" w:eastAsia="zh-CN"/>
              </w:rPr>
              <w:t xml:space="preserve">227.62 </w:t>
            </w:r>
          </w:p>
        </w:tc>
      </w:tr>
    </w:tbl>
    <w:p>
      <w:pPr>
        <w:pStyle w:val="8"/>
        <w:keepNext/>
        <w:keepLines/>
        <w:pageBreakBefore w:val="0"/>
        <w:widowControl w:val="0"/>
        <w:numPr>
          <w:ilvl w:val="0"/>
          <w:numId w:val="0"/>
        </w:numPr>
        <w:tabs>
          <w:tab w:val="clear" w:pos="864"/>
        </w:tabs>
        <w:kinsoku/>
        <w:wordWrap/>
        <w:overflowPunct/>
        <w:topLinePunct w:val="0"/>
        <w:autoSpaceDE/>
        <w:autoSpaceDN/>
        <w:bidi w:val="0"/>
        <w:adjustRightInd/>
        <w:snapToGrid/>
        <w:spacing w:line="360" w:lineRule="auto"/>
        <w:ind w:leftChars="0" w:firstLine="482" w:firstLineChars="200"/>
        <w:jc w:val="both"/>
        <w:textAlignment w:val="baseline"/>
        <w:rPr>
          <w:rFonts w:hint="default" w:ascii="Times New Roman" w:hAnsi="Times New Roman" w:eastAsia="仿宋_GB2312" w:cs="Times New Roman"/>
          <w:b/>
          <w:bCs/>
          <w:i w:val="0"/>
          <w:iCs w:val="0"/>
          <w:sz w:val="24"/>
          <w:szCs w:val="24"/>
          <w:lang w:val="en-US" w:eastAsia="zh-CN"/>
        </w:rPr>
      </w:pPr>
      <w:r>
        <w:rPr>
          <w:rFonts w:hint="default" w:ascii="Times New Roman" w:hAnsi="Times New Roman" w:eastAsia="仿宋_GB2312" w:cs="Times New Roman"/>
          <w:b/>
          <w:bCs/>
          <w:i w:val="0"/>
          <w:iCs w:val="0"/>
          <w:sz w:val="24"/>
          <w:szCs w:val="24"/>
          <w:lang w:val="en-US" w:eastAsia="zh-CN"/>
        </w:rPr>
        <w:t>4.3.4.3综合分析</w:t>
      </w:r>
    </w:p>
    <w:p>
      <w:pPr>
        <w:pageBreakBefore w:val="0"/>
        <w:kinsoku/>
        <w:wordWrap/>
        <w:bidi w:val="0"/>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通过计算，</w:t>
      </w:r>
      <w:r>
        <w:rPr>
          <w:rFonts w:hint="default" w:ascii="Times New Roman" w:hAnsi="Times New Roman" w:eastAsia="仿宋_GB2312" w:cs="Times New Roman"/>
          <w:sz w:val="24"/>
          <w:highlight w:val="none"/>
          <w:lang w:eastAsia="zh-CN"/>
        </w:rPr>
        <w:t>本期工程</w:t>
      </w:r>
      <w:r>
        <w:rPr>
          <w:rFonts w:hint="default" w:ascii="Times New Roman" w:hAnsi="Times New Roman" w:eastAsia="仿宋_GB2312" w:cs="Times New Roman"/>
          <w:sz w:val="24"/>
          <w:highlight w:val="none"/>
          <w:lang w:val="en-US" w:eastAsia="zh-CN"/>
        </w:rPr>
        <w:t>施工期</w:t>
      </w:r>
      <w:r>
        <w:rPr>
          <w:rFonts w:hint="default" w:ascii="Times New Roman" w:hAnsi="Times New Roman" w:eastAsia="仿宋_GB2312" w:cs="Times New Roman"/>
          <w:sz w:val="24"/>
          <w:highlight w:val="none"/>
        </w:rPr>
        <w:t>和自然恢复期预测共可能产生土壤流失量</w:t>
      </w:r>
      <w:r>
        <w:rPr>
          <w:rFonts w:hint="eastAsia" w:eastAsia="仿宋_GB2312" w:cs="Times New Roman"/>
          <w:sz w:val="24"/>
          <w:highlight w:val="none"/>
          <w:lang w:val="en-US" w:eastAsia="zh-CN"/>
        </w:rPr>
        <w:t>1434.59</w:t>
      </w:r>
      <w:r>
        <w:rPr>
          <w:rFonts w:hint="default" w:ascii="Times New Roman" w:hAnsi="Times New Roman" w:eastAsia="仿宋_GB2312" w:cs="Times New Roman"/>
          <w:sz w:val="24"/>
          <w:highlight w:val="none"/>
        </w:rPr>
        <w:t>t，预测新增土壤流失量</w:t>
      </w:r>
      <w:r>
        <w:rPr>
          <w:rFonts w:hint="eastAsia" w:eastAsia="仿宋_GB2312" w:cs="Times New Roman"/>
          <w:sz w:val="24"/>
          <w:highlight w:val="none"/>
          <w:lang w:val="en-US" w:eastAsia="zh-CN"/>
        </w:rPr>
        <w:t>1270.76</w:t>
      </w:r>
      <w:r>
        <w:rPr>
          <w:rFonts w:hint="default" w:ascii="Times New Roman" w:hAnsi="Times New Roman" w:eastAsia="仿宋_GB2312" w:cs="Times New Roman"/>
          <w:sz w:val="24"/>
          <w:highlight w:val="none"/>
        </w:rPr>
        <w:t>t，详见表4-</w:t>
      </w:r>
      <w:r>
        <w:rPr>
          <w:rFonts w:hint="default" w:ascii="Times New Roman" w:hAnsi="Times New Roman" w:eastAsia="仿宋_GB2312" w:cs="Times New Roman"/>
          <w:sz w:val="24"/>
          <w:highlight w:val="none"/>
          <w:lang w:val="en-US" w:eastAsia="zh-CN"/>
        </w:rPr>
        <w:t>6</w:t>
      </w:r>
      <w:r>
        <w:rPr>
          <w:rFonts w:hint="default" w:ascii="Times New Roman" w:hAnsi="Times New Roman" w:eastAsia="仿宋_GB2312" w:cs="Times New Roman"/>
          <w:sz w:val="24"/>
          <w:highlight w:val="none"/>
        </w:rPr>
        <w:t>。</w:t>
      </w:r>
    </w:p>
    <w:p>
      <w:pPr>
        <w:pStyle w:val="164"/>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val="0"/>
          <w:bCs w:val="0"/>
          <w:sz w:val="21"/>
          <w:szCs w:val="21"/>
          <w:highlight w:val="none"/>
          <w:lang w:val="zh-CN" w:eastAsia="zh-CN"/>
        </w:rPr>
      </w:pPr>
      <w:r>
        <w:rPr>
          <w:rFonts w:hint="default" w:ascii="Times New Roman" w:hAnsi="Times New Roman" w:eastAsia="微软雅黑" w:cs="Times New Roman"/>
          <w:b w:val="0"/>
          <w:bCs w:val="0"/>
          <w:sz w:val="21"/>
          <w:szCs w:val="21"/>
          <w:highlight w:val="none"/>
          <w:lang w:val="zh-CN" w:eastAsia="zh-CN"/>
        </w:rPr>
        <w:t>表4-</w:t>
      </w:r>
      <w:r>
        <w:rPr>
          <w:rFonts w:hint="default" w:ascii="Times New Roman" w:hAnsi="Times New Roman" w:eastAsia="微软雅黑" w:cs="Times New Roman"/>
          <w:b w:val="0"/>
          <w:bCs w:val="0"/>
          <w:sz w:val="21"/>
          <w:szCs w:val="21"/>
          <w:highlight w:val="none"/>
          <w:lang w:val="en-US" w:eastAsia="zh-CN"/>
        </w:rPr>
        <w:t>6</w:t>
      </w:r>
      <w:r>
        <w:rPr>
          <w:rFonts w:hint="default" w:ascii="Times New Roman" w:hAnsi="Times New Roman" w:eastAsia="微软雅黑" w:cs="Times New Roman"/>
          <w:b w:val="0"/>
          <w:bCs w:val="0"/>
          <w:sz w:val="21"/>
          <w:szCs w:val="21"/>
          <w:highlight w:val="none"/>
          <w:lang w:val="zh-CN" w:eastAsia="zh-CN"/>
        </w:rPr>
        <w:t xml:space="preserve">  土壤流失量预测总表</w:t>
      </w:r>
    </w:p>
    <w:tbl>
      <w:tblPr>
        <w:tblStyle w:val="88"/>
        <w:tblW w:w="5000" w:type="pct"/>
        <w:jc w:val="center"/>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376"/>
        <w:gridCol w:w="1176"/>
        <w:gridCol w:w="736"/>
        <w:gridCol w:w="656"/>
        <w:gridCol w:w="757"/>
        <w:gridCol w:w="656"/>
        <w:gridCol w:w="576"/>
        <w:gridCol w:w="658"/>
        <w:gridCol w:w="842"/>
        <w:gridCol w:w="747"/>
        <w:gridCol w:w="747"/>
        <w:gridCol w:w="697"/>
      </w:tblGrid>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9" w:type="pct"/>
            <w:gridSpan w:val="2"/>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6"/>
                <w:szCs w:val="16"/>
                <w:highlight w:val="none"/>
              </w:rPr>
            </w:pPr>
            <w:r>
              <w:rPr>
                <w:rFonts w:hint="default" w:ascii="Times New Roman" w:hAnsi="Times New Roman" w:eastAsia="仿宋_GB2312" w:cs="Times New Roman"/>
                <w:kern w:val="0"/>
                <w:sz w:val="16"/>
                <w:szCs w:val="16"/>
                <w:highlight w:val="none"/>
                <w:lang w:bidi="ar"/>
              </w:rPr>
              <w:t>预测单元</w:t>
            </w:r>
          </w:p>
        </w:tc>
        <w:tc>
          <w:tcPr>
            <w:tcW w:w="1245" w:type="pct"/>
            <w:gridSpan w:val="3"/>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6"/>
                <w:szCs w:val="16"/>
                <w:highlight w:val="none"/>
              </w:rPr>
            </w:pPr>
            <w:r>
              <w:rPr>
                <w:rFonts w:hint="default" w:ascii="Times New Roman" w:hAnsi="Times New Roman" w:eastAsia="仿宋_GB2312" w:cs="Times New Roman"/>
                <w:kern w:val="0"/>
                <w:sz w:val="16"/>
                <w:szCs w:val="16"/>
                <w:highlight w:val="none"/>
                <w:lang w:bidi="ar"/>
              </w:rPr>
              <w:t>土壤流失总量（ｔ）</w:t>
            </w:r>
          </w:p>
        </w:tc>
        <w:tc>
          <w:tcPr>
            <w:tcW w:w="1095" w:type="pct"/>
            <w:gridSpan w:val="3"/>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6"/>
                <w:szCs w:val="16"/>
                <w:highlight w:val="none"/>
              </w:rPr>
            </w:pPr>
            <w:r>
              <w:rPr>
                <w:rFonts w:hint="default" w:ascii="Times New Roman" w:hAnsi="Times New Roman" w:eastAsia="仿宋_GB2312" w:cs="Times New Roman"/>
                <w:kern w:val="0"/>
                <w:sz w:val="16"/>
                <w:szCs w:val="16"/>
                <w:highlight w:val="none"/>
                <w:lang w:bidi="ar"/>
              </w:rPr>
              <w:t>原地貌侵蚀量（t）</w:t>
            </w:r>
          </w:p>
        </w:tc>
        <w:tc>
          <w:tcPr>
            <w:tcW w:w="1354" w:type="pct"/>
            <w:gridSpan w:val="3"/>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6"/>
                <w:szCs w:val="16"/>
                <w:highlight w:val="none"/>
              </w:rPr>
            </w:pPr>
            <w:r>
              <w:rPr>
                <w:rFonts w:hint="default" w:ascii="Times New Roman" w:hAnsi="Times New Roman" w:eastAsia="仿宋_GB2312" w:cs="Times New Roman"/>
                <w:kern w:val="0"/>
                <w:sz w:val="16"/>
                <w:szCs w:val="16"/>
                <w:highlight w:val="none"/>
                <w:lang w:bidi="ar"/>
              </w:rPr>
              <w:t>新增土壤流失量（t）</w:t>
            </w:r>
          </w:p>
        </w:tc>
        <w:tc>
          <w:tcPr>
            <w:tcW w:w="404" w:type="pct"/>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6"/>
                <w:szCs w:val="16"/>
                <w:highlight w:val="none"/>
              </w:rPr>
            </w:pPr>
            <w:r>
              <w:rPr>
                <w:rFonts w:hint="default" w:ascii="Times New Roman" w:hAnsi="Times New Roman" w:eastAsia="仿宋_GB2312" w:cs="Times New Roman"/>
                <w:kern w:val="0"/>
                <w:sz w:val="16"/>
                <w:szCs w:val="16"/>
                <w:highlight w:val="none"/>
                <w:lang w:bidi="ar"/>
              </w:rPr>
              <w:t>占新增土壤流失总量（％）</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9" w:type="pct"/>
            <w:gridSpan w:val="2"/>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sz w:val="16"/>
                <w:szCs w:val="16"/>
                <w:highlight w:val="none"/>
              </w:rPr>
            </w:pPr>
          </w:p>
        </w:tc>
        <w:tc>
          <w:tcPr>
            <w:tcW w:w="426"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6"/>
                <w:szCs w:val="16"/>
                <w:highlight w:val="none"/>
              </w:rPr>
            </w:pPr>
            <w:r>
              <w:rPr>
                <w:rFonts w:hint="default" w:ascii="Times New Roman" w:hAnsi="Times New Roman" w:eastAsia="仿宋_GB2312" w:cs="Times New Roman"/>
                <w:kern w:val="0"/>
                <w:sz w:val="16"/>
                <w:szCs w:val="16"/>
                <w:highlight w:val="none"/>
                <w:lang w:bidi="ar"/>
              </w:rPr>
              <w:t>施工期</w:t>
            </w:r>
          </w:p>
        </w:tc>
        <w:tc>
          <w:tcPr>
            <w:tcW w:w="380"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6"/>
                <w:szCs w:val="16"/>
                <w:highlight w:val="none"/>
              </w:rPr>
            </w:pPr>
            <w:r>
              <w:rPr>
                <w:rFonts w:hint="default" w:ascii="Times New Roman" w:hAnsi="Times New Roman" w:eastAsia="仿宋_GB2312" w:cs="Times New Roman"/>
                <w:kern w:val="0"/>
                <w:sz w:val="16"/>
                <w:szCs w:val="16"/>
                <w:highlight w:val="none"/>
                <w:lang w:bidi="ar"/>
              </w:rPr>
              <w:t>自然恢复期</w:t>
            </w:r>
          </w:p>
        </w:tc>
        <w:tc>
          <w:tcPr>
            <w:tcW w:w="438"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6"/>
                <w:szCs w:val="16"/>
                <w:highlight w:val="none"/>
              </w:rPr>
            </w:pPr>
            <w:r>
              <w:rPr>
                <w:rFonts w:hint="default" w:ascii="Times New Roman" w:hAnsi="Times New Roman" w:eastAsia="仿宋_GB2312" w:cs="Times New Roman"/>
                <w:kern w:val="0"/>
                <w:sz w:val="16"/>
                <w:szCs w:val="16"/>
                <w:highlight w:val="none"/>
                <w:lang w:bidi="ar"/>
              </w:rPr>
              <w:t>小计</w:t>
            </w:r>
          </w:p>
        </w:tc>
        <w:tc>
          <w:tcPr>
            <w:tcW w:w="380"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6"/>
                <w:szCs w:val="16"/>
                <w:highlight w:val="none"/>
              </w:rPr>
            </w:pPr>
            <w:r>
              <w:rPr>
                <w:rFonts w:hint="default" w:ascii="Times New Roman" w:hAnsi="Times New Roman" w:eastAsia="仿宋_GB2312" w:cs="Times New Roman"/>
                <w:kern w:val="0"/>
                <w:sz w:val="16"/>
                <w:szCs w:val="16"/>
                <w:highlight w:val="none"/>
                <w:lang w:bidi="ar"/>
              </w:rPr>
              <w:t>施工期</w:t>
            </w:r>
          </w:p>
        </w:tc>
        <w:tc>
          <w:tcPr>
            <w:tcW w:w="333"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6"/>
                <w:szCs w:val="16"/>
                <w:highlight w:val="none"/>
              </w:rPr>
            </w:pPr>
            <w:r>
              <w:rPr>
                <w:rFonts w:hint="default" w:ascii="Times New Roman" w:hAnsi="Times New Roman" w:eastAsia="仿宋_GB2312" w:cs="Times New Roman"/>
                <w:kern w:val="0"/>
                <w:sz w:val="16"/>
                <w:szCs w:val="16"/>
                <w:highlight w:val="none"/>
                <w:lang w:bidi="ar"/>
              </w:rPr>
              <w:t>自然恢复期</w:t>
            </w:r>
          </w:p>
        </w:tc>
        <w:tc>
          <w:tcPr>
            <w:tcW w:w="381"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6"/>
                <w:szCs w:val="16"/>
                <w:highlight w:val="none"/>
              </w:rPr>
            </w:pPr>
            <w:r>
              <w:rPr>
                <w:rFonts w:hint="default" w:ascii="Times New Roman" w:hAnsi="Times New Roman" w:eastAsia="仿宋_GB2312" w:cs="Times New Roman"/>
                <w:kern w:val="0"/>
                <w:sz w:val="16"/>
                <w:szCs w:val="16"/>
                <w:highlight w:val="none"/>
                <w:lang w:bidi="ar"/>
              </w:rPr>
              <w:t>小计</w:t>
            </w:r>
          </w:p>
        </w:tc>
        <w:tc>
          <w:tcPr>
            <w:tcW w:w="488"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6"/>
                <w:szCs w:val="16"/>
                <w:highlight w:val="none"/>
              </w:rPr>
            </w:pPr>
            <w:r>
              <w:rPr>
                <w:rFonts w:hint="default" w:ascii="Times New Roman" w:hAnsi="Times New Roman" w:eastAsia="仿宋_GB2312" w:cs="Times New Roman"/>
                <w:kern w:val="0"/>
                <w:sz w:val="16"/>
                <w:szCs w:val="16"/>
                <w:highlight w:val="none"/>
                <w:lang w:bidi="ar"/>
              </w:rPr>
              <w:t>施工期</w:t>
            </w:r>
          </w:p>
        </w:tc>
        <w:tc>
          <w:tcPr>
            <w:tcW w:w="433"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6"/>
                <w:szCs w:val="16"/>
                <w:highlight w:val="none"/>
              </w:rPr>
            </w:pPr>
            <w:r>
              <w:rPr>
                <w:rFonts w:hint="default" w:ascii="Times New Roman" w:hAnsi="Times New Roman" w:eastAsia="仿宋_GB2312" w:cs="Times New Roman"/>
                <w:kern w:val="0"/>
                <w:sz w:val="16"/>
                <w:szCs w:val="16"/>
                <w:highlight w:val="none"/>
                <w:lang w:bidi="ar"/>
              </w:rPr>
              <w:t>自然恢复期</w:t>
            </w:r>
          </w:p>
        </w:tc>
        <w:tc>
          <w:tcPr>
            <w:tcW w:w="433"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6"/>
                <w:szCs w:val="16"/>
                <w:highlight w:val="none"/>
              </w:rPr>
            </w:pPr>
            <w:r>
              <w:rPr>
                <w:rFonts w:hint="default" w:ascii="Times New Roman" w:hAnsi="Times New Roman" w:eastAsia="仿宋_GB2312" w:cs="Times New Roman"/>
                <w:kern w:val="0"/>
                <w:sz w:val="16"/>
                <w:szCs w:val="16"/>
                <w:highlight w:val="none"/>
                <w:lang w:bidi="ar"/>
              </w:rPr>
              <w:t>小计</w:t>
            </w:r>
          </w:p>
        </w:tc>
        <w:tc>
          <w:tcPr>
            <w:tcW w:w="404"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sz w:val="16"/>
                <w:szCs w:val="16"/>
                <w:highlight w:val="none"/>
              </w:rPr>
            </w:pP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17" w:type="pct"/>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6"/>
                <w:szCs w:val="16"/>
                <w:highlight w:val="none"/>
              </w:rPr>
            </w:pPr>
            <w:r>
              <w:rPr>
                <w:rFonts w:hint="default" w:ascii="Times New Roman" w:hAnsi="Times New Roman" w:eastAsia="仿宋_GB2312" w:cs="Times New Roman"/>
                <w:i w:val="0"/>
                <w:iCs w:val="0"/>
                <w:color w:val="000000"/>
                <w:kern w:val="0"/>
                <w:sz w:val="16"/>
                <w:szCs w:val="16"/>
                <w:u w:val="none"/>
                <w:lang w:val="en-US" w:eastAsia="zh-CN" w:bidi="ar"/>
              </w:rPr>
              <w:t>工程建设区</w:t>
            </w:r>
          </w:p>
        </w:tc>
        <w:tc>
          <w:tcPr>
            <w:tcW w:w="68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6"/>
                <w:szCs w:val="16"/>
                <w:highlight w:val="none"/>
              </w:rPr>
            </w:pPr>
            <w:r>
              <w:rPr>
                <w:rFonts w:hint="default" w:ascii="Times New Roman" w:hAnsi="Times New Roman" w:eastAsia="仿宋_GB2312" w:cs="Times New Roman"/>
                <w:sz w:val="16"/>
                <w:szCs w:val="16"/>
                <w:lang w:val="en-US" w:eastAsia="zh-CN"/>
              </w:rPr>
              <w:t>建构筑物区</w:t>
            </w:r>
          </w:p>
        </w:tc>
        <w:tc>
          <w:tcPr>
            <w:tcW w:w="426"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eastAsia="仿宋_GB2312" w:cs="Times New Roman"/>
                <w:kern w:val="0"/>
                <w:sz w:val="16"/>
                <w:szCs w:val="16"/>
                <w:highlight w:val="none"/>
                <w:lang w:val="en-US" w:eastAsia="zh-CN" w:bidi="ar"/>
              </w:rPr>
            </w:pPr>
            <w:r>
              <w:rPr>
                <w:rFonts w:hint="default" w:eastAsia="仿宋_GB2312" w:cs="Times New Roman"/>
                <w:kern w:val="0"/>
                <w:sz w:val="16"/>
                <w:szCs w:val="16"/>
                <w:highlight w:val="none"/>
                <w:lang w:val="en-US" w:eastAsia="zh-CN" w:bidi="ar"/>
              </w:rPr>
              <w:t xml:space="preserve">480.25 </w:t>
            </w:r>
          </w:p>
        </w:tc>
        <w:tc>
          <w:tcPr>
            <w:tcW w:w="380"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eastAsia="仿宋_GB2312" w:cs="Times New Roman"/>
                <w:kern w:val="0"/>
                <w:sz w:val="16"/>
                <w:szCs w:val="16"/>
                <w:highlight w:val="none"/>
                <w:lang w:val="en-US" w:eastAsia="zh-CN" w:bidi="ar"/>
              </w:rPr>
            </w:pPr>
          </w:p>
        </w:tc>
        <w:tc>
          <w:tcPr>
            <w:tcW w:w="43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eastAsia="仿宋_GB2312" w:cs="Times New Roman"/>
                <w:kern w:val="0"/>
                <w:sz w:val="16"/>
                <w:szCs w:val="16"/>
                <w:highlight w:val="none"/>
                <w:lang w:val="en-US" w:eastAsia="zh-CN" w:bidi="ar"/>
              </w:rPr>
            </w:pPr>
            <w:r>
              <w:rPr>
                <w:rFonts w:hint="default" w:eastAsia="仿宋_GB2312" w:cs="Times New Roman"/>
                <w:kern w:val="0"/>
                <w:sz w:val="16"/>
                <w:szCs w:val="16"/>
                <w:highlight w:val="none"/>
                <w:lang w:val="en-US" w:eastAsia="zh-CN" w:bidi="ar"/>
              </w:rPr>
              <w:t xml:space="preserve">480.25 </w:t>
            </w:r>
          </w:p>
        </w:tc>
        <w:tc>
          <w:tcPr>
            <w:tcW w:w="380"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eastAsia="仿宋_GB2312" w:cs="Times New Roman"/>
                <w:kern w:val="0"/>
                <w:sz w:val="16"/>
                <w:szCs w:val="16"/>
                <w:highlight w:val="none"/>
                <w:lang w:val="en-US" w:eastAsia="zh-CN" w:bidi="ar"/>
              </w:rPr>
            </w:pPr>
            <w:r>
              <w:rPr>
                <w:rFonts w:hint="default" w:eastAsia="仿宋_GB2312" w:cs="Times New Roman"/>
                <w:kern w:val="0"/>
                <w:sz w:val="16"/>
                <w:szCs w:val="16"/>
                <w:highlight w:val="none"/>
                <w:lang w:val="en-US" w:eastAsia="zh-CN" w:bidi="ar"/>
              </w:rPr>
              <w:t xml:space="preserve">48.03 </w:t>
            </w:r>
          </w:p>
        </w:tc>
        <w:tc>
          <w:tcPr>
            <w:tcW w:w="333"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eastAsia="仿宋_GB2312" w:cs="Times New Roman"/>
                <w:kern w:val="0"/>
                <w:sz w:val="16"/>
                <w:szCs w:val="16"/>
                <w:highlight w:val="none"/>
                <w:lang w:val="en-US" w:eastAsia="zh-CN" w:bidi="ar"/>
              </w:rPr>
            </w:pPr>
          </w:p>
        </w:tc>
        <w:tc>
          <w:tcPr>
            <w:tcW w:w="381"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eastAsia="仿宋_GB2312" w:cs="Times New Roman"/>
                <w:kern w:val="0"/>
                <w:sz w:val="16"/>
                <w:szCs w:val="16"/>
                <w:highlight w:val="none"/>
                <w:lang w:val="en-US" w:eastAsia="zh-CN" w:bidi="ar"/>
              </w:rPr>
            </w:pPr>
            <w:r>
              <w:rPr>
                <w:rFonts w:hint="default" w:eastAsia="仿宋_GB2312" w:cs="Times New Roman"/>
                <w:kern w:val="0"/>
                <w:sz w:val="16"/>
                <w:szCs w:val="16"/>
                <w:highlight w:val="none"/>
                <w:lang w:val="en-US" w:eastAsia="zh-CN" w:bidi="ar"/>
              </w:rPr>
              <w:t xml:space="preserve">48.03 </w:t>
            </w:r>
          </w:p>
        </w:tc>
        <w:tc>
          <w:tcPr>
            <w:tcW w:w="48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eastAsia="仿宋_GB2312" w:cs="Times New Roman"/>
                <w:kern w:val="0"/>
                <w:sz w:val="16"/>
                <w:szCs w:val="16"/>
                <w:highlight w:val="none"/>
                <w:lang w:val="en-US" w:eastAsia="zh-CN" w:bidi="ar"/>
              </w:rPr>
            </w:pPr>
            <w:r>
              <w:rPr>
                <w:rFonts w:hint="default" w:eastAsia="仿宋_GB2312" w:cs="Times New Roman"/>
                <w:kern w:val="0"/>
                <w:sz w:val="16"/>
                <w:szCs w:val="16"/>
                <w:highlight w:val="none"/>
                <w:lang w:val="en-US" w:eastAsia="zh-CN" w:bidi="ar"/>
              </w:rPr>
              <w:t xml:space="preserve">432.23 </w:t>
            </w:r>
          </w:p>
        </w:tc>
        <w:tc>
          <w:tcPr>
            <w:tcW w:w="433"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eastAsia="仿宋_GB2312" w:cs="Times New Roman"/>
                <w:kern w:val="0"/>
                <w:sz w:val="16"/>
                <w:szCs w:val="16"/>
                <w:highlight w:val="none"/>
                <w:lang w:val="en-US" w:eastAsia="zh-CN" w:bidi="ar"/>
              </w:rPr>
            </w:pPr>
          </w:p>
        </w:tc>
        <w:tc>
          <w:tcPr>
            <w:tcW w:w="433"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eastAsia="仿宋_GB2312" w:cs="Times New Roman"/>
                <w:kern w:val="0"/>
                <w:sz w:val="16"/>
                <w:szCs w:val="16"/>
                <w:highlight w:val="none"/>
                <w:lang w:val="en-US" w:eastAsia="zh-CN" w:bidi="ar"/>
              </w:rPr>
            </w:pPr>
            <w:r>
              <w:rPr>
                <w:rFonts w:hint="default" w:eastAsia="仿宋_GB2312" w:cs="Times New Roman"/>
                <w:kern w:val="0"/>
                <w:sz w:val="16"/>
                <w:szCs w:val="16"/>
                <w:highlight w:val="none"/>
                <w:lang w:val="en-US" w:eastAsia="zh-CN" w:bidi="ar"/>
              </w:rPr>
              <w:t xml:space="preserve">432.23 </w:t>
            </w:r>
          </w:p>
        </w:tc>
        <w:tc>
          <w:tcPr>
            <w:tcW w:w="404"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eastAsia="仿宋_GB2312" w:cs="Times New Roman"/>
                <w:kern w:val="0"/>
                <w:sz w:val="16"/>
                <w:szCs w:val="16"/>
                <w:highlight w:val="none"/>
                <w:lang w:val="en-US" w:eastAsia="zh-CN" w:bidi="ar"/>
              </w:rPr>
            </w:pPr>
            <w:r>
              <w:rPr>
                <w:rFonts w:hint="default" w:eastAsia="仿宋_GB2312" w:cs="Times New Roman"/>
                <w:kern w:val="0"/>
                <w:sz w:val="16"/>
                <w:szCs w:val="16"/>
                <w:highlight w:val="none"/>
                <w:lang w:val="en-US" w:eastAsia="zh-CN" w:bidi="ar"/>
              </w:rPr>
              <w:t xml:space="preserve">34.01 </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17" w:type="pct"/>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6"/>
                <w:szCs w:val="16"/>
                <w:highlight w:val="none"/>
              </w:rPr>
            </w:pPr>
          </w:p>
        </w:tc>
        <w:tc>
          <w:tcPr>
            <w:tcW w:w="68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6"/>
                <w:szCs w:val="16"/>
                <w:highlight w:val="none"/>
              </w:rPr>
            </w:pPr>
            <w:r>
              <w:rPr>
                <w:rFonts w:hint="default" w:ascii="Times New Roman" w:hAnsi="Times New Roman" w:eastAsia="仿宋_GB2312" w:cs="Times New Roman"/>
                <w:sz w:val="16"/>
                <w:szCs w:val="16"/>
                <w:lang w:val="en-US" w:eastAsia="zh-CN"/>
              </w:rPr>
              <w:t>道路及硬化区</w:t>
            </w:r>
          </w:p>
        </w:tc>
        <w:tc>
          <w:tcPr>
            <w:tcW w:w="426"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eastAsia="仿宋_GB2312" w:cs="Times New Roman"/>
                <w:kern w:val="0"/>
                <w:sz w:val="16"/>
                <w:szCs w:val="16"/>
                <w:highlight w:val="none"/>
                <w:lang w:val="en-US" w:eastAsia="zh-CN" w:bidi="ar"/>
              </w:rPr>
            </w:pPr>
            <w:r>
              <w:rPr>
                <w:rFonts w:hint="default" w:eastAsia="仿宋_GB2312" w:cs="Times New Roman"/>
                <w:kern w:val="0"/>
                <w:sz w:val="16"/>
                <w:szCs w:val="16"/>
                <w:highlight w:val="none"/>
                <w:lang w:val="en-US" w:eastAsia="zh-CN" w:bidi="ar"/>
              </w:rPr>
              <w:t xml:space="preserve">638.86 </w:t>
            </w:r>
          </w:p>
        </w:tc>
        <w:tc>
          <w:tcPr>
            <w:tcW w:w="380"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eastAsia="仿宋_GB2312" w:cs="Times New Roman"/>
                <w:kern w:val="0"/>
                <w:sz w:val="16"/>
                <w:szCs w:val="16"/>
                <w:highlight w:val="none"/>
                <w:lang w:val="en-US" w:eastAsia="zh-CN" w:bidi="ar"/>
              </w:rPr>
            </w:pPr>
          </w:p>
        </w:tc>
        <w:tc>
          <w:tcPr>
            <w:tcW w:w="43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eastAsia="仿宋_GB2312" w:cs="Times New Roman"/>
                <w:kern w:val="0"/>
                <w:sz w:val="16"/>
                <w:szCs w:val="16"/>
                <w:highlight w:val="none"/>
                <w:lang w:val="en-US" w:eastAsia="zh-CN" w:bidi="ar"/>
              </w:rPr>
            </w:pPr>
            <w:r>
              <w:rPr>
                <w:rFonts w:hint="default" w:eastAsia="仿宋_GB2312" w:cs="Times New Roman"/>
                <w:kern w:val="0"/>
                <w:sz w:val="16"/>
                <w:szCs w:val="16"/>
                <w:highlight w:val="none"/>
                <w:lang w:val="en-US" w:eastAsia="zh-CN" w:bidi="ar"/>
              </w:rPr>
              <w:t xml:space="preserve">638.86 </w:t>
            </w:r>
          </w:p>
        </w:tc>
        <w:tc>
          <w:tcPr>
            <w:tcW w:w="380"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eastAsia="仿宋_GB2312" w:cs="Times New Roman"/>
                <w:kern w:val="0"/>
                <w:sz w:val="16"/>
                <w:szCs w:val="16"/>
                <w:highlight w:val="none"/>
                <w:lang w:val="en-US" w:eastAsia="zh-CN" w:bidi="ar"/>
              </w:rPr>
            </w:pPr>
            <w:r>
              <w:rPr>
                <w:rFonts w:hint="default" w:eastAsia="仿宋_GB2312" w:cs="Times New Roman"/>
                <w:kern w:val="0"/>
                <w:sz w:val="16"/>
                <w:szCs w:val="16"/>
                <w:highlight w:val="none"/>
                <w:lang w:val="en-US" w:eastAsia="zh-CN" w:bidi="ar"/>
              </w:rPr>
              <w:t xml:space="preserve">63.89 </w:t>
            </w:r>
          </w:p>
        </w:tc>
        <w:tc>
          <w:tcPr>
            <w:tcW w:w="333"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eastAsia="仿宋_GB2312" w:cs="Times New Roman"/>
                <w:kern w:val="0"/>
                <w:sz w:val="16"/>
                <w:szCs w:val="16"/>
                <w:highlight w:val="none"/>
                <w:lang w:val="en-US" w:eastAsia="zh-CN" w:bidi="ar"/>
              </w:rPr>
            </w:pPr>
          </w:p>
        </w:tc>
        <w:tc>
          <w:tcPr>
            <w:tcW w:w="381"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eastAsia="仿宋_GB2312" w:cs="Times New Roman"/>
                <w:kern w:val="0"/>
                <w:sz w:val="16"/>
                <w:szCs w:val="16"/>
                <w:highlight w:val="none"/>
                <w:lang w:val="en-US" w:eastAsia="zh-CN" w:bidi="ar"/>
              </w:rPr>
            </w:pPr>
            <w:r>
              <w:rPr>
                <w:rFonts w:hint="default" w:eastAsia="仿宋_GB2312" w:cs="Times New Roman"/>
                <w:kern w:val="0"/>
                <w:sz w:val="16"/>
                <w:szCs w:val="16"/>
                <w:highlight w:val="none"/>
                <w:lang w:val="en-US" w:eastAsia="zh-CN" w:bidi="ar"/>
              </w:rPr>
              <w:t xml:space="preserve">63.89 </w:t>
            </w:r>
          </w:p>
        </w:tc>
        <w:tc>
          <w:tcPr>
            <w:tcW w:w="48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eastAsia="仿宋_GB2312" w:cs="Times New Roman"/>
                <w:kern w:val="0"/>
                <w:sz w:val="16"/>
                <w:szCs w:val="16"/>
                <w:highlight w:val="none"/>
                <w:lang w:val="en-US" w:eastAsia="zh-CN" w:bidi="ar"/>
              </w:rPr>
            </w:pPr>
            <w:r>
              <w:rPr>
                <w:rFonts w:hint="default" w:eastAsia="仿宋_GB2312" w:cs="Times New Roman"/>
                <w:kern w:val="0"/>
                <w:sz w:val="16"/>
                <w:szCs w:val="16"/>
                <w:highlight w:val="none"/>
                <w:lang w:val="en-US" w:eastAsia="zh-CN" w:bidi="ar"/>
              </w:rPr>
              <w:t xml:space="preserve">574.98 </w:t>
            </w:r>
          </w:p>
        </w:tc>
        <w:tc>
          <w:tcPr>
            <w:tcW w:w="433"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eastAsia="仿宋_GB2312" w:cs="Times New Roman"/>
                <w:kern w:val="0"/>
                <w:sz w:val="16"/>
                <w:szCs w:val="16"/>
                <w:highlight w:val="none"/>
                <w:lang w:val="en-US" w:eastAsia="zh-CN" w:bidi="ar"/>
              </w:rPr>
            </w:pPr>
          </w:p>
        </w:tc>
        <w:tc>
          <w:tcPr>
            <w:tcW w:w="433"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eastAsia="仿宋_GB2312" w:cs="Times New Roman"/>
                <w:kern w:val="0"/>
                <w:sz w:val="16"/>
                <w:szCs w:val="16"/>
                <w:highlight w:val="none"/>
                <w:lang w:val="en-US" w:eastAsia="zh-CN" w:bidi="ar"/>
              </w:rPr>
            </w:pPr>
            <w:r>
              <w:rPr>
                <w:rFonts w:hint="default" w:eastAsia="仿宋_GB2312" w:cs="Times New Roman"/>
                <w:kern w:val="0"/>
                <w:sz w:val="16"/>
                <w:szCs w:val="16"/>
                <w:highlight w:val="none"/>
                <w:lang w:val="en-US" w:eastAsia="zh-CN" w:bidi="ar"/>
              </w:rPr>
              <w:t xml:space="preserve">574.98 </w:t>
            </w:r>
          </w:p>
        </w:tc>
        <w:tc>
          <w:tcPr>
            <w:tcW w:w="404"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eastAsia="仿宋_GB2312" w:cs="Times New Roman"/>
                <w:kern w:val="0"/>
                <w:sz w:val="16"/>
                <w:szCs w:val="16"/>
                <w:highlight w:val="none"/>
                <w:lang w:val="en-US" w:eastAsia="zh-CN" w:bidi="ar"/>
              </w:rPr>
            </w:pPr>
            <w:r>
              <w:rPr>
                <w:rFonts w:hint="default" w:eastAsia="仿宋_GB2312" w:cs="Times New Roman"/>
                <w:kern w:val="0"/>
                <w:sz w:val="16"/>
                <w:szCs w:val="16"/>
                <w:highlight w:val="none"/>
                <w:lang w:val="en-US" w:eastAsia="zh-CN" w:bidi="ar"/>
              </w:rPr>
              <w:t xml:space="preserve">45.25 </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17" w:type="pct"/>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6"/>
                <w:szCs w:val="16"/>
                <w:highlight w:val="none"/>
              </w:rPr>
            </w:pPr>
          </w:p>
        </w:tc>
        <w:tc>
          <w:tcPr>
            <w:tcW w:w="68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6"/>
                <w:szCs w:val="16"/>
                <w:highlight w:val="none"/>
              </w:rPr>
            </w:pPr>
            <w:r>
              <w:rPr>
                <w:rFonts w:hint="default" w:ascii="Times New Roman" w:hAnsi="Times New Roman" w:eastAsia="仿宋_GB2312" w:cs="Times New Roman"/>
                <w:sz w:val="16"/>
                <w:szCs w:val="16"/>
                <w:lang w:val="en-US" w:eastAsia="zh-CN"/>
              </w:rPr>
              <w:t>绿化区</w:t>
            </w:r>
          </w:p>
        </w:tc>
        <w:tc>
          <w:tcPr>
            <w:tcW w:w="426"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eastAsia="仿宋_GB2312" w:cs="Times New Roman"/>
                <w:kern w:val="0"/>
                <w:sz w:val="16"/>
                <w:szCs w:val="16"/>
                <w:highlight w:val="none"/>
                <w:lang w:val="en-US" w:eastAsia="zh-CN" w:bidi="ar"/>
              </w:rPr>
            </w:pPr>
            <w:r>
              <w:rPr>
                <w:rFonts w:hint="default" w:eastAsia="仿宋_GB2312" w:cs="Times New Roman"/>
                <w:kern w:val="0"/>
                <w:sz w:val="16"/>
                <w:szCs w:val="16"/>
                <w:highlight w:val="none"/>
                <w:lang w:val="en-US" w:eastAsia="zh-CN" w:bidi="ar"/>
              </w:rPr>
              <w:t xml:space="preserve">39.93 </w:t>
            </w:r>
          </w:p>
        </w:tc>
        <w:tc>
          <w:tcPr>
            <w:tcW w:w="380"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eastAsia="仿宋_GB2312" w:cs="Times New Roman"/>
                <w:kern w:val="0"/>
                <w:sz w:val="16"/>
                <w:szCs w:val="16"/>
                <w:highlight w:val="none"/>
                <w:lang w:val="en-US" w:eastAsia="zh-CN" w:bidi="ar"/>
              </w:rPr>
            </w:pPr>
            <w:r>
              <w:rPr>
                <w:rFonts w:hint="default" w:eastAsia="仿宋_GB2312" w:cs="Times New Roman"/>
                <w:kern w:val="0"/>
                <w:sz w:val="16"/>
                <w:szCs w:val="16"/>
                <w:highlight w:val="none"/>
                <w:lang w:val="en-US" w:eastAsia="zh-CN" w:bidi="ar"/>
              </w:rPr>
              <w:t xml:space="preserve">275.54 </w:t>
            </w:r>
          </w:p>
        </w:tc>
        <w:tc>
          <w:tcPr>
            <w:tcW w:w="43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eastAsia="仿宋_GB2312" w:cs="Times New Roman"/>
                <w:kern w:val="0"/>
                <w:sz w:val="16"/>
                <w:szCs w:val="16"/>
                <w:highlight w:val="none"/>
                <w:lang w:val="en-US" w:eastAsia="zh-CN" w:bidi="ar"/>
              </w:rPr>
            </w:pPr>
            <w:r>
              <w:rPr>
                <w:rFonts w:hint="default" w:eastAsia="仿宋_GB2312" w:cs="Times New Roman"/>
                <w:kern w:val="0"/>
                <w:sz w:val="16"/>
                <w:szCs w:val="16"/>
                <w:highlight w:val="none"/>
                <w:lang w:val="en-US" w:eastAsia="zh-CN" w:bidi="ar"/>
              </w:rPr>
              <w:t xml:space="preserve">315.47 </w:t>
            </w:r>
          </w:p>
        </w:tc>
        <w:tc>
          <w:tcPr>
            <w:tcW w:w="380"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eastAsia="仿宋_GB2312" w:cs="Times New Roman"/>
                <w:kern w:val="0"/>
                <w:sz w:val="16"/>
                <w:szCs w:val="16"/>
                <w:highlight w:val="none"/>
                <w:lang w:val="en-US" w:eastAsia="zh-CN" w:bidi="ar"/>
              </w:rPr>
            </w:pPr>
            <w:r>
              <w:rPr>
                <w:rFonts w:hint="default" w:eastAsia="仿宋_GB2312" w:cs="Times New Roman"/>
                <w:kern w:val="0"/>
                <w:sz w:val="16"/>
                <w:szCs w:val="16"/>
                <w:highlight w:val="none"/>
                <w:lang w:val="en-US" w:eastAsia="zh-CN" w:bidi="ar"/>
              </w:rPr>
              <w:t xml:space="preserve">3.99 </w:t>
            </w:r>
          </w:p>
        </w:tc>
        <w:tc>
          <w:tcPr>
            <w:tcW w:w="333"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eastAsia="仿宋_GB2312" w:cs="Times New Roman"/>
                <w:kern w:val="0"/>
                <w:sz w:val="16"/>
                <w:szCs w:val="16"/>
                <w:highlight w:val="none"/>
                <w:lang w:val="en-US" w:eastAsia="zh-CN" w:bidi="ar"/>
              </w:rPr>
            </w:pPr>
            <w:r>
              <w:rPr>
                <w:rFonts w:hint="default" w:eastAsia="仿宋_GB2312" w:cs="Times New Roman"/>
                <w:kern w:val="0"/>
                <w:sz w:val="16"/>
                <w:szCs w:val="16"/>
                <w:highlight w:val="none"/>
                <w:lang w:val="en-US" w:eastAsia="zh-CN" w:bidi="ar"/>
              </w:rPr>
              <w:t xml:space="preserve">47.92 </w:t>
            </w:r>
          </w:p>
        </w:tc>
        <w:tc>
          <w:tcPr>
            <w:tcW w:w="381"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eastAsia="仿宋_GB2312" w:cs="Times New Roman"/>
                <w:kern w:val="0"/>
                <w:sz w:val="16"/>
                <w:szCs w:val="16"/>
                <w:highlight w:val="none"/>
                <w:lang w:val="en-US" w:eastAsia="zh-CN" w:bidi="ar"/>
              </w:rPr>
            </w:pPr>
            <w:r>
              <w:rPr>
                <w:rFonts w:hint="default" w:eastAsia="仿宋_GB2312" w:cs="Times New Roman"/>
                <w:kern w:val="0"/>
                <w:sz w:val="16"/>
                <w:szCs w:val="16"/>
                <w:highlight w:val="none"/>
                <w:lang w:val="en-US" w:eastAsia="zh-CN" w:bidi="ar"/>
              </w:rPr>
              <w:t xml:space="preserve">51.91 </w:t>
            </w:r>
          </w:p>
        </w:tc>
        <w:tc>
          <w:tcPr>
            <w:tcW w:w="48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eastAsia="仿宋_GB2312" w:cs="Times New Roman"/>
                <w:kern w:val="0"/>
                <w:sz w:val="16"/>
                <w:szCs w:val="16"/>
                <w:highlight w:val="none"/>
                <w:lang w:val="en-US" w:eastAsia="zh-CN" w:bidi="ar"/>
              </w:rPr>
            </w:pPr>
            <w:r>
              <w:rPr>
                <w:rFonts w:hint="default" w:eastAsia="仿宋_GB2312" w:cs="Times New Roman"/>
                <w:kern w:val="0"/>
                <w:sz w:val="16"/>
                <w:szCs w:val="16"/>
                <w:highlight w:val="none"/>
                <w:lang w:val="en-US" w:eastAsia="zh-CN" w:bidi="ar"/>
              </w:rPr>
              <w:t xml:space="preserve">35.94 </w:t>
            </w:r>
          </w:p>
        </w:tc>
        <w:tc>
          <w:tcPr>
            <w:tcW w:w="433"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eastAsia="仿宋_GB2312" w:cs="Times New Roman"/>
                <w:kern w:val="0"/>
                <w:sz w:val="16"/>
                <w:szCs w:val="16"/>
                <w:highlight w:val="none"/>
                <w:lang w:val="en-US" w:eastAsia="zh-CN" w:bidi="ar"/>
              </w:rPr>
            </w:pPr>
            <w:r>
              <w:rPr>
                <w:rFonts w:hint="default" w:eastAsia="仿宋_GB2312" w:cs="Times New Roman"/>
                <w:kern w:val="0"/>
                <w:sz w:val="16"/>
                <w:szCs w:val="16"/>
                <w:highlight w:val="none"/>
                <w:lang w:val="en-US" w:eastAsia="zh-CN" w:bidi="ar"/>
              </w:rPr>
              <w:t xml:space="preserve">227.62 </w:t>
            </w:r>
          </w:p>
        </w:tc>
        <w:tc>
          <w:tcPr>
            <w:tcW w:w="433"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eastAsia="仿宋_GB2312" w:cs="Times New Roman"/>
                <w:kern w:val="0"/>
                <w:sz w:val="16"/>
                <w:szCs w:val="16"/>
                <w:highlight w:val="none"/>
                <w:lang w:val="en-US" w:eastAsia="zh-CN" w:bidi="ar"/>
              </w:rPr>
            </w:pPr>
            <w:r>
              <w:rPr>
                <w:rFonts w:hint="default" w:eastAsia="仿宋_GB2312" w:cs="Times New Roman"/>
                <w:kern w:val="0"/>
                <w:sz w:val="16"/>
                <w:szCs w:val="16"/>
                <w:highlight w:val="none"/>
                <w:lang w:val="en-US" w:eastAsia="zh-CN" w:bidi="ar"/>
              </w:rPr>
              <w:t xml:space="preserve">263.56 </w:t>
            </w:r>
          </w:p>
        </w:tc>
        <w:tc>
          <w:tcPr>
            <w:tcW w:w="404"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eastAsia="仿宋_GB2312" w:cs="Times New Roman"/>
                <w:kern w:val="0"/>
                <w:sz w:val="16"/>
                <w:szCs w:val="16"/>
                <w:highlight w:val="none"/>
                <w:lang w:val="en-US" w:eastAsia="zh-CN" w:bidi="ar"/>
              </w:rPr>
            </w:pPr>
            <w:r>
              <w:rPr>
                <w:rFonts w:hint="default" w:eastAsia="仿宋_GB2312" w:cs="Times New Roman"/>
                <w:kern w:val="0"/>
                <w:sz w:val="16"/>
                <w:szCs w:val="16"/>
                <w:highlight w:val="none"/>
                <w:lang w:val="en-US" w:eastAsia="zh-CN" w:bidi="ar"/>
              </w:rPr>
              <w:t xml:space="preserve">20.74 </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9" w:type="pct"/>
            <w:gridSpan w:val="2"/>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6"/>
                <w:szCs w:val="16"/>
                <w:highlight w:val="none"/>
              </w:rPr>
            </w:pPr>
            <w:r>
              <w:rPr>
                <w:rFonts w:hint="default" w:ascii="Times New Roman" w:hAnsi="Times New Roman" w:eastAsia="仿宋_GB2312" w:cs="Times New Roman"/>
                <w:kern w:val="0"/>
                <w:sz w:val="16"/>
                <w:szCs w:val="16"/>
                <w:highlight w:val="none"/>
                <w:lang w:bidi="ar"/>
              </w:rPr>
              <w:t>合计</w:t>
            </w:r>
          </w:p>
        </w:tc>
        <w:tc>
          <w:tcPr>
            <w:tcW w:w="426"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eastAsia="仿宋_GB2312" w:cs="Times New Roman"/>
                <w:kern w:val="0"/>
                <w:sz w:val="16"/>
                <w:szCs w:val="16"/>
                <w:highlight w:val="none"/>
                <w:lang w:val="en-US" w:eastAsia="zh-CN" w:bidi="ar"/>
              </w:rPr>
            </w:pPr>
            <w:r>
              <w:rPr>
                <w:rFonts w:hint="default" w:eastAsia="仿宋_GB2312" w:cs="Times New Roman"/>
                <w:kern w:val="0"/>
                <w:sz w:val="16"/>
                <w:szCs w:val="16"/>
                <w:highlight w:val="none"/>
                <w:lang w:val="en-US" w:eastAsia="zh-CN" w:bidi="ar"/>
              </w:rPr>
              <w:t xml:space="preserve">1159.05 </w:t>
            </w:r>
          </w:p>
        </w:tc>
        <w:tc>
          <w:tcPr>
            <w:tcW w:w="380"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eastAsia="仿宋_GB2312" w:cs="Times New Roman"/>
                <w:kern w:val="0"/>
                <w:sz w:val="16"/>
                <w:szCs w:val="16"/>
                <w:highlight w:val="none"/>
                <w:lang w:val="en-US" w:eastAsia="zh-CN" w:bidi="ar"/>
              </w:rPr>
            </w:pPr>
            <w:r>
              <w:rPr>
                <w:rFonts w:hint="default" w:eastAsia="仿宋_GB2312" w:cs="Times New Roman"/>
                <w:kern w:val="0"/>
                <w:sz w:val="16"/>
                <w:szCs w:val="16"/>
                <w:highlight w:val="none"/>
                <w:lang w:val="en-US" w:eastAsia="zh-CN" w:bidi="ar"/>
              </w:rPr>
              <w:t xml:space="preserve">275.54 </w:t>
            </w:r>
          </w:p>
        </w:tc>
        <w:tc>
          <w:tcPr>
            <w:tcW w:w="43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eastAsia="仿宋_GB2312" w:cs="Times New Roman"/>
                <w:kern w:val="0"/>
                <w:sz w:val="16"/>
                <w:szCs w:val="16"/>
                <w:highlight w:val="none"/>
                <w:lang w:val="en-US" w:eastAsia="zh-CN" w:bidi="ar"/>
              </w:rPr>
            </w:pPr>
            <w:r>
              <w:rPr>
                <w:rFonts w:hint="default" w:eastAsia="仿宋_GB2312" w:cs="Times New Roman"/>
                <w:kern w:val="0"/>
                <w:sz w:val="16"/>
                <w:szCs w:val="16"/>
                <w:highlight w:val="none"/>
                <w:lang w:val="en-US" w:eastAsia="zh-CN" w:bidi="ar"/>
              </w:rPr>
              <w:t xml:space="preserve">1434.59 </w:t>
            </w:r>
          </w:p>
        </w:tc>
        <w:tc>
          <w:tcPr>
            <w:tcW w:w="380"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eastAsia="仿宋_GB2312" w:cs="Times New Roman"/>
                <w:kern w:val="0"/>
                <w:sz w:val="16"/>
                <w:szCs w:val="16"/>
                <w:highlight w:val="none"/>
                <w:lang w:val="en-US" w:eastAsia="zh-CN" w:bidi="ar"/>
              </w:rPr>
            </w:pPr>
            <w:r>
              <w:rPr>
                <w:rFonts w:hint="default" w:eastAsia="仿宋_GB2312" w:cs="Times New Roman"/>
                <w:kern w:val="0"/>
                <w:sz w:val="16"/>
                <w:szCs w:val="16"/>
                <w:highlight w:val="none"/>
                <w:lang w:val="en-US" w:eastAsia="zh-CN" w:bidi="ar"/>
              </w:rPr>
              <w:t xml:space="preserve">115.90 </w:t>
            </w:r>
          </w:p>
        </w:tc>
        <w:tc>
          <w:tcPr>
            <w:tcW w:w="333"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eastAsia="仿宋_GB2312" w:cs="Times New Roman"/>
                <w:kern w:val="0"/>
                <w:sz w:val="16"/>
                <w:szCs w:val="16"/>
                <w:highlight w:val="none"/>
                <w:lang w:val="en-US" w:eastAsia="zh-CN" w:bidi="ar"/>
              </w:rPr>
            </w:pPr>
            <w:r>
              <w:rPr>
                <w:rFonts w:hint="default" w:eastAsia="仿宋_GB2312" w:cs="Times New Roman"/>
                <w:kern w:val="0"/>
                <w:sz w:val="16"/>
                <w:szCs w:val="16"/>
                <w:highlight w:val="none"/>
                <w:lang w:val="en-US" w:eastAsia="zh-CN" w:bidi="ar"/>
              </w:rPr>
              <w:t xml:space="preserve">47.92 </w:t>
            </w:r>
          </w:p>
        </w:tc>
        <w:tc>
          <w:tcPr>
            <w:tcW w:w="381"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eastAsia="仿宋_GB2312" w:cs="Times New Roman"/>
                <w:kern w:val="0"/>
                <w:sz w:val="16"/>
                <w:szCs w:val="16"/>
                <w:highlight w:val="none"/>
                <w:lang w:val="en-US" w:eastAsia="zh-CN" w:bidi="ar"/>
              </w:rPr>
            </w:pPr>
            <w:r>
              <w:rPr>
                <w:rFonts w:hint="default" w:eastAsia="仿宋_GB2312" w:cs="Times New Roman"/>
                <w:kern w:val="0"/>
                <w:sz w:val="16"/>
                <w:szCs w:val="16"/>
                <w:highlight w:val="none"/>
                <w:lang w:val="en-US" w:eastAsia="zh-CN" w:bidi="ar"/>
              </w:rPr>
              <w:t xml:space="preserve">163.82 </w:t>
            </w:r>
          </w:p>
        </w:tc>
        <w:tc>
          <w:tcPr>
            <w:tcW w:w="48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eastAsia="仿宋_GB2312" w:cs="Times New Roman"/>
                <w:kern w:val="0"/>
                <w:sz w:val="16"/>
                <w:szCs w:val="16"/>
                <w:highlight w:val="none"/>
                <w:lang w:val="en-US" w:eastAsia="zh-CN" w:bidi="ar"/>
              </w:rPr>
            </w:pPr>
            <w:r>
              <w:rPr>
                <w:rFonts w:hint="default" w:eastAsia="仿宋_GB2312" w:cs="Times New Roman"/>
                <w:kern w:val="0"/>
                <w:sz w:val="16"/>
                <w:szCs w:val="16"/>
                <w:highlight w:val="none"/>
                <w:lang w:val="en-US" w:eastAsia="zh-CN" w:bidi="ar"/>
              </w:rPr>
              <w:t xml:space="preserve">1043.14 </w:t>
            </w:r>
          </w:p>
        </w:tc>
        <w:tc>
          <w:tcPr>
            <w:tcW w:w="433"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eastAsia="仿宋_GB2312" w:cs="Times New Roman"/>
                <w:kern w:val="0"/>
                <w:sz w:val="16"/>
                <w:szCs w:val="16"/>
                <w:highlight w:val="none"/>
                <w:lang w:val="en-US" w:eastAsia="zh-CN" w:bidi="ar"/>
              </w:rPr>
            </w:pPr>
            <w:r>
              <w:rPr>
                <w:rFonts w:hint="default" w:eastAsia="仿宋_GB2312" w:cs="Times New Roman"/>
                <w:kern w:val="0"/>
                <w:sz w:val="16"/>
                <w:szCs w:val="16"/>
                <w:highlight w:val="none"/>
                <w:lang w:val="en-US" w:eastAsia="zh-CN" w:bidi="ar"/>
              </w:rPr>
              <w:t xml:space="preserve">227.62 </w:t>
            </w:r>
          </w:p>
        </w:tc>
        <w:tc>
          <w:tcPr>
            <w:tcW w:w="433"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eastAsia="仿宋_GB2312" w:cs="Times New Roman"/>
                <w:kern w:val="0"/>
                <w:sz w:val="16"/>
                <w:szCs w:val="16"/>
                <w:highlight w:val="none"/>
                <w:lang w:val="en-US" w:eastAsia="zh-CN" w:bidi="ar"/>
              </w:rPr>
            </w:pPr>
            <w:r>
              <w:rPr>
                <w:rFonts w:hint="default" w:eastAsia="仿宋_GB2312" w:cs="Times New Roman"/>
                <w:kern w:val="0"/>
                <w:sz w:val="16"/>
                <w:szCs w:val="16"/>
                <w:highlight w:val="none"/>
                <w:lang w:val="en-US" w:eastAsia="zh-CN" w:bidi="ar"/>
              </w:rPr>
              <w:t xml:space="preserve">1270.76 </w:t>
            </w:r>
          </w:p>
        </w:tc>
        <w:tc>
          <w:tcPr>
            <w:tcW w:w="404"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eastAsia="仿宋_GB2312" w:cs="Times New Roman"/>
                <w:kern w:val="0"/>
                <w:sz w:val="16"/>
                <w:szCs w:val="16"/>
                <w:highlight w:val="none"/>
                <w:lang w:val="en-US" w:eastAsia="zh-CN" w:bidi="ar"/>
              </w:rPr>
            </w:pPr>
            <w:r>
              <w:rPr>
                <w:rFonts w:hint="default" w:eastAsia="仿宋_GB2312" w:cs="Times New Roman"/>
                <w:kern w:val="0"/>
                <w:sz w:val="16"/>
                <w:szCs w:val="16"/>
                <w:highlight w:val="none"/>
                <w:lang w:val="en-US" w:eastAsia="zh-CN" w:bidi="ar"/>
              </w:rPr>
              <w:t>100</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99" w:type="pct"/>
            <w:gridSpan w:val="2"/>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16"/>
                <w:szCs w:val="16"/>
                <w:highlight w:val="none"/>
              </w:rPr>
            </w:pPr>
            <w:r>
              <w:rPr>
                <w:rFonts w:hint="default" w:ascii="Times New Roman" w:hAnsi="Times New Roman" w:eastAsia="仿宋_GB2312" w:cs="Times New Roman"/>
                <w:kern w:val="0"/>
                <w:sz w:val="16"/>
                <w:szCs w:val="16"/>
                <w:highlight w:val="none"/>
                <w:lang w:bidi="ar"/>
              </w:rPr>
              <w:t>各时段预测量占总量的（%)</w:t>
            </w:r>
          </w:p>
        </w:tc>
        <w:tc>
          <w:tcPr>
            <w:tcW w:w="426"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eastAsia="仿宋_GB2312" w:cs="Times New Roman"/>
                <w:kern w:val="0"/>
                <w:sz w:val="16"/>
                <w:szCs w:val="16"/>
                <w:highlight w:val="none"/>
                <w:lang w:val="en-US" w:eastAsia="zh-CN" w:bidi="ar"/>
              </w:rPr>
            </w:pPr>
            <w:r>
              <w:rPr>
                <w:rFonts w:hint="default" w:eastAsia="仿宋_GB2312" w:cs="Times New Roman"/>
                <w:kern w:val="0"/>
                <w:sz w:val="16"/>
                <w:szCs w:val="16"/>
                <w:highlight w:val="none"/>
                <w:lang w:val="en-US" w:eastAsia="zh-CN" w:bidi="ar"/>
              </w:rPr>
              <w:t xml:space="preserve">80.79 </w:t>
            </w:r>
          </w:p>
        </w:tc>
        <w:tc>
          <w:tcPr>
            <w:tcW w:w="380"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eastAsia="仿宋_GB2312" w:cs="Times New Roman"/>
                <w:kern w:val="0"/>
                <w:sz w:val="16"/>
                <w:szCs w:val="16"/>
                <w:highlight w:val="none"/>
                <w:lang w:val="en-US" w:eastAsia="zh-CN" w:bidi="ar"/>
              </w:rPr>
            </w:pPr>
            <w:r>
              <w:rPr>
                <w:rFonts w:hint="default" w:eastAsia="仿宋_GB2312" w:cs="Times New Roman"/>
                <w:kern w:val="0"/>
                <w:sz w:val="16"/>
                <w:szCs w:val="16"/>
                <w:highlight w:val="none"/>
                <w:lang w:val="en-US" w:eastAsia="zh-CN" w:bidi="ar"/>
              </w:rPr>
              <w:t xml:space="preserve">19.21 </w:t>
            </w:r>
          </w:p>
        </w:tc>
        <w:tc>
          <w:tcPr>
            <w:tcW w:w="43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eastAsia="仿宋_GB2312" w:cs="Times New Roman"/>
                <w:kern w:val="0"/>
                <w:sz w:val="16"/>
                <w:szCs w:val="16"/>
                <w:highlight w:val="none"/>
                <w:lang w:val="en-US" w:eastAsia="zh-CN" w:bidi="ar"/>
              </w:rPr>
            </w:pPr>
            <w:r>
              <w:rPr>
                <w:rFonts w:hint="default" w:eastAsia="仿宋_GB2312" w:cs="Times New Roman"/>
                <w:kern w:val="0"/>
                <w:sz w:val="16"/>
                <w:szCs w:val="16"/>
                <w:highlight w:val="none"/>
                <w:lang w:val="en-US" w:eastAsia="zh-CN" w:bidi="ar"/>
              </w:rPr>
              <w:t xml:space="preserve">100 </w:t>
            </w:r>
          </w:p>
        </w:tc>
        <w:tc>
          <w:tcPr>
            <w:tcW w:w="380"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eastAsia="仿宋_GB2312" w:cs="Times New Roman"/>
                <w:kern w:val="0"/>
                <w:sz w:val="16"/>
                <w:szCs w:val="16"/>
                <w:highlight w:val="none"/>
                <w:lang w:val="en-US" w:eastAsia="zh-CN" w:bidi="ar"/>
              </w:rPr>
            </w:pPr>
            <w:r>
              <w:rPr>
                <w:rFonts w:hint="default" w:eastAsia="仿宋_GB2312" w:cs="Times New Roman"/>
                <w:kern w:val="0"/>
                <w:sz w:val="16"/>
                <w:szCs w:val="16"/>
                <w:highlight w:val="none"/>
                <w:lang w:val="en-US" w:eastAsia="zh-CN" w:bidi="ar"/>
              </w:rPr>
              <w:t xml:space="preserve">70.75 </w:t>
            </w:r>
          </w:p>
        </w:tc>
        <w:tc>
          <w:tcPr>
            <w:tcW w:w="333"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eastAsia="仿宋_GB2312" w:cs="Times New Roman"/>
                <w:kern w:val="0"/>
                <w:sz w:val="16"/>
                <w:szCs w:val="16"/>
                <w:highlight w:val="none"/>
                <w:lang w:val="en-US" w:eastAsia="zh-CN" w:bidi="ar"/>
              </w:rPr>
            </w:pPr>
            <w:r>
              <w:rPr>
                <w:rFonts w:hint="default" w:eastAsia="仿宋_GB2312" w:cs="Times New Roman"/>
                <w:kern w:val="0"/>
                <w:sz w:val="16"/>
                <w:szCs w:val="16"/>
                <w:highlight w:val="none"/>
                <w:lang w:val="en-US" w:eastAsia="zh-CN" w:bidi="ar"/>
              </w:rPr>
              <w:t xml:space="preserve">29.25 </w:t>
            </w:r>
          </w:p>
        </w:tc>
        <w:tc>
          <w:tcPr>
            <w:tcW w:w="381"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eastAsia="仿宋_GB2312" w:cs="Times New Roman"/>
                <w:kern w:val="0"/>
                <w:sz w:val="16"/>
                <w:szCs w:val="16"/>
                <w:highlight w:val="none"/>
                <w:lang w:val="en-US" w:eastAsia="zh-CN" w:bidi="ar"/>
              </w:rPr>
            </w:pPr>
            <w:r>
              <w:rPr>
                <w:rFonts w:hint="default" w:eastAsia="仿宋_GB2312" w:cs="Times New Roman"/>
                <w:kern w:val="0"/>
                <w:sz w:val="16"/>
                <w:szCs w:val="16"/>
                <w:highlight w:val="none"/>
                <w:lang w:val="en-US" w:eastAsia="zh-CN" w:bidi="ar"/>
              </w:rPr>
              <w:t>100</w:t>
            </w:r>
          </w:p>
        </w:tc>
        <w:tc>
          <w:tcPr>
            <w:tcW w:w="48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eastAsia="仿宋_GB2312" w:cs="Times New Roman"/>
                <w:kern w:val="0"/>
                <w:sz w:val="16"/>
                <w:szCs w:val="16"/>
                <w:highlight w:val="none"/>
                <w:lang w:val="en-US" w:eastAsia="zh-CN" w:bidi="ar"/>
              </w:rPr>
            </w:pPr>
            <w:r>
              <w:rPr>
                <w:rFonts w:hint="default" w:eastAsia="仿宋_GB2312" w:cs="Times New Roman"/>
                <w:kern w:val="0"/>
                <w:sz w:val="16"/>
                <w:szCs w:val="16"/>
                <w:highlight w:val="none"/>
                <w:lang w:val="en-US" w:eastAsia="zh-CN" w:bidi="ar"/>
              </w:rPr>
              <w:t xml:space="preserve">82.09 </w:t>
            </w:r>
          </w:p>
        </w:tc>
        <w:tc>
          <w:tcPr>
            <w:tcW w:w="433"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eastAsia="仿宋_GB2312" w:cs="Times New Roman"/>
                <w:kern w:val="0"/>
                <w:sz w:val="16"/>
                <w:szCs w:val="16"/>
                <w:highlight w:val="none"/>
                <w:lang w:val="en-US" w:eastAsia="zh-CN" w:bidi="ar"/>
              </w:rPr>
            </w:pPr>
            <w:r>
              <w:rPr>
                <w:rFonts w:hint="default" w:eastAsia="仿宋_GB2312" w:cs="Times New Roman"/>
                <w:kern w:val="0"/>
                <w:sz w:val="16"/>
                <w:szCs w:val="16"/>
                <w:highlight w:val="none"/>
                <w:lang w:val="en-US" w:eastAsia="zh-CN" w:bidi="ar"/>
              </w:rPr>
              <w:t xml:space="preserve">17.91 </w:t>
            </w:r>
          </w:p>
        </w:tc>
        <w:tc>
          <w:tcPr>
            <w:tcW w:w="433"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eastAsia="仿宋_GB2312" w:cs="Times New Roman"/>
                <w:kern w:val="0"/>
                <w:sz w:val="16"/>
                <w:szCs w:val="16"/>
                <w:highlight w:val="none"/>
                <w:lang w:val="en-US" w:eastAsia="zh-CN" w:bidi="ar"/>
              </w:rPr>
            </w:pPr>
            <w:r>
              <w:rPr>
                <w:rFonts w:hint="default" w:eastAsia="仿宋_GB2312" w:cs="Times New Roman"/>
                <w:kern w:val="0"/>
                <w:sz w:val="16"/>
                <w:szCs w:val="16"/>
                <w:highlight w:val="none"/>
                <w:lang w:val="en-US" w:eastAsia="zh-CN" w:bidi="ar"/>
              </w:rPr>
              <w:t>100</w:t>
            </w:r>
          </w:p>
        </w:tc>
        <w:tc>
          <w:tcPr>
            <w:tcW w:w="404"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eastAsia="仿宋_GB2312" w:cs="Times New Roman"/>
                <w:kern w:val="0"/>
                <w:sz w:val="16"/>
                <w:szCs w:val="16"/>
                <w:highlight w:val="none"/>
                <w:lang w:val="en-US" w:eastAsia="zh-CN" w:bidi="ar"/>
              </w:rPr>
            </w:pPr>
          </w:p>
        </w:tc>
      </w:tr>
    </w:tbl>
    <w:p>
      <w:pPr>
        <w:pStyle w:val="5"/>
        <w:bidi w:val="0"/>
        <w:rPr>
          <w:rFonts w:hint="default" w:ascii="Times New Roman" w:hAnsi="Times New Roman" w:cs="Times New Roman"/>
        </w:rPr>
      </w:pPr>
      <w:bookmarkStart w:id="255" w:name="_Toc18908"/>
      <w:bookmarkStart w:id="256" w:name="_Toc28793"/>
      <w:bookmarkStart w:id="257" w:name="_Toc32264"/>
      <w:r>
        <w:rPr>
          <w:rFonts w:hint="default" w:ascii="Times New Roman" w:hAnsi="Times New Roman" w:cs="Times New Roman"/>
        </w:rPr>
        <w:t>4.4水土流失危害分析</w:t>
      </w:r>
      <w:bookmarkEnd w:id="255"/>
      <w:bookmarkEnd w:id="256"/>
      <w:bookmarkEnd w:id="257"/>
    </w:p>
    <w:p>
      <w:pPr>
        <w:pageBreakBefore w:val="0"/>
        <w:kinsoku/>
        <w:wordWrap/>
        <w:bidi w:val="0"/>
        <w:spacing w:line="360" w:lineRule="auto"/>
        <w:ind w:firstLine="480" w:firstLineChars="200"/>
        <w:rPr>
          <w:rFonts w:hint="default" w:ascii="Times New Roman" w:hAnsi="Times New Roman" w:eastAsia="仿宋_GB2312" w:cs="Times New Roman"/>
          <w:sz w:val="24"/>
          <w:szCs w:val="28"/>
          <w:highlight w:val="none"/>
        </w:rPr>
      </w:pPr>
      <w:r>
        <w:rPr>
          <w:rFonts w:hint="default" w:ascii="Times New Roman" w:hAnsi="Times New Roman" w:eastAsia="仿宋_GB2312" w:cs="Times New Roman"/>
          <w:sz w:val="24"/>
          <w:szCs w:val="28"/>
          <w:highlight w:val="none"/>
        </w:rPr>
        <w:t>工程建设过程中破坏了原地貌，如不采取有效的水土保持措施，必然引发和加剧区域水土流失，而且对周边生态环境可能造成不良影响。</w:t>
      </w:r>
    </w:p>
    <w:p>
      <w:pPr>
        <w:pageBreakBefore w:val="0"/>
        <w:widowControl/>
        <w:kinsoku/>
        <w:wordWrap/>
        <w:bidi w:val="0"/>
        <w:spacing w:line="360" w:lineRule="auto"/>
        <w:ind w:firstLine="480" w:firstLineChars="200"/>
        <w:jc w:val="left"/>
        <w:rPr>
          <w:rFonts w:hint="default" w:ascii="Times New Roman" w:hAnsi="Times New Roman" w:eastAsia="仿宋_GB2312" w:cs="Times New Roman"/>
          <w:sz w:val="24"/>
          <w:highlight w:val="none"/>
        </w:rPr>
      </w:pPr>
      <w:r>
        <w:rPr>
          <w:rFonts w:hint="default" w:ascii="Times New Roman" w:hAnsi="Times New Roman" w:eastAsia="仿宋_GB2312" w:cs="Times New Roman"/>
          <w:kern w:val="0"/>
          <w:sz w:val="24"/>
          <w:highlight w:val="none"/>
          <w:lang w:bidi="ar"/>
        </w:rPr>
        <w:t>（1）扰动地表、破坏植被，加速土壤侵蚀</w:t>
      </w:r>
    </w:p>
    <w:p>
      <w:pPr>
        <w:pageBreakBefore w:val="0"/>
        <w:widowControl/>
        <w:kinsoku/>
        <w:wordWrap/>
        <w:bidi w:val="0"/>
        <w:spacing w:line="360" w:lineRule="auto"/>
        <w:ind w:firstLine="480" w:firstLineChars="200"/>
        <w:jc w:val="left"/>
        <w:rPr>
          <w:rFonts w:hint="default" w:ascii="Times New Roman" w:hAnsi="Times New Roman" w:eastAsia="仿宋_GB2312" w:cs="Times New Roman"/>
          <w:sz w:val="24"/>
          <w:highlight w:val="none"/>
        </w:rPr>
      </w:pPr>
      <w:r>
        <w:rPr>
          <w:rFonts w:hint="default" w:ascii="Times New Roman" w:hAnsi="Times New Roman" w:eastAsia="仿宋_GB2312" w:cs="Times New Roman"/>
          <w:kern w:val="0"/>
          <w:sz w:val="24"/>
          <w:highlight w:val="none"/>
          <w:lang w:bidi="ar"/>
        </w:rPr>
        <w:t>植被防止土壤侵蚀的作用主要表现在覆盖地表、截持降雨、减小流速、分散流量以及固定土壤和改良土壤等方面。植被的好与坏，直接影响土壤侵蚀的形成和侵蚀量的大小。地表植被一旦被工程施工破坏，其自然恢复过程将十分缓慢。植被防止土壤侵蚀的作用主要表现在覆盖地表、截持降雨、减小地表径流流速，增加入渗以及固定土壤和改良土壤等方面。植被的好与坏，直接影响土壤侵蚀的形成和侵蚀量的大小。</w:t>
      </w:r>
    </w:p>
    <w:p>
      <w:pPr>
        <w:pageBreakBefore w:val="0"/>
        <w:kinsoku/>
        <w:wordWrap/>
        <w:bidi w:val="0"/>
        <w:spacing w:line="360" w:lineRule="auto"/>
        <w:ind w:firstLine="480" w:firstLineChars="200"/>
        <w:rPr>
          <w:rFonts w:hint="default" w:ascii="Times New Roman" w:hAnsi="Times New Roman" w:eastAsia="仿宋_GB2312" w:cs="Times New Roman"/>
          <w:sz w:val="24"/>
          <w:szCs w:val="28"/>
          <w:highlight w:val="none"/>
        </w:rPr>
      </w:pPr>
      <w:r>
        <w:rPr>
          <w:rFonts w:hint="default" w:ascii="Times New Roman" w:hAnsi="Times New Roman" w:eastAsia="仿宋_GB2312" w:cs="Times New Roman"/>
          <w:sz w:val="24"/>
          <w:szCs w:val="28"/>
          <w:highlight w:val="none"/>
        </w:rPr>
        <w:t>（2）加大项目区及周边地区的水土流失</w:t>
      </w:r>
    </w:p>
    <w:p>
      <w:pPr>
        <w:pageBreakBefore w:val="0"/>
        <w:kinsoku/>
        <w:wordWrap/>
        <w:bidi w:val="0"/>
        <w:spacing w:line="360" w:lineRule="auto"/>
        <w:ind w:firstLine="480" w:firstLineChars="200"/>
        <w:rPr>
          <w:rFonts w:hint="default" w:ascii="Times New Roman" w:hAnsi="Times New Roman" w:eastAsia="仿宋_GB2312" w:cs="Times New Roman"/>
          <w:bCs/>
          <w:sz w:val="24"/>
          <w:highlight w:val="none"/>
        </w:rPr>
      </w:pPr>
      <w:r>
        <w:rPr>
          <w:rFonts w:hint="default" w:ascii="Times New Roman" w:hAnsi="Times New Roman" w:eastAsia="仿宋_GB2312" w:cs="Times New Roman"/>
          <w:sz w:val="24"/>
          <w:szCs w:val="28"/>
          <w:highlight w:val="none"/>
          <w:lang w:eastAsia="zh-CN"/>
        </w:rPr>
        <w:t>本期项目</w:t>
      </w:r>
      <w:r>
        <w:rPr>
          <w:rFonts w:hint="default" w:ascii="Times New Roman" w:hAnsi="Times New Roman" w:eastAsia="仿宋_GB2312" w:cs="Times New Roman"/>
          <w:sz w:val="24"/>
          <w:szCs w:val="28"/>
          <w:highlight w:val="none"/>
        </w:rPr>
        <w:t>建设期间，土石方堆放过多，如不采取水土保持措施，遇大风天气极易形成扬尘，影响当地空气质量；降雨产流后加剧城市排洪系统的负担，容易阻塞排水管网。</w:t>
      </w:r>
    </w:p>
    <w:p>
      <w:pPr>
        <w:pStyle w:val="5"/>
        <w:bidi w:val="0"/>
        <w:rPr>
          <w:rFonts w:hint="default" w:ascii="Times New Roman" w:hAnsi="Times New Roman" w:cs="Times New Roman"/>
        </w:rPr>
      </w:pPr>
      <w:bookmarkStart w:id="258" w:name="_Toc32156"/>
      <w:bookmarkStart w:id="259" w:name="_Toc3033"/>
      <w:bookmarkStart w:id="260" w:name="_Toc3506"/>
      <w:r>
        <w:rPr>
          <w:rFonts w:hint="default" w:ascii="Times New Roman" w:hAnsi="Times New Roman" w:cs="Times New Roman"/>
        </w:rPr>
        <w:t>4.5指导意见</w:t>
      </w:r>
      <w:bookmarkEnd w:id="258"/>
      <w:bookmarkEnd w:id="259"/>
      <w:bookmarkEnd w:id="260"/>
    </w:p>
    <w:p>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4.5.1防治重点时段与部位</w:t>
      </w:r>
    </w:p>
    <w:p>
      <w:pPr>
        <w:pageBreakBefore w:val="0"/>
        <w:kinsoku/>
        <w:wordWrap/>
        <w:bidi w:val="0"/>
        <w:spacing w:line="360" w:lineRule="auto"/>
        <w:ind w:firstLine="570"/>
        <w:rPr>
          <w:rFonts w:hint="default" w:ascii="Times New Roman" w:hAnsi="Times New Roman" w:eastAsia="仿宋_GB2312" w:cs="Times New Roman"/>
          <w:bCs/>
          <w:sz w:val="24"/>
          <w:highlight w:val="none"/>
        </w:rPr>
      </w:pPr>
      <w:r>
        <w:rPr>
          <w:rFonts w:hint="default" w:ascii="Times New Roman" w:hAnsi="Times New Roman" w:eastAsia="仿宋_GB2312" w:cs="Times New Roman"/>
          <w:bCs/>
          <w:sz w:val="24"/>
          <w:highlight w:val="none"/>
        </w:rPr>
        <w:t>通过以上分析，工程建设</w:t>
      </w:r>
      <w:r>
        <w:rPr>
          <w:rFonts w:hint="default" w:ascii="Times New Roman" w:hAnsi="Times New Roman" w:eastAsia="仿宋_GB2312" w:cs="Times New Roman"/>
          <w:bCs/>
          <w:sz w:val="24"/>
          <w:highlight w:val="none"/>
          <w:lang w:val="en-US" w:eastAsia="zh-CN"/>
        </w:rPr>
        <w:t>区</w:t>
      </w:r>
      <w:r>
        <w:rPr>
          <w:rFonts w:hint="default" w:ascii="Times New Roman" w:hAnsi="Times New Roman" w:eastAsia="仿宋_GB2312" w:cs="Times New Roman"/>
          <w:bCs/>
          <w:sz w:val="24"/>
          <w:highlight w:val="none"/>
        </w:rPr>
        <w:t>新增水土流失比较严重时段为施工期，因此要加强对建设期各项水土保持防治措施的布设。根据预测结果分析</w:t>
      </w:r>
      <w:r>
        <w:rPr>
          <w:rFonts w:hint="default" w:ascii="Times New Roman" w:hAnsi="Times New Roman" w:eastAsia="仿宋_GB2312" w:cs="Times New Roman"/>
          <w:bCs/>
          <w:sz w:val="24"/>
          <w:highlight w:val="none"/>
          <w:lang w:eastAsia="zh-CN"/>
        </w:rPr>
        <w:t>本期项目</w:t>
      </w:r>
      <w:r>
        <w:rPr>
          <w:rFonts w:hint="default" w:ascii="Times New Roman" w:hAnsi="Times New Roman" w:eastAsia="仿宋_GB2312" w:cs="Times New Roman"/>
          <w:bCs/>
          <w:sz w:val="24"/>
          <w:highlight w:val="none"/>
        </w:rPr>
        <w:t>建设中发生水土流失的重点区域为</w:t>
      </w:r>
      <w:r>
        <w:rPr>
          <w:rFonts w:hint="eastAsia" w:eastAsia="仿宋_GB2312" w:cs="Times New Roman"/>
          <w:bCs/>
          <w:sz w:val="24"/>
          <w:highlight w:val="none"/>
          <w:lang w:val="en-US" w:eastAsia="zh-CN"/>
        </w:rPr>
        <w:t>道路及硬化区</w:t>
      </w:r>
      <w:r>
        <w:rPr>
          <w:rFonts w:hint="default" w:ascii="Times New Roman" w:hAnsi="Times New Roman" w:eastAsia="仿宋_GB2312" w:cs="Times New Roman"/>
          <w:bCs/>
          <w:sz w:val="24"/>
          <w:highlight w:val="none"/>
        </w:rPr>
        <w:t>。</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highlight w:val="none"/>
          <w:lang w:eastAsia="zh-CN"/>
        </w:rPr>
      </w:pPr>
      <w:r>
        <w:rPr>
          <w:rFonts w:hint="default" w:ascii="Times New Roman" w:hAnsi="Times New Roman" w:eastAsia="宋体" w:cs="Times New Roman"/>
          <w:color w:val="000000"/>
          <w:highlight w:val="none"/>
          <w:lang w:eastAsia="zh-CN"/>
        </w:rPr>
        <w:drawing>
          <wp:inline distT="0" distB="0" distL="114300" distR="114300">
            <wp:extent cx="3919855" cy="2973705"/>
            <wp:effectExtent l="0" t="0" r="4445" b="17145"/>
            <wp:docPr id="76" name="图表 76" descr="7b0a202020202263686172745265734964223a20223230343734373436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rPr>
      </w:pPr>
      <w:r>
        <w:rPr>
          <w:rFonts w:hint="default" w:ascii="Times New Roman" w:hAnsi="Times New Roman" w:eastAsia="微软雅黑" w:cs="Times New Roman"/>
        </w:rPr>
        <w:t>图4</w:t>
      </w:r>
      <w:r>
        <w:rPr>
          <w:rFonts w:hint="default" w:ascii="Times New Roman" w:hAnsi="Times New Roman" w:eastAsia="微软雅黑" w:cs="Times New Roman"/>
          <w:lang w:val="en-US" w:eastAsia="zh-CN"/>
        </w:rPr>
        <w:t xml:space="preserve">-1  </w:t>
      </w:r>
      <w:r>
        <w:rPr>
          <w:rFonts w:hint="default" w:ascii="Times New Roman" w:hAnsi="Times New Roman" w:eastAsia="微软雅黑" w:cs="Times New Roman"/>
        </w:rPr>
        <w:t>不同预测区域新增土壤流失量</w:t>
      </w:r>
    </w:p>
    <w:p>
      <w:pPr>
        <w:pStyle w:val="21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inline distT="0" distB="0" distL="114300" distR="114300">
            <wp:extent cx="3997325" cy="2898140"/>
            <wp:effectExtent l="4445" t="5080" r="17780" b="11430"/>
            <wp:docPr id="102" name="图表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sz w:val="24"/>
          <w:szCs w:val="20"/>
          <w:highlight w:val="none"/>
        </w:rPr>
      </w:pPr>
      <w:r>
        <w:rPr>
          <w:rFonts w:hint="default" w:ascii="Times New Roman" w:hAnsi="Times New Roman" w:eastAsia="微软雅黑" w:cs="Times New Roman"/>
        </w:rPr>
        <w:t>图</w:t>
      </w:r>
      <w:r>
        <w:rPr>
          <w:rFonts w:hint="default" w:ascii="Times New Roman" w:hAnsi="Times New Roman" w:eastAsia="微软雅黑" w:cs="Times New Roman"/>
          <w:lang w:val="en-US" w:eastAsia="zh-CN"/>
        </w:rPr>
        <w:t xml:space="preserve">4-2  </w:t>
      </w:r>
      <w:r>
        <w:rPr>
          <w:rFonts w:hint="default" w:ascii="Times New Roman" w:hAnsi="Times New Roman" w:eastAsia="微软雅黑" w:cs="Times New Roman"/>
        </w:rPr>
        <w:t>不同建设时段新增土壤流失比重饼状图</w:t>
      </w:r>
    </w:p>
    <w:p>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4.5.2防治措施指导性意见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以上预测结果是在工程不采取水土保持措施基础上，可能发生的水土流失。产生水土流失的因素较多，地表物质组成与结构、风速和降雨强度是造成侵蚀强弱的主导因素。根据以往的经验，防治水土流失最有效的方法是以工程措施为基础，结合植物措施，永久措施结合临时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根据各施工区域的施工特点和工程性质，修建各种防护措施；施工结束后对扰动区域进行全面整地和植被恢复。</w:t>
      </w:r>
    </w:p>
    <w:p>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4.5.3水土保持监测的指导性意见</w:t>
      </w:r>
    </w:p>
    <w:p>
      <w:pPr>
        <w:pStyle w:val="164"/>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0"/>
          <w:highlight w:val="none"/>
        </w:rPr>
      </w:pPr>
      <w:r>
        <w:rPr>
          <w:rFonts w:hint="default" w:ascii="Times New Roman" w:hAnsi="Times New Roman" w:eastAsia="仿宋_GB2312" w:cs="Times New Roman"/>
          <w:color w:val="auto"/>
          <w:sz w:val="24"/>
          <w:szCs w:val="24"/>
        </w:rPr>
        <w:t>根据水土流失预测结果，施工期的新增水土流失较为突出，水土保持监测重点区域为</w:t>
      </w:r>
      <w:r>
        <w:rPr>
          <w:rFonts w:hint="default" w:ascii="Times New Roman" w:hAnsi="Times New Roman" w:eastAsia="仿宋_GB2312" w:cs="Times New Roman"/>
          <w:color w:val="auto"/>
          <w:sz w:val="24"/>
          <w:szCs w:val="24"/>
          <w:lang w:eastAsia="zh-CN"/>
        </w:rPr>
        <w:t>工程建设区</w:t>
      </w:r>
      <w:r>
        <w:rPr>
          <w:rFonts w:hint="default" w:ascii="Times New Roman" w:hAnsi="Times New Roman" w:eastAsia="仿宋_GB2312" w:cs="Times New Roman"/>
          <w:color w:val="auto"/>
          <w:sz w:val="24"/>
          <w:szCs w:val="24"/>
        </w:rPr>
        <w:t>，重点监测开挖扰动情况</w:t>
      </w:r>
      <w:r>
        <w:rPr>
          <w:rFonts w:hint="default"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szCs w:val="24"/>
        </w:rPr>
        <w:t>水土流失情况及后期植被恢复情况。</w:t>
      </w:r>
    </w:p>
    <w:p>
      <w:pPr>
        <w:pStyle w:val="164"/>
        <w:pageBreakBefore w:val="0"/>
        <w:kinsoku/>
        <w:wordWrap/>
        <w:bidi w:val="0"/>
        <w:spacing w:line="360" w:lineRule="auto"/>
        <w:ind w:firstLine="48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综上所述，工程建设对当地的水土流失影响主要为建设期的施工活动改变、损坏和压埋原有地貌及植被，造成地表裸露，降低原有植被的抗蚀能力，加剧水土流失。从水土流失预测的结果可以看出，工程建设中水土流失主要发生在工程施工间，主体工程建设对地面扰动范围较大，可能造成的水土流失量也较大，因此这些区域除必须采取的临时防护措施外，施工结束后还应以植被措施防护为主，因地制宜，构成行之有效的防治体系，遏制水土流失的发生与发展。</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p>
      <w:pPr>
        <w:pStyle w:val="164"/>
        <w:pageBreakBefore w:val="0"/>
        <w:kinsoku/>
        <w:wordWrap/>
        <w:bidi w:val="0"/>
        <w:spacing w:line="360" w:lineRule="auto"/>
        <w:ind w:firstLine="480"/>
        <w:rPr>
          <w:rFonts w:hint="default" w:ascii="Times New Roman" w:hAnsi="Times New Roman" w:eastAsia="仿宋_GB2312" w:cs="Times New Roman"/>
          <w:sz w:val="24"/>
          <w:highlight w:val="none"/>
        </w:rPr>
      </w:pPr>
    </w:p>
    <w:p>
      <w:pPr>
        <w:pStyle w:val="164"/>
        <w:pageBreakBefore w:val="0"/>
        <w:kinsoku/>
        <w:wordWrap/>
        <w:bidi w:val="0"/>
        <w:spacing w:line="360" w:lineRule="auto"/>
        <w:ind w:firstLine="480"/>
        <w:rPr>
          <w:rFonts w:hint="default" w:ascii="Times New Roman" w:hAnsi="Times New Roman" w:eastAsia="仿宋_GB2312" w:cs="Times New Roman"/>
          <w:sz w:val="24"/>
          <w:highlight w:val="none"/>
        </w:rPr>
      </w:pPr>
    </w:p>
    <w:p>
      <w:pPr>
        <w:pageBreakBefore w:val="0"/>
        <w:kinsoku/>
        <w:wordWrap/>
        <w:bidi w:val="0"/>
        <w:spacing w:line="360" w:lineRule="auto"/>
        <w:ind w:firstLine="548" w:firstLineChars="196"/>
        <w:rPr>
          <w:rFonts w:hint="default" w:ascii="Times New Roman" w:hAnsi="Times New Roman" w:eastAsia="仿宋_GB2312" w:cs="Times New Roman"/>
          <w:snapToGrid w:val="0"/>
          <w:kern w:val="0"/>
          <w:sz w:val="28"/>
          <w:szCs w:val="28"/>
          <w:highlight w:val="none"/>
        </w:rPr>
        <w:sectPr>
          <w:headerReference r:id="rId18" w:type="default"/>
          <w:footerReference r:id="rId19" w:type="default"/>
          <w:pgSz w:w="11906" w:h="16838"/>
          <w:pgMar w:top="1440" w:right="1701" w:bottom="1440" w:left="179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4"/>
        <w:bidi w:val="0"/>
        <w:rPr>
          <w:rFonts w:hint="default" w:ascii="Times New Roman" w:hAnsi="Times New Roman" w:cs="Times New Roman"/>
        </w:rPr>
      </w:pPr>
      <w:bookmarkStart w:id="261" w:name="_5_水土流失防治方案"/>
      <w:bookmarkEnd w:id="261"/>
      <w:bookmarkStart w:id="262" w:name="_Toc84903181"/>
      <w:bookmarkStart w:id="263" w:name="_Toc84903329"/>
      <w:bookmarkStart w:id="264" w:name="_Toc71019334"/>
      <w:bookmarkStart w:id="265" w:name="_Toc85905621"/>
      <w:bookmarkStart w:id="266" w:name="_Toc93231820"/>
      <w:bookmarkStart w:id="267" w:name="_Toc93562133"/>
      <w:bookmarkStart w:id="268" w:name="_Toc84902424"/>
      <w:bookmarkStart w:id="269" w:name="_Toc85905516"/>
      <w:bookmarkStart w:id="270" w:name="_Toc72112418"/>
      <w:bookmarkStart w:id="271" w:name="_Toc85682079"/>
      <w:bookmarkStart w:id="272" w:name="_Toc71770251"/>
      <w:bookmarkStart w:id="273" w:name="_Toc71963307"/>
      <w:bookmarkStart w:id="274" w:name="_Toc70670631"/>
      <w:bookmarkStart w:id="275" w:name="_Toc71019226"/>
      <w:bookmarkStart w:id="276" w:name="_Toc70480688"/>
      <w:bookmarkStart w:id="277" w:name="_Toc85683222"/>
      <w:bookmarkStart w:id="278" w:name="_Toc63847041"/>
      <w:bookmarkStart w:id="279" w:name="_Toc85681736"/>
      <w:bookmarkStart w:id="280" w:name="_Toc70480586"/>
      <w:bookmarkStart w:id="281" w:name="_Toc85681974"/>
      <w:bookmarkStart w:id="282" w:name="_Toc72031787"/>
      <w:bookmarkStart w:id="283" w:name="_Toc84902827"/>
      <w:bookmarkStart w:id="284" w:name="_Toc72119368"/>
      <w:bookmarkStart w:id="285" w:name="_Toc93231909"/>
      <w:bookmarkStart w:id="286" w:name="_Toc84903273"/>
      <w:bookmarkStart w:id="287" w:name="_Toc28191"/>
      <w:bookmarkStart w:id="288" w:name="_Toc903"/>
      <w:bookmarkStart w:id="289" w:name="_Toc18201"/>
      <w:r>
        <w:rPr>
          <w:rFonts w:hint="default" w:ascii="Times New Roman" w:hAnsi="Times New Roman" w:cs="Times New Roman"/>
        </w:rPr>
        <w:t>5</w:t>
      </w:r>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r>
        <w:rPr>
          <w:rFonts w:hint="default" w:ascii="Times New Roman" w:hAnsi="Times New Roman" w:cs="Times New Roman"/>
        </w:rPr>
        <w:t>水土保持措施</w:t>
      </w:r>
      <w:bookmarkEnd w:id="287"/>
      <w:bookmarkEnd w:id="288"/>
      <w:bookmarkEnd w:id="289"/>
    </w:p>
    <w:p>
      <w:pPr>
        <w:pStyle w:val="5"/>
        <w:bidi w:val="0"/>
        <w:rPr>
          <w:rFonts w:hint="default" w:ascii="Times New Roman" w:hAnsi="Times New Roman" w:cs="Times New Roman"/>
        </w:rPr>
      </w:pPr>
      <w:bookmarkStart w:id="290" w:name="_5.1_方案编制的原则"/>
      <w:bookmarkEnd w:id="290"/>
      <w:bookmarkStart w:id="291" w:name="_Toc84902829"/>
      <w:bookmarkStart w:id="292" w:name="_Toc85681738"/>
      <w:bookmarkStart w:id="293" w:name="_Toc72119370"/>
      <w:bookmarkStart w:id="294" w:name="_Toc85681976"/>
      <w:bookmarkStart w:id="295" w:name="_Toc72031789"/>
      <w:bookmarkStart w:id="296" w:name="_Toc85682081"/>
      <w:bookmarkStart w:id="297" w:name="_Toc93562135"/>
      <w:bookmarkStart w:id="298" w:name="_Toc72112420"/>
      <w:bookmarkStart w:id="299" w:name="_Toc84903183"/>
      <w:bookmarkStart w:id="300" w:name="_Toc93231822"/>
      <w:bookmarkStart w:id="301" w:name="_Toc63846079"/>
      <w:bookmarkStart w:id="302" w:name="_Toc70480690"/>
      <w:bookmarkStart w:id="303" w:name="_Toc63847043"/>
      <w:bookmarkStart w:id="304" w:name="_Toc85683224"/>
      <w:bookmarkStart w:id="305" w:name="_Toc71019228"/>
      <w:bookmarkStart w:id="306" w:name="_Toc71019336"/>
      <w:bookmarkStart w:id="307" w:name="_Toc93231911"/>
      <w:bookmarkStart w:id="308" w:name="_Toc84903331"/>
      <w:bookmarkStart w:id="309" w:name="_Toc70670633"/>
      <w:bookmarkStart w:id="310" w:name="_Toc70480588"/>
      <w:bookmarkStart w:id="311" w:name="_Toc71963309"/>
      <w:bookmarkStart w:id="312" w:name="_Toc84903275"/>
      <w:bookmarkStart w:id="313" w:name="_Toc85905623"/>
      <w:bookmarkStart w:id="314" w:name="_Toc71770253"/>
      <w:bookmarkStart w:id="315" w:name="_Toc85905518"/>
      <w:bookmarkStart w:id="316" w:name="_Toc84902426"/>
      <w:bookmarkStart w:id="317" w:name="_Toc7385"/>
      <w:bookmarkStart w:id="318" w:name="_Toc10893"/>
      <w:bookmarkStart w:id="319" w:name="_Toc18943"/>
      <w:r>
        <w:rPr>
          <w:rFonts w:hint="default" w:ascii="Times New Roman" w:hAnsi="Times New Roman" w:cs="Times New Roman"/>
        </w:rPr>
        <w:t>5.1</w:t>
      </w:r>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r>
        <w:rPr>
          <w:rFonts w:hint="default" w:ascii="Times New Roman" w:hAnsi="Times New Roman" w:cs="Times New Roman"/>
        </w:rPr>
        <w:t>防治区划分</w:t>
      </w:r>
      <w:bookmarkEnd w:id="317"/>
      <w:bookmarkEnd w:id="318"/>
      <w:bookmarkEnd w:id="319"/>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0"/>
          <w:highlight w:val="none"/>
        </w:rPr>
      </w:pPr>
      <w:r>
        <w:rPr>
          <w:rFonts w:hint="default" w:ascii="Times New Roman" w:hAnsi="Times New Roman" w:eastAsia="仿宋_GB2312" w:cs="Times New Roman"/>
          <w:sz w:val="24"/>
          <w:szCs w:val="24"/>
          <w:highlight w:val="none"/>
        </w:rPr>
        <w:t>根据水土流失防治责任范围内各部分地貌类型、主体工程布局、施工工艺及水土流失特点等，工程水土保持防治区划分为</w:t>
      </w:r>
      <w:r>
        <w:rPr>
          <w:rFonts w:hint="default" w:ascii="Times New Roman" w:hAnsi="Times New Roman" w:eastAsia="仿宋_GB2312" w:cs="Times New Roman"/>
          <w:sz w:val="24"/>
          <w:szCs w:val="24"/>
          <w:highlight w:val="none"/>
          <w:lang w:val="en-US" w:eastAsia="zh-CN"/>
        </w:rPr>
        <w:t>施工建设区1</w:t>
      </w:r>
      <w:r>
        <w:rPr>
          <w:rFonts w:hint="default" w:ascii="Times New Roman" w:hAnsi="Times New Roman" w:eastAsia="仿宋_GB2312" w:cs="Times New Roman"/>
          <w:sz w:val="24"/>
          <w:szCs w:val="24"/>
          <w:highlight w:val="none"/>
        </w:rPr>
        <w:t>个防治分区。分区水土保持防治本着永久措施与临时措施相结合的原则，形成综合防治措施体系。防治措施体系按照系统工程原理，处理好局部与整体、单项与综合、近期与远期的关系，制定投资少、效益好、可操作性强的水土保持方案，有效的控制防治责任范围内的水土流失。工程水土保持防治分区及水土流失特征见表5-1。</w:t>
      </w:r>
    </w:p>
    <w:p>
      <w:pPr>
        <w:pStyle w:val="164"/>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val="0"/>
          <w:bCs w:val="0"/>
          <w:sz w:val="21"/>
          <w:szCs w:val="21"/>
          <w:highlight w:val="none"/>
          <w:lang w:val="zh-CN" w:eastAsia="zh-CN"/>
        </w:rPr>
      </w:pPr>
      <w:r>
        <w:rPr>
          <w:rFonts w:hint="default" w:ascii="Times New Roman" w:hAnsi="Times New Roman" w:eastAsia="微软雅黑" w:cs="Times New Roman"/>
          <w:b w:val="0"/>
          <w:bCs w:val="0"/>
          <w:sz w:val="21"/>
          <w:szCs w:val="21"/>
          <w:highlight w:val="none"/>
          <w:lang w:val="zh-CN" w:eastAsia="zh-CN"/>
        </w:rPr>
        <w:t>表</w:t>
      </w:r>
      <w:r>
        <w:rPr>
          <w:rFonts w:hint="default" w:ascii="Times New Roman" w:hAnsi="Times New Roman" w:eastAsia="微软雅黑" w:cs="Times New Roman"/>
          <w:b w:val="0"/>
          <w:bCs w:val="0"/>
          <w:sz w:val="21"/>
          <w:szCs w:val="21"/>
          <w:highlight w:val="none"/>
          <w:lang w:val="en-US" w:eastAsia="zh-CN"/>
        </w:rPr>
        <w:t xml:space="preserve">5-1  </w:t>
      </w:r>
      <w:r>
        <w:rPr>
          <w:rFonts w:hint="default" w:ascii="Times New Roman" w:hAnsi="Times New Roman" w:eastAsia="微软雅黑" w:cs="Times New Roman"/>
          <w:b w:val="0"/>
          <w:bCs w:val="0"/>
          <w:sz w:val="21"/>
          <w:szCs w:val="21"/>
          <w:highlight w:val="none"/>
          <w:lang w:val="zh-CN" w:eastAsia="zh-CN"/>
        </w:rPr>
        <w:t>防治分区表</w:t>
      </w:r>
    </w:p>
    <w:tbl>
      <w:tblPr>
        <w:tblStyle w:val="88"/>
        <w:tblW w:w="4999" w:type="pct"/>
        <w:jc w:val="center"/>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949"/>
        <w:gridCol w:w="6673"/>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130" w:type="pct"/>
            <w:tcBorders>
              <w:tl2br w:val="nil"/>
              <w:tr2bl w:val="nil"/>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防治分区</w:t>
            </w:r>
          </w:p>
        </w:tc>
        <w:tc>
          <w:tcPr>
            <w:tcW w:w="3869" w:type="pct"/>
            <w:tcBorders>
              <w:tl2br w:val="nil"/>
              <w:tr2bl w:val="nil"/>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水土流失特征</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130" w:type="pct"/>
            <w:tcBorders>
              <w:tl2br w:val="nil"/>
              <w:tr2bl w:val="nil"/>
            </w:tcBorders>
            <w:noWrap w:val="0"/>
            <w:vAlign w:val="center"/>
          </w:tcPr>
          <w:p>
            <w:pPr>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工程建设区</w:t>
            </w:r>
          </w:p>
        </w:tc>
        <w:tc>
          <w:tcPr>
            <w:tcW w:w="3869" w:type="pct"/>
            <w:tcBorders>
              <w:tl2br w:val="nil"/>
              <w:tr2bl w:val="nil"/>
            </w:tcBorders>
            <w:noWrap w:val="0"/>
            <w:vAlign w:val="center"/>
          </w:tcPr>
          <w:p>
            <w:pPr>
              <w:jc w:val="both"/>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lang w:val="en-US" w:eastAsia="zh-CN"/>
              </w:rPr>
              <w:t>基础开挖改变地貌，地表裸露，径流冲刷与雨滴击溅，施工机械碾压，人员交通碾压、材料堆放，土石方开挖、调运、堆置和回覆使土质疏松，造成水土流失</w:t>
            </w:r>
          </w:p>
        </w:tc>
      </w:tr>
    </w:tbl>
    <w:p>
      <w:pPr>
        <w:pStyle w:val="5"/>
        <w:bidi w:val="0"/>
        <w:rPr>
          <w:rFonts w:hint="default" w:ascii="Times New Roman" w:hAnsi="Times New Roman" w:cs="Times New Roman"/>
        </w:rPr>
      </w:pPr>
      <w:bookmarkStart w:id="320" w:name="_Toc9122"/>
      <w:bookmarkStart w:id="321" w:name="_Toc2612"/>
      <w:bookmarkStart w:id="322" w:name="_Toc31583"/>
      <w:bookmarkStart w:id="323" w:name="_Toc165093826"/>
      <w:bookmarkStart w:id="324" w:name="_Toc152040144"/>
      <w:bookmarkStart w:id="325" w:name="_Toc165190184"/>
      <w:bookmarkStart w:id="326" w:name="_Toc156179605"/>
      <w:r>
        <w:rPr>
          <w:rFonts w:hint="default" w:ascii="Times New Roman" w:hAnsi="Times New Roman" w:cs="Times New Roman"/>
        </w:rPr>
        <w:t>5.2措施总体布局</w:t>
      </w:r>
      <w:bookmarkEnd w:id="320"/>
      <w:bookmarkEnd w:id="321"/>
      <w:bookmarkEnd w:id="322"/>
    </w:p>
    <w:p>
      <w:pPr>
        <w:pStyle w:val="6"/>
        <w:bidi w:val="0"/>
        <w:rPr>
          <w:rFonts w:hint="default" w:ascii="Times New Roman" w:hAnsi="Times New Roman" w:cs="Times New Roman"/>
          <w:lang w:val="en-US" w:eastAsia="zh-CN"/>
        </w:rPr>
      </w:pPr>
      <w:bookmarkStart w:id="327" w:name="_Toc93231830"/>
      <w:bookmarkStart w:id="328" w:name="_Toc74469509"/>
      <w:bookmarkStart w:id="329" w:name="_Toc93231914"/>
      <w:bookmarkStart w:id="330" w:name="_Toc85682084"/>
      <w:bookmarkStart w:id="331" w:name="_Toc85905626"/>
      <w:bookmarkStart w:id="332" w:name="_Toc93562138"/>
      <w:bookmarkStart w:id="333" w:name="_Toc85681984"/>
      <w:bookmarkStart w:id="334" w:name="_Toc74468455"/>
      <w:bookmarkStart w:id="335" w:name="_Toc85905526"/>
      <w:bookmarkStart w:id="336" w:name="_Toc85683227"/>
      <w:bookmarkStart w:id="337" w:name="_Toc85681746"/>
      <w:r>
        <w:rPr>
          <w:rFonts w:hint="default" w:ascii="Times New Roman" w:hAnsi="Times New Roman" w:cs="Times New Roman"/>
          <w:lang w:val="en-US" w:eastAsia="zh-CN"/>
        </w:rPr>
        <w:t>5.2.1水土保持工程级别和设计标准</w:t>
      </w:r>
    </w:p>
    <w:p>
      <w:pPr>
        <w:pStyle w:val="164"/>
        <w:pageBreakBefore w:val="0"/>
        <w:kinsoku/>
        <w:wordWrap/>
        <w:bidi w:val="0"/>
        <w:spacing w:line="360" w:lineRule="auto"/>
        <w:ind w:firstLine="480"/>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根据《水土保持工程设计规范》（GB51018-2014）生产建设项目的植被恢复和建设工程级别确定要求，</w:t>
      </w:r>
      <w:r>
        <w:rPr>
          <w:rFonts w:hint="default" w:ascii="Times New Roman" w:hAnsi="Times New Roman" w:eastAsia="仿宋_GB2312" w:cs="Times New Roman"/>
          <w:sz w:val="24"/>
          <w:szCs w:val="24"/>
          <w:highlight w:val="none"/>
          <w:lang w:eastAsia="zh-CN"/>
        </w:rPr>
        <w:t>本期项目</w:t>
      </w:r>
      <w:r>
        <w:rPr>
          <w:rFonts w:hint="default" w:ascii="Times New Roman" w:hAnsi="Times New Roman" w:eastAsia="仿宋_GB2312" w:cs="Times New Roman"/>
          <w:sz w:val="24"/>
          <w:szCs w:val="24"/>
          <w:highlight w:val="none"/>
        </w:rPr>
        <w:t>采用绿化工程设计标准，植被恢复工程设计标准采用</w:t>
      </w:r>
      <w:r>
        <w:rPr>
          <w:rFonts w:hint="default" w:ascii="Times New Roman" w:hAnsi="Times New Roman" w:eastAsia="仿宋_GB2312" w:cs="Times New Roman"/>
          <w:sz w:val="24"/>
          <w:szCs w:val="24"/>
          <w:highlight w:val="none"/>
          <w:lang w:val="en-US" w:eastAsia="zh-CN"/>
        </w:rPr>
        <w:t>1</w:t>
      </w:r>
      <w:r>
        <w:rPr>
          <w:rFonts w:hint="default" w:ascii="Times New Roman" w:hAnsi="Times New Roman" w:eastAsia="仿宋_GB2312" w:cs="Times New Roman"/>
          <w:sz w:val="24"/>
          <w:szCs w:val="24"/>
          <w:highlight w:val="none"/>
        </w:rPr>
        <w:t>级标准。雨水管线工程按照《室外排水设计标准》（GB50014-2021）</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lang w:val="en-US" w:eastAsia="zh-CN"/>
        </w:rPr>
        <w:t>2021年版</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rPr>
        <w:t>要求降雨历时为</w:t>
      </w:r>
      <w:r>
        <w:rPr>
          <w:rFonts w:hint="default" w:ascii="Times New Roman" w:hAnsi="Times New Roman" w:eastAsia="仿宋_GB2312" w:cs="Times New Roman"/>
          <w:sz w:val="24"/>
          <w:szCs w:val="24"/>
          <w:highlight w:val="none"/>
          <w:lang w:val="en-US" w:eastAsia="zh-CN"/>
        </w:rPr>
        <w:t>1</w:t>
      </w:r>
      <w:r>
        <w:rPr>
          <w:rFonts w:hint="default" w:ascii="Times New Roman" w:hAnsi="Times New Roman" w:eastAsia="仿宋_GB2312" w:cs="Times New Roman"/>
          <w:sz w:val="24"/>
          <w:szCs w:val="24"/>
          <w:highlight w:val="none"/>
        </w:rPr>
        <w:t>5min，设计重现期2年。</w:t>
      </w:r>
    </w:p>
    <w:p>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5.2.3防治措施体系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bCs/>
          <w:sz w:val="24"/>
          <w:highlight w:val="none"/>
        </w:rPr>
        <w:t>根据</w:t>
      </w:r>
      <w:r>
        <w:rPr>
          <w:rFonts w:hint="default" w:ascii="Times New Roman" w:hAnsi="Times New Roman" w:eastAsia="仿宋_GB2312" w:cs="Times New Roman"/>
          <w:bCs/>
          <w:sz w:val="24"/>
          <w:highlight w:val="none"/>
          <w:lang w:eastAsia="zh-CN"/>
        </w:rPr>
        <w:t>本期工程</w:t>
      </w:r>
      <w:r>
        <w:rPr>
          <w:rFonts w:hint="default" w:ascii="Times New Roman" w:hAnsi="Times New Roman" w:eastAsia="仿宋_GB2312" w:cs="Times New Roman"/>
          <w:bCs/>
          <w:sz w:val="24"/>
          <w:highlight w:val="none"/>
        </w:rPr>
        <w:t>各防治分区的具体情况，采取不同的、行之有效的防治措施、方法和手段，对可能产生水土流失的区域进行防治。在</w:t>
      </w:r>
      <w:r>
        <w:rPr>
          <w:rFonts w:hint="default" w:ascii="Times New Roman" w:hAnsi="Times New Roman" w:eastAsia="仿宋_GB2312" w:cs="Times New Roman"/>
          <w:bCs/>
          <w:sz w:val="24"/>
          <w:highlight w:val="none"/>
          <w:lang w:eastAsia="zh-CN"/>
        </w:rPr>
        <w:t>本期工程</w:t>
      </w:r>
      <w:r>
        <w:rPr>
          <w:rFonts w:hint="default" w:ascii="Times New Roman" w:hAnsi="Times New Roman" w:eastAsia="仿宋_GB2312" w:cs="Times New Roman"/>
          <w:bCs/>
          <w:sz w:val="24"/>
          <w:highlight w:val="none"/>
        </w:rPr>
        <w:t>水土保持措施布局上，把水土保持工程措施、植物措施和临时措施有效结合起来，突出重点时段、重点区域集中治理的特点，充分体现“生态优先、绿色发展”的理念，合理的确定水土保持措施总体布局，以形成完整的、科学的水土保持防治体系。</w:t>
      </w:r>
      <w:r>
        <w:rPr>
          <w:rFonts w:hint="default" w:ascii="Times New Roman" w:hAnsi="Times New Roman" w:eastAsia="仿宋_GB2312" w:cs="Times New Roman"/>
          <w:sz w:val="24"/>
          <w:szCs w:val="28"/>
          <w:highlight w:val="none"/>
        </w:rPr>
        <w:t>根据对主体工程的分析评价结果和项目各水土流失防治分区特点，本方案确定水土流失防治措施布局如下：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仿宋_GB2312" w:cs="Times New Roman"/>
          <w:sz w:val="24"/>
          <w:szCs w:val="24"/>
        </w:rPr>
        <w:t>施工期在场区内沿道路布设雨水排水管线及</w:t>
      </w:r>
      <w:r>
        <w:rPr>
          <w:rFonts w:hint="default" w:ascii="Times New Roman" w:hAnsi="Times New Roman" w:eastAsia="仿宋_GB2312" w:cs="Times New Roman"/>
          <w:sz w:val="24"/>
          <w:szCs w:val="24"/>
          <w:lang w:eastAsia="zh-CN"/>
        </w:rPr>
        <w:t>雨水</w:t>
      </w:r>
      <w:r>
        <w:rPr>
          <w:rFonts w:hint="eastAsia" w:eastAsia="仿宋_GB2312" w:cs="Times New Roman"/>
          <w:sz w:val="24"/>
          <w:szCs w:val="24"/>
          <w:lang w:val="en-US" w:eastAsia="zh-CN"/>
        </w:rPr>
        <w:t>口</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对基础开挖土方采取密目网苫盖措施</w:t>
      </w:r>
      <w:r>
        <w:rPr>
          <w:rFonts w:hint="default" w:ascii="Times New Roman" w:hAnsi="Times New Roman" w:eastAsia="仿宋_GB2312" w:cs="Times New Roman"/>
          <w:sz w:val="24"/>
          <w:szCs w:val="24"/>
        </w:rPr>
        <w:t>；主体工程施工结束后对绿化区域进行绿化覆土，并采取全面整地</w:t>
      </w:r>
      <w:r>
        <w:rPr>
          <w:rFonts w:hint="default" w:ascii="Times New Roman" w:hAnsi="Times New Roman" w:eastAsia="仿宋_GB2312" w:cs="Times New Roman"/>
          <w:sz w:val="24"/>
          <w:szCs w:val="24"/>
          <w:lang w:val="en-US" w:eastAsia="zh-CN"/>
        </w:rPr>
        <w:t>后</w:t>
      </w:r>
      <w:r>
        <w:rPr>
          <w:rFonts w:hint="default" w:ascii="Times New Roman" w:hAnsi="Times New Roman" w:eastAsia="仿宋_GB2312" w:cs="Times New Roman"/>
          <w:sz w:val="24"/>
          <w:szCs w:val="24"/>
        </w:rPr>
        <w:t>进行栽植乔灌木及撒播种草绿化。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分区措施布设见表5-2。水土流失综合防治措施体系见图5-1。</w:t>
      </w:r>
    </w:p>
    <w:p>
      <w:pPr>
        <w:pStyle w:val="164"/>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val="0"/>
          <w:bCs w:val="0"/>
          <w:sz w:val="21"/>
          <w:szCs w:val="21"/>
          <w:highlight w:val="none"/>
          <w:lang w:val="zh-CN" w:eastAsia="zh-CN"/>
        </w:rPr>
      </w:pPr>
      <w:r>
        <w:rPr>
          <w:rFonts w:hint="default" w:ascii="Times New Roman" w:hAnsi="Times New Roman" w:eastAsia="微软雅黑" w:cs="Times New Roman"/>
          <w:b w:val="0"/>
          <w:bCs w:val="0"/>
          <w:sz w:val="21"/>
          <w:szCs w:val="21"/>
          <w:highlight w:val="none"/>
          <w:lang w:val="zh-CN" w:eastAsia="zh-CN"/>
        </w:rPr>
        <w:t>表5-2</w:t>
      </w:r>
      <w:r>
        <w:rPr>
          <w:rFonts w:hint="default" w:ascii="Times New Roman" w:hAnsi="Times New Roman" w:eastAsia="微软雅黑" w:cs="Times New Roman"/>
          <w:b w:val="0"/>
          <w:bCs w:val="0"/>
          <w:sz w:val="21"/>
          <w:szCs w:val="21"/>
          <w:highlight w:val="none"/>
          <w:lang w:val="en-US" w:eastAsia="zh-CN"/>
        </w:rPr>
        <w:t xml:space="preserve">  </w:t>
      </w:r>
      <w:r>
        <w:rPr>
          <w:rFonts w:hint="default" w:ascii="Times New Roman" w:hAnsi="Times New Roman" w:eastAsia="微软雅黑" w:cs="Times New Roman"/>
          <w:b w:val="0"/>
          <w:bCs w:val="0"/>
          <w:sz w:val="21"/>
          <w:szCs w:val="21"/>
          <w:highlight w:val="none"/>
          <w:lang w:val="zh-CN" w:eastAsia="zh-CN"/>
        </w:rPr>
        <w:t>水土保持措施布设</w:t>
      </w:r>
    </w:p>
    <w:tbl>
      <w:tblPr>
        <w:tblStyle w:val="88"/>
        <w:tblW w:w="5063" w:type="pct"/>
        <w:jc w:val="center"/>
        <w:tblBorders>
          <w:top w:val="double" w:color="000000" w:sz="4" w:space="0"/>
          <w:left w:val="none" w:color="auto" w:sz="0" w:space="0"/>
          <w:bottom w:val="double" w:color="000000" w:sz="4"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1969"/>
        <w:gridCol w:w="1861"/>
        <w:gridCol w:w="4793"/>
      </w:tblGrid>
      <w:tr>
        <w:tblPrEx>
          <w:tblBorders>
            <w:top w:val="double" w:color="000000" w:sz="4" w:space="0"/>
            <w:left w:val="none" w:color="auto" w:sz="0" w:space="0"/>
            <w:bottom w:val="double" w:color="000000" w:sz="4"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142"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b/>
                <w:bCs/>
                <w:kern w:val="0"/>
                <w:sz w:val="21"/>
                <w:szCs w:val="21"/>
                <w:highlight w:val="none"/>
              </w:rPr>
            </w:pPr>
            <w:r>
              <w:rPr>
                <w:rFonts w:hint="default" w:ascii="Times New Roman" w:hAnsi="Times New Roman" w:eastAsia="仿宋_GB2312" w:cs="Times New Roman"/>
                <w:b/>
                <w:bCs/>
                <w:kern w:val="0"/>
                <w:sz w:val="21"/>
                <w:szCs w:val="21"/>
                <w:highlight w:val="none"/>
              </w:rPr>
              <w:t>防治分区</w:t>
            </w:r>
          </w:p>
        </w:tc>
        <w:tc>
          <w:tcPr>
            <w:tcW w:w="107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b/>
                <w:bCs/>
                <w:kern w:val="0"/>
                <w:sz w:val="21"/>
                <w:szCs w:val="21"/>
                <w:highlight w:val="none"/>
              </w:rPr>
            </w:pPr>
            <w:r>
              <w:rPr>
                <w:rFonts w:hint="default" w:ascii="Times New Roman" w:hAnsi="Times New Roman" w:eastAsia="仿宋_GB2312" w:cs="Times New Roman"/>
                <w:b/>
                <w:bCs/>
                <w:kern w:val="0"/>
                <w:sz w:val="21"/>
                <w:szCs w:val="21"/>
                <w:highlight w:val="none"/>
              </w:rPr>
              <w:t>防治措施</w:t>
            </w:r>
          </w:p>
        </w:tc>
        <w:tc>
          <w:tcPr>
            <w:tcW w:w="277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b/>
                <w:bCs/>
                <w:kern w:val="0"/>
                <w:sz w:val="21"/>
                <w:szCs w:val="21"/>
                <w:highlight w:val="none"/>
              </w:rPr>
            </w:pPr>
            <w:r>
              <w:rPr>
                <w:rFonts w:hint="default" w:ascii="Times New Roman" w:hAnsi="Times New Roman" w:eastAsia="仿宋_GB2312" w:cs="Times New Roman"/>
                <w:b/>
                <w:bCs/>
                <w:kern w:val="0"/>
                <w:sz w:val="21"/>
                <w:szCs w:val="21"/>
                <w:highlight w:val="none"/>
              </w:rPr>
              <w:t>具体措施</w:t>
            </w:r>
          </w:p>
        </w:tc>
      </w:tr>
      <w:tr>
        <w:tblPrEx>
          <w:tblBorders>
            <w:top w:val="double" w:color="000000" w:sz="4" w:space="0"/>
            <w:left w:val="none" w:color="auto" w:sz="0" w:space="0"/>
            <w:bottom w:val="double" w:color="000000" w:sz="4"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142" w:type="pct"/>
            <w:vMerge w:val="restar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bCs/>
                <w:kern w:val="0"/>
                <w:sz w:val="21"/>
                <w:szCs w:val="21"/>
                <w:highlight w:val="none"/>
              </w:rPr>
            </w:pPr>
            <w:r>
              <w:rPr>
                <w:rFonts w:hint="default" w:ascii="Times New Roman" w:hAnsi="Times New Roman" w:eastAsia="仿宋_GB2312" w:cs="Times New Roman"/>
                <w:bCs/>
                <w:kern w:val="0"/>
                <w:sz w:val="21"/>
                <w:szCs w:val="21"/>
                <w:highlight w:val="none"/>
              </w:rPr>
              <w:t>工程建设区</w:t>
            </w:r>
          </w:p>
        </w:tc>
        <w:tc>
          <w:tcPr>
            <w:tcW w:w="1079"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bCs/>
                <w:kern w:val="0"/>
                <w:sz w:val="21"/>
                <w:szCs w:val="21"/>
                <w:highlight w:val="none"/>
              </w:rPr>
            </w:pPr>
            <w:r>
              <w:rPr>
                <w:rFonts w:hint="default" w:ascii="Times New Roman" w:hAnsi="Times New Roman" w:eastAsia="仿宋_GB2312" w:cs="Times New Roman"/>
                <w:bCs/>
                <w:kern w:val="0"/>
                <w:sz w:val="21"/>
                <w:szCs w:val="21"/>
                <w:highlight w:val="none"/>
              </w:rPr>
              <w:t>工程措施</w:t>
            </w:r>
          </w:p>
        </w:tc>
        <w:tc>
          <w:tcPr>
            <w:tcW w:w="277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雨水管线、</w:t>
            </w:r>
            <w:r>
              <w:rPr>
                <w:rFonts w:hint="eastAsia" w:eastAsia="仿宋_GB2312" w:cs="Times New Roman"/>
                <w:kern w:val="0"/>
                <w:sz w:val="21"/>
                <w:szCs w:val="21"/>
                <w:highlight w:val="none"/>
                <w:lang w:eastAsia="zh-CN"/>
              </w:rPr>
              <w:t>雨水口</w:t>
            </w:r>
            <w:r>
              <w:rPr>
                <w:rFonts w:hint="default" w:ascii="Times New Roman" w:hAnsi="Times New Roman" w:eastAsia="仿宋_GB2312" w:cs="Times New Roman"/>
                <w:kern w:val="0"/>
                <w:sz w:val="21"/>
                <w:szCs w:val="21"/>
                <w:highlight w:val="none"/>
              </w:rPr>
              <w:t>*</w:t>
            </w:r>
          </w:p>
        </w:tc>
      </w:tr>
      <w:tr>
        <w:tblPrEx>
          <w:tblBorders>
            <w:top w:val="double" w:color="000000" w:sz="4" w:space="0"/>
            <w:left w:val="none" w:color="auto" w:sz="0" w:space="0"/>
            <w:bottom w:val="double" w:color="000000" w:sz="4"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142" w:type="pct"/>
            <w:vMerge w:val="continue"/>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bCs/>
                <w:kern w:val="0"/>
                <w:sz w:val="21"/>
                <w:szCs w:val="21"/>
                <w:highlight w:val="none"/>
              </w:rPr>
            </w:pPr>
          </w:p>
        </w:tc>
        <w:tc>
          <w:tcPr>
            <w:tcW w:w="107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bCs/>
                <w:kern w:val="0"/>
                <w:sz w:val="21"/>
                <w:szCs w:val="21"/>
                <w:highlight w:val="none"/>
              </w:rPr>
            </w:pPr>
          </w:p>
        </w:tc>
        <w:tc>
          <w:tcPr>
            <w:tcW w:w="277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绿化用土回覆*</w:t>
            </w:r>
          </w:p>
        </w:tc>
      </w:tr>
      <w:tr>
        <w:tblPrEx>
          <w:tblBorders>
            <w:top w:val="double" w:color="000000" w:sz="4" w:space="0"/>
            <w:left w:val="none" w:color="auto" w:sz="0" w:space="0"/>
            <w:bottom w:val="double" w:color="000000" w:sz="4"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142" w:type="pct"/>
            <w:vMerge w:val="continue"/>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bCs/>
                <w:kern w:val="0"/>
                <w:sz w:val="21"/>
                <w:szCs w:val="21"/>
                <w:highlight w:val="none"/>
              </w:rPr>
            </w:pPr>
          </w:p>
        </w:tc>
        <w:tc>
          <w:tcPr>
            <w:tcW w:w="107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bCs/>
                <w:kern w:val="0"/>
                <w:sz w:val="21"/>
                <w:szCs w:val="21"/>
                <w:highlight w:val="none"/>
              </w:rPr>
            </w:pPr>
          </w:p>
        </w:tc>
        <w:tc>
          <w:tcPr>
            <w:tcW w:w="277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bCs/>
                <w:kern w:val="0"/>
                <w:sz w:val="21"/>
                <w:szCs w:val="21"/>
                <w:highlight w:val="none"/>
              </w:rPr>
            </w:pPr>
            <w:r>
              <w:rPr>
                <w:rFonts w:hint="default" w:ascii="Times New Roman" w:hAnsi="Times New Roman" w:eastAsia="仿宋_GB2312" w:cs="Times New Roman"/>
                <w:bCs/>
                <w:kern w:val="0"/>
                <w:sz w:val="21"/>
                <w:szCs w:val="21"/>
                <w:highlight w:val="none"/>
              </w:rPr>
              <w:t>全面整地#</w:t>
            </w:r>
          </w:p>
        </w:tc>
      </w:tr>
      <w:tr>
        <w:tblPrEx>
          <w:tblBorders>
            <w:top w:val="double" w:color="000000" w:sz="4" w:space="0"/>
            <w:left w:val="none" w:color="auto" w:sz="0" w:space="0"/>
            <w:bottom w:val="double" w:color="000000" w:sz="4"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142" w:type="pct"/>
            <w:vMerge w:val="continue"/>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bCs/>
                <w:kern w:val="0"/>
                <w:sz w:val="21"/>
                <w:szCs w:val="21"/>
                <w:highlight w:val="none"/>
              </w:rPr>
            </w:pPr>
          </w:p>
        </w:tc>
        <w:tc>
          <w:tcPr>
            <w:tcW w:w="107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bCs/>
                <w:kern w:val="0"/>
                <w:sz w:val="21"/>
                <w:szCs w:val="21"/>
                <w:highlight w:val="none"/>
              </w:rPr>
            </w:pPr>
            <w:r>
              <w:rPr>
                <w:rFonts w:hint="default" w:ascii="Times New Roman" w:hAnsi="Times New Roman" w:eastAsia="仿宋_GB2312" w:cs="Times New Roman"/>
                <w:bCs/>
                <w:kern w:val="0"/>
                <w:sz w:val="21"/>
                <w:szCs w:val="21"/>
                <w:highlight w:val="none"/>
              </w:rPr>
              <w:t>植物措施</w:t>
            </w:r>
          </w:p>
        </w:tc>
        <w:tc>
          <w:tcPr>
            <w:tcW w:w="277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bCs/>
                <w:kern w:val="0"/>
                <w:sz w:val="21"/>
                <w:szCs w:val="21"/>
                <w:highlight w:val="none"/>
                <w:lang w:eastAsia="zh-CN"/>
              </w:rPr>
            </w:pPr>
            <w:r>
              <w:rPr>
                <w:rFonts w:hint="default" w:ascii="Times New Roman" w:hAnsi="Times New Roman" w:eastAsia="仿宋_GB2312" w:cs="Times New Roman"/>
                <w:spacing w:val="1"/>
                <w:sz w:val="21"/>
                <w:szCs w:val="21"/>
                <w:lang w:val="en-US" w:eastAsia="zh-CN"/>
              </w:rPr>
              <w:t>绿化</w:t>
            </w:r>
            <w:r>
              <w:rPr>
                <w:rFonts w:hint="default" w:ascii="Times New Roman" w:hAnsi="Times New Roman" w:eastAsia="仿宋_GB2312" w:cs="Times New Roman"/>
                <w:kern w:val="0"/>
                <w:sz w:val="21"/>
                <w:szCs w:val="21"/>
                <w:highlight w:val="none"/>
              </w:rPr>
              <w:t>*</w:t>
            </w:r>
          </w:p>
        </w:tc>
      </w:tr>
      <w:tr>
        <w:tblPrEx>
          <w:tblBorders>
            <w:top w:val="double" w:color="000000" w:sz="4" w:space="0"/>
            <w:left w:val="none" w:color="auto" w:sz="0" w:space="0"/>
            <w:bottom w:val="double" w:color="000000" w:sz="4"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142" w:type="pct"/>
            <w:vMerge w:val="continue"/>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bCs/>
                <w:kern w:val="0"/>
                <w:sz w:val="21"/>
                <w:szCs w:val="21"/>
                <w:highlight w:val="none"/>
              </w:rPr>
            </w:pPr>
          </w:p>
        </w:tc>
        <w:tc>
          <w:tcPr>
            <w:tcW w:w="1079"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bCs/>
                <w:kern w:val="0"/>
                <w:sz w:val="21"/>
                <w:szCs w:val="21"/>
                <w:highlight w:val="none"/>
              </w:rPr>
            </w:pPr>
            <w:r>
              <w:rPr>
                <w:rFonts w:hint="default" w:ascii="Times New Roman" w:hAnsi="Times New Roman" w:eastAsia="仿宋_GB2312" w:cs="Times New Roman"/>
                <w:bCs/>
                <w:kern w:val="0"/>
                <w:sz w:val="21"/>
                <w:szCs w:val="21"/>
                <w:highlight w:val="none"/>
              </w:rPr>
              <w:t>临时措施</w:t>
            </w:r>
          </w:p>
        </w:tc>
        <w:tc>
          <w:tcPr>
            <w:tcW w:w="277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pacing w:val="1"/>
                <w:sz w:val="21"/>
                <w:szCs w:val="21"/>
                <w:lang w:val="en-US" w:eastAsia="zh-CN"/>
              </w:rPr>
            </w:pPr>
            <w:r>
              <w:rPr>
                <w:rFonts w:hint="default" w:ascii="Times New Roman" w:hAnsi="Times New Roman" w:eastAsia="仿宋_GB2312" w:cs="Times New Roman"/>
                <w:spacing w:val="1"/>
                <w:sz w:val="21"/>
                <w:szCs w:val="21"/>
                <w:lang w:val="en-US" w:eastAsia="zh-CN"/>
              </w:rPr>
              <w:t>编织袋装土砌筑及</w:t>
            </w:r>
            <w:r>
              <w:rPr>
                <w:rFonts w:hint="eastAsia" w:eastAsia="仿宋_GB2312" w:cs="Times New Roman"/>
                <w:spacing w:val="1"/>
                <w:sz w:val="21"/>
                <w:szCs w:val="21"/>
                <w:lang w:val="en-US" w:eastAsia="zh-CN"/>
              </w:rPr>
              <w:t>拆除</w:t>
            </w:r>
            <w:r>
              <w:rPr>
                <w:rFonts w:hint="default" w:ascii="Times New Roman" w:hAnsi="Times New Roman" w:eastAsia="仿宋_GB2312" w:cs="Times New Roman"/>
                <w:bCs/>
                <w:kern w:val="0"/>
                <w:sz w:val="21"/>
                <w:szCs w:val="21"/>
                <w:highlight w:val="none"/>
              </w:rPr>
              <w:t>#</w:t>
            </w:r>
          </w:p>
        </w:tc>
      </w:tr>
      <w:tr>
        <w:tblPrEx>
          <w:tblBorders>
            <w:top w:val="double" w:color="000000" w:sz="4" w:space="0"/>
            <w:left w:val="none" w:color="auto" w:sz="0" w:space="0"/>
            <w:bottom w:val="double" w:color="000000" w:sz="4"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142" w:type="pct"/>
            <w:vMerge w:val="continue"/>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bCs/>
                <w:kern w:val="0"/>
                <w:sz w:val="21"/>
                <w:szCs w:val="21"/>
                <w:highlight w:val="none"/>
              </w:rPr>
            </w:pPr>
          </w:p>
        </w:tc>
        <w:tc>
          <w:tcPr>
            <w:tcW w:w="107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bCs/>
                <w:kern w:val="0"/>
                <w:sz w:val="21"/>
                <w:szCs w:val="21"/>
                <w:highlight w:val="none"/>
              </w:rPr>
            </w:pPr>
          </w:p>
        </w:tc>
        <w:tc>
          <w:tcPr>
            <w:tcW w:w="277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宋体" w:cs="Times New Roman"/>
                <w:bCs/>
                <w:kern w:val="0"/>
                <w:sz w:val="21"/>
                <w:szCs w:val="21"/>
                <w:highlight w:val="none"/>
                <w:lang w:val="en-US" w:eastAsia="zh-CN"/>
              </w:rPr>
            </w:pPr>
            <w:r>
              <w:rPr>
                <w:rFonts w:hint="default" w:ascii="Times New Roman" w:hAnsi="Times New Roman" w:eastAsia="仿宋_GB2312" w:cs="Times New Roman"/>
                <w:spacing w:val="1"/>
                <w:sz w:val="21"/>
                <w:szCs w:val="21"/>
                <w:lang w:val="en-US" w:eastAsia="zh-CN"/>
              </w:rPr>
              <w:t>密目网苫盖</w:t>
            </w:r>
            <w:r>
              <w:rPr>
                <w:rFonts w:hint="default" w:ascii="Times New Roman" w:hAnsi="Times New Roman" w:eastAsia="仿宋_GB2312" w:cs="Times New Roman"/>
                <w:kern w:val="0"/>
                <w:sz w:val="21"/>
                <w:szCs w:val="21"/>
                <w:highlight w:val="none"/>
              </w:rPr>
              <w:t>*</w:t>
            </w:r>
          </w:p>
        </w:tc>
      </w:tr>
      <w:tr>
        <w:tblPrEx>
          <w:tblBorders>
            <w:top w:val="double" w:color="000000" w:sz="4" w:space="0"/>
            <w:left w:val="none" w:color="auto" w:sz="0" w:space="0"/>
            <w:bottom w:val="double" w:color="000000" w:sz="4"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000" w:type="pct"/>
            <w:gridSpan w:val="3"/>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注：*为主体已有措施，#为本方案新增措施。</w:t>
            </w:r>
          </w:p>
        </w:tc>
      </w:tr>
    </w:tbl>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微软雅黑" w:cs="Times New Roman"/>
          <w:lang w:eastAsia="zh-CN"/>
        </w:rPr>
      </w:pPr>
      <w:r>
        <w:rPr>
          <w:rFonts w:hint="eastAsia" w:ascii="Times New Roman" w:hAnsi="Times New Roman" w:eastAsia="微软雅黑" w:cs="Times New Roman"/>
          <w:lang w:eastAsia="zh-CN"/>
        </w:rPr>
        <w:drawing>
          <wp:inline distT="0" distB="0" distL="114300" distR="114300">
            <wp:extent cx="5335905" cy="2439670"/>
            <wp:effectExtent l="0" t="0" r="17145" b="17780"/>
            <wp:docPr id="6" name="图片 6" descr="水土流失防治措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水土流失防治措施"/>
                    <pic:cNvPicPr>
                      <a:picLocks noChangeAspect="1"/>
                    </pic:cNvPicPr>
                  </pic:nvPicPr>
                  <pic:blipFill>
                    <a:blip r:embed="rId54"/>
                    <a:stretch>
                      <a:fillRect/>
                    </a:stretch>
                  </pic:blipFill>
                  <pic:spPr>
                    <a:xfrm>
                      <a:off x="0" y="0"/>
                      <a:ext cx="5335905" cy="24396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微软雅黑" w:cs="Times New Roman"/>
        </w:rPr>
      </w:pPr>
      <w:r>
        <w:rPr>
          <w:rFonts w:hint="default" w:ascii="Times New Roman" w:hAnsi="Times New Roman" w:eastAsia="微软雅黑" w:cs="Times New Roman"/>
        </w:rPr>
        <mc:AlternateContent>
          <mc:Choice Requires="wps">
            <w:drawing>
              <wp:anchor distT="0" distB="0" distL="114300" distR="114300" simplePos="0" relativeHeight="251675648" behindDoc="0" locked="0" layoutInCell="1" allowOverlap="1">
                <wp:simplePos x="0" y="0"/>
                <wp:positionH relativeFrom="column">
                  <wp:posOffset>3914775</wp:posOffset>
                </wp:positionH>
                <wp:positionV relativeFrom="paragraph">
                  <wp:posOffset>3765550</wp:posOffset>
                </wp:positionV>
                <wp:extent cx="635" cy="1530985"/>
                <wp:effectExtent l="0" t="0" r="0" b="0"/>
                <wp:wrapNone/>
                <wp:docPr id="72" name="直线 5920"/>
                <wp:cNvGraphicFramePr/>
                <a:graphic xmlns:a="http://schemas.openxmlformats.org/drawingml/2006/main">
                  <a:graphicData uri="http://schemas.microsoft.com/office/word/2010/wordprocessingShape">
                    <wps:wsp>
                      <wps:cNvCnPr/>
                      <wps:spPr>
                        <a:xfrm>
                          <a:off x="0" y="0"/>
                          <a:ext cx="635" cy="1530985"/>
                        </a:xfrm>
                        <a:prstGeom prst="line">
                          <a:avLst/>
                        </a:prstGeom>
                        <a:ln>
                          <a:noFill/>
                        </a:ln>
                      </wps:spPr>
                      <wps:bodyPr upright="1"/>
                    </wps:wsp>
                  </a:graphicData>
                </a:graphic>
              </wp:anchor>
            </w:drawing>
          </mc:Choice>
          <mc:Fallback>
            <w:pict>
              <v:line id="直线 5920" o:spid="_x0000_s1026" o:spt="20" style="position:absolute;left:0pt;margin-left:308.25pt;margin-top:296.5pt;height:120.55pt;width:0.05pt;z-index:251675648;mso-width-relative:page;mso-height-relative:page;" filled="f" stroked="f" coordsize="21600,21600" o:gfxdata="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pRq9s9kAAAALAQAADwAAAAAAAAABACAA&#10;AAAiAAAAZHJzL2Rvd25yZXYueG1sUEsBAhQAFAAAAAgAh07iQA+lMOOaAQAALAMAAA4AAAAAAAAA&#10;AQAgAAAAKAEAAGRycy9lMm9Eb2MueG1sUEsFBgAAAAAGAAYAWQEAADQFAAAAAA==&#10;">
                <v:fill on="f" focussize="0,0"/>
                <v:stroke on="f"/>
                <v:imagedata o:title=""/>
                <o:lock v:ext="edit" aspectratio="f"/>
              </v:line>
            </w:pict>
          </mc:Fallback>
        </mc:AlternateContent>
      </w:r>
      <w:r>
        <w:rPr>
          <w:rFonts w:hint="default" w:ascii="Times New Roman" w:hAnsi="Times New Roman" w:eastAsia="微软雅黑" w:cs="Times New Roman"/>
        </w:rPr>
        <w:t>图5-1</w:t>
      </w:r>
      <w:r>
        <w:rPr>
          <w:rFonts w:hint="default" w:ascii="Times New Roman" w:hAnsi="Times New Roman" w:eastAsia="微软雅黑" w:cs="Times New Roman"/>
          <w:lang w:val="en-US" w:eastAsia="zh-CN"/>
        </w:rPr>
        <w:t xml:space="preserve">  </w:t>
      </w:r>
      <w:r>
        <w:rPr>
          <w:rFonts w:hint="default" w:ascii="Times New Roman" w:hAnsi="Times New Roman" w:eastAsia="微软雅黑" w:cs="Times New Roman"/>
        </w:rPr>
        <w:t>水土流失综合防治措施体系框图</w:t>
      </w:r>
      <w:bookmarkStart w:id="338" w:name="_Toc12381"/>
      <w:bookmarkStart w:id="339" w:name="_Toc11847"/>
      <w:bookmarkStart w:id="340" w:name="_Toc89694212"/>
      <w:bookmarkStart w:id="341" w:name="_Toc8916"/>
    </w:p>
    <w:p>
      <w:pPr>
        <w:pStyle w:val="5"/>
        <w:bidi w:val="0"/>
        <w:rPr>
          <w:rFonts w:hint="default" w:ascii="Times New Roman" w:hAnsi="Times New Roman" w:cs="Times New Roman"/>
        </w:rPr>
      </w:pPr>
      <w:bookmarkStart w:id="342" w:name="_Toc23325"/>
      <w:r>
        <w:rPr>
          <w:rFonts w:hint="default" w:ascii="Times New Roman" w:hAnsi="Times New Roman" w:cs="Times New Roman"/>
        </w:rPr>
        <w:t>5.3分区措施布设</w:t>
      </w:r>
      <w:bookmarkEnd w:id="338"/>
      <w:bookmarkEnd w:id="339"/>
      <w:bookmarkEnd w:id="340"/>
      <w:bookmarkEnd w:id="341"/>
      <w:bookmarkEnd w:id="342"/>
    </w:p>
    <w:p>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5.3.1工程措施</w:t>
      </w:r>
    </w:p>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1</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雨水</w:t>
      </w:r>
      <w:r>
        <w:rPr>
          <w:rFonts w:hint="eastAsia" w:eastAsia="仿宋_GB2312" w:cs="Times New Roman"/>
          <w:sz w:val="24"/>
          <w:szCs w:val="24"/>
          <w:lang w:val="en-US" w:eastAsia="zh-CN"/>
        </w:rPr>
        <w:t>管线雨水口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主体工程在工程建设区内设计了雨水排水设施，用于收集和排泄地表集水，雨水管线工程</w:t>
      </w:r>
      <w:r>
        <w:rPr>
          <w:rFonts w:hint="default" w:ascii="Times New Roman" w:hAnsi="Times New Roman" w:eastAsia="仿宋_GB2312" w:cs="Times New Roman"/>
          <w:sz w:val="24"/>
          <w:szCs w:val="24"/>
          <w:highlight w:val="none"/>
        </w:rPr>
        <w:t>按照《室外排水设计标准》（GB50014-2021）要求设计重现期以2年为标准进行设计，雨水排水管线根据地形沿道路敷设，采用钢筋混凝土管</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rPr>
        <w:t>管径DN</w:t>
      </w:r>
      <w:r>
        <w:rPr>
          <w:rFonts w:hint="eastAsia" w:eastAsia="仿宋_GB2312" w:cs="Times New Roman"/>
          <w:sz w:val="24"/>
          <w:szCs w:val="24"/>
          <w:highlight w:val="none"/>
          <w:lang w:val="en-US" w:eastAsia="zh-CN"/>
        </w:rPr>
        <w:t>10</w:t>
      </w:r>
      <w:r>
        <w:rPr>
          <w:rFonts w:hint="default" w:ascii="Times New Roman" w:hAnsi="Times New Roman" w:eastAsia="仿宋_GB2312" w:cs="Times New Roman"/>
          <w:sz w:val="24"/>
          <w:szCs w:val="24"/>
          <w:highlight w:val="none"/>
        </w:rPr>
        <w:t>00，以直埋方式敷设，长</w:t>
      </w:r>
      <w:r>
        <w:rPr>
          <w:rFonts w:hint="eastAsia" w:eastAsia="仿宋_GB2312" w:cs="Times New Roman"/>
          <w:sz w:val="24"/>
          <w:szCs w:val="24"/>
          <w:highlight w:val="none"/>
          <w:lang w:val="en-US" w:eastAsia="zh-CN"/>
        </w:rPr>
        <w:t>2600m</w:t>
      </w:r>
      <w:r>
        <w:rPr>
          <w:rFonts w:hint="default" w:ascii="Times New Roman" w:hAnsi="Times New Roman" w:eastAsia="仿宋_GB2312" w:cs="Times New Roman"/>
          <w:sz w:val="24"/>
          <w:szCs w:val="24"/>
          <w:highlight w:val="none"/>
        </w:rPr>
        <w:t>，</w:t>
      </w:r>
      <w:r>
        <w:rPr>
          <w:rFonts w:hint="eastAsia" w:eastAsia="仿宋_GB2312" w:cs="Times New Roman"/>
          <w:sz w:val="24"/>
          <w:szCs w:val="24"/>
          <w:highlight w:val="none"/>
          <w:lang w:eastAsia="zh-CN"/>
        </w:rPr>
        <w:t>雨水口</w:t>
      </w:r>
      <w:r>
        <w:rPr>
          <w:rFonts w:hint="eastAsia" w:eastAsia="仿宋_GB2312" w:cs="Times New Roman"/>
          <w:sz w:val="24"/>
          <w:szCs w:val="24"/>
          <w:highlight w:val="none"/>
          <w:lang w:val="en-US" w:eastAsia="zh-CN"/>
        </w:rPr>
        <w:t>260</w:t>
      </w:r>
      <w:r>
        <w:rPr>
          <w:rFonts w:hint="default" w:ascii="Times New Roman" w:hAnsi="Times New Roman" w:eastAsia="仿宋_GB2312" w:cs="Times New Roman"/>
          <w:sz w:val="24"/>
          <w:szCs w:val="24"/>
          <w:highlight w:val="none"/>
        </w:rPr>
        <w:t>个。</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2</w:t>
      </w:r>
      <w:r>
        <w:rPr>
          <w:rFonts w:hint="default" w:ascii="Times New Roman" w:hAnsi="Times New Roman" w:eastAsia="仿宋_GB2312" w:cs="Times New Roman"/>
          <w:sz w:val="24"/>
          <w:szCs w:val="24"/>
          <w:lang w:eastAsia="zh-CN"/>
        </w:rPr>
        <w:t>）绿化用土回覆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highlight w:val="yellow"/>
        </w:rPr>
      </w:pPr>
      <w:r>
        <w:rPr>
          <w:rFonts w:hint="default" w:ascii="Times New Roman" w:hAnsi="Times New Roman" w:eastAsia="仿宋_GB2312" w:cs="Times New Roman"/>
          <w:sz w:val="24"/>
          <w:szCs w:val="24"/>
          <w:highlight w:val="none"/>
        </w:rPr>
        <w:t>主体工程设计施工结束后，对拟采取绿化措施区域进行覆绿化用土，工程建设区绿化用土回覆面积</w:t>
      </w:r>
      <w:r>
        <w:rPr>
          <w:rFonts w:hint="eastAsia" w:eastAsia="仿宋_GB2312" w:cs="Times New Roman"/>
          <w:sz w:val="24"/>
          <w:szCs w:val="24"/>
          <w:lang w:eastAsia="zh-CN"/>
        </w:rPr>
        <w:t>3.99</w:t>
      </w:r>
      <w:r>
        <w:rPr>
          <w:rFonts w:hint="default" w:ascii="Times New Roman" w:hAnsi="Times New Roman" w:eastAsia="仿宋_GB2312" w:cs="Times New Roman"/>
          <w:sz w:val="24"/>
          <w:szCs w:val="24"/>
          <w:lang w:val="en-US" w:eastAsia="zh-CN"/>
        </w:rPr>
        <w:t>hm²</w:t>
      </w:r>
      <w:r>
        <w:rPr>
          <w:rFonts w:hint="default" w:ascii="Times New Roman" w:hAnsi="Times New Roman" w:eastAsia="仿宋_GB2312" w:cs="Times New Roman"/>
          <w:sz w:val="24"/>
          <w:szCs w:val="24"/>
        </w:rPr>
        <w:t>，</w:t>
      </w:r>
      <w:r>
        <w:rPr>
          <w:rFonts w:hint="default" w:eastAsia="仿宋_GB2312" w:cs="Times New Roman"/>
          <w:sz w:val="24"/>
          <w:szCs w:val="24"/>
        </w:rPr>
        <w:t>平均</w:t>
      </w:r>
      <w:r>
        <w:rPr>
          <w:rFonts w:hint="default" w:ascii="Times New Roman" w:hAnsi="Times New Roman" w:eastAsia="仿宋_GB2312" w:cs="Times New Roman"/>
          <w:sz w:val="24"/>
          <w:szCs w:val="24"/>
          <w:lang w:val="en-US" w:eastAsia="zh-CN"/>
        </w:rPr>
        <w:t>回覆</w:t>
      </w:r>
      <w:r>
        <w:rPr>
          <w:rFonts w:hint="default" w:ascii="Times New Roman" w:hAnsi="Times New Roman" w:eastAsia="仿宋_GB2312" w:cs="Times New Roman"/>
          <w:sz w:val="24"/>
          <w:szCs w:val="24"/>
        </w:rPr>
        <w:t>厚度30cm，</w:t>
      </w:r>
      <w:r>
        <w:rPr>
          <w:rFonts w:hint="default" w:ascii="Times New Roman" w:hAnsi="Times New Roman" w:eastAsia="仿宋_GB2312" w:cs="Times New Roman"/>
          <w:sz w:val="24"/>
          <w:szCs w:val="24"/>
          <w:lang w:val="en-US" w:eastAsia="zh-CN"/>
        </w:rPr>
        <w:t>回覆</w:t>
      </w:r>
      <w:r>
        <w:rPr>
          <w:rFonts w:hint="default" w:ascii="Times New Roman" w:hAnsi="Times New Roman" w:eastAsia="仿宋_GB2312" w:cs="Times New Roman"/>
          <w:sz w:val="24"/>
          <w:szCs w:val="24"/>
        </w:rPr>
        <w:t>量为</w:t>
      </w:r>
      <w:r>
        <w:rPr>
          <w:rFonts w:hint="eastAsia" w:eastAsia="仿宋_GB2312" w:cs="Times New Roman"/>
          <w:sz w:val="24"/>
          <w:szCs w:val="24"/>
          <w:lang w:val="en-US" w:eastAsia="zh-CN"/>
        </w:rPr>
        <w:t>1.20</w:t>
      </w:r>
      <w:r>
        <w:rPr>
          <w:rFonts w:hint="default" w:ascii="Times New Roman" w:hAnsi="Times New Roman" w:eastAsia="仿宋_GB2312" w:cs="Times New Roman"/>
          <w:sz w:val="24"/>
          <w:szCs w:val="24"/>
          <w:lang w:val="en-US" w:eastAsia="zh-CN"/>
        </w:rPr>
        <w:t>万</w:t>
      </w:r>
      <w:r>
        <w:rPr>
          <w:rFonts w:hint="default" w:ascii="Times New Roman" w:hAnsi="Times New Roman" w:eastAsia="仿宋_GB2312" w:cs="Times New Roman"/>
          <w:sz w:val="24"/>
          <w:szCs w:val="24"/>
          <w:lang w:eastAsia="zh-CN"/>
        </w:rPr>
        <w:t>m³</w:t>
      </w:r>
      <w:r>
        <w:rPr>
          <w:rFonts w:hint="default" w:ascii="Times New Roman" w:hAnsi="Times New Roman" w:eastAsia="仿宋_GB2312" w:cs="Times New Roman"/>
          <w:sz w:val="24"/>
          <w:szCs w:val="24"/>
        </w:rPr>
        <w:t>，</w:t>
      </w:r>
      <w:r>
        <w:rPr>
          <w:rFonts w:hint="eastAsia" w:eastAsia="仿宋_GB2312" w:cs="Times New Roman"/>
          <w:sz w:val="24"/>
          <w:szCs w:val="24"/>
          <w:lang w:val="en-US" w:eastAsia="zh-CN"/>
        </w:rPr>
        <w:t>所需</w:t>
      </w:r>
      <w:r>
        <w:rPr>
          <w:rFonts w:hint="default" w:ascii="Times New Roman" w:hAnsi="Times New Roman" w:eastAsia="仿宋_GB2312" w:cs="Times New Roman"/>
          <w:sz w:val="24"/>
          <w:szCs w:val="24"/>
          <w:highlight w:val="none"/>
        </w:rPr>
        <w:t>土方</w:t>
      </w:r>
      <w:r>
        <w:rPr>
          <w:rFonts w:hint="eastAsia" w:eastAsia="仿宋_GB2312" w:cs="Times New Roman"/>
          <w:sz w:val="24"/>
          <w:szCs w:val="24"/>
          <w:highlight w:val="none"/>
          <w:lang w:val="en-US" w:eastAsia="zh-CN"/>
        </w:rPr>
        <w:t>均由绿化公司负责</w:t>
      </w:r>
      <w:r>
        <w:rPr>
          <w:rFonts w:hint="default" w:ascii="Times New Roman" w:hAnsi="Times New Roman" w:eastAsia="仿宋_GB2312" w:cs="Times New Roman"/>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3</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全面整地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color w:val="auto"/>
          <w:sz w:val="24"/>
        </w:rPr>
        <w:t>对回覆绿化用土区域采取清除杂物、平整、机械结合人工施肥、翻松等措施整地，</w:t>
      </w:r>
      <w:r>
        <w:rPr>
          <w:rFonts w:hint="default" w:ascii="Times New Roman" w:hAnsi="Times New Roman" w:eastAsia="仿宋_GB2312" w:cs="Times New Roman"/>
          <w:sz w:val="24"/>
          <w:highlight w:val="none"/>
        </w:rPr>
        <w:t>耕深0.30m-0.40m，</w:t>
      </w:r>
      <w:r>
        <w:rPr>
          <w:rFonts w:hint="default" w:ascii="Times New Roman" w:hAnsi="Times New Roman" w:eastAsia="仿宋_GB2312" w:cs="Times New Roman"/>
          <w:sz w:val="24"/>
          <w:szCs w:val="24"/>
        </w:rPr>
        <w:t>整地面积为</w:t>
      </w:r>
      <w:r>
        <w:rPr>
          <w:rFonts w:hint="eastAsia" w:eastAsia="仿宋_GB2312" w:cs="Times New Roman"/>
          <w:sz w:val="24"/>
          <w:szCs w:val="24"/>
          <w:lang w:val="en-US" w:eastAsia="zh-CN"/>
        </w:rPr>
        <w:t>3.99</w:t>
      </w:r>
      <w:r>
        <w:rPr>
          <w:rFonts w:hint="default" w:ascii="Times New Roman" w:hAnsi="Times New Roman" w:eastAsia="仿宋_GB2312" w:cs="Times New Roman"/>
          <w:sz w:val="24"/>
          <w:szCs w:val="24"/>
        </w:rPr>
        <w:t>hm²。</w:t>
      </w:r>
    </w:p>
    <w:p>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5.3.2植物措施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highlight w:val="none"/>
          <w:lang w:eastAsia="zh-CN"/>
        </w:rPr>
        <w:t>本期项目</w:t>
      </w:r>
      <w:r>
        <w:rPr>
          <w:rFonts w:hint="default" w:ascii="Times New Roman" w:hAnsi="Times New Roman" w:eastAsia="仿宋_GB2312" w:cs="Times New Roman"/>
          <w:sz w:val="24"/>
          <w:szCs w:val="24"/>
          <w:highlight w:val="none"/>
        </w:rPr>
        <w:t>采用绿化工程设计标准，植被恢复工程设计标准采用</w:t>
      </w:r>
      <w:r>
        <w:rPr>
          <w:rFonts w:hint="default" w:ascii="Times New Roman" w:hAnsi="Times New Roman" w:eastAsia="仿宋_GB2312" w:cs="Times New Roman"/>
          <w:sz w:val="24"/>
          <w:szCs w:val="24"/>
          <w:highlight w:val="none"/>
          <w:lang w:val="en-US" w:eastAsia="zh-CN"/>
        </w:rPr>
        <w:t>1</w:t>
      </w:r>
      <w:r>
        <w:rPr>
          <w:rFonts w:hint="default" w:ascii="Times New Roman" w:hAnsi="Times New Roman" w:eastAsia="仿宋_GB2312" w:cs="Times New Roman"/>
          <w:sz w:val="24"/>
          <w:szCs w:val="24"/>
          <w:highlight w:val="none"/>
        </w:rPr>
        <w:t>级标准。</w:t>
      </w:r>
      <w:r>
        <w:rPr>
          <w:rFonts w:hint="default" w:ascii="Times New Roman" w:hAnsi="Times New Roman" w:eastAsia="仿宋_GB2312" w:cs="Times New Roman"/>
          <w:sz w:val="24"/>
          <w:highlight w:val="none"/>
        </w:rPr>
        <w:t>体工程设计对工程建设区绿化区域进行景观绿化施工，</w:t>
      </w:r>
      <w:r>
        <w:rPr>
          <w:rFonts w:hint="default" w:ascii="Times New Roman" w:hAnsi="Times New Roman" w:eastAsia="仿宋_GB2312" w:cs="Times New Roman"/>
          <w:sz w:val="24"/>
          <w:szCs w:val="24"/>
        </w:rPr>
        <w:t>主要布置在项目区四周、建筑物及道路周边区域，采用乔灌草结合的绿化方法，绿化面积为</w:t>
      </w:r>
      <w:r>
        <w:rPr>
          <w:rFonts w:hint="eastAsia" w:eastAsia="仿宋_GB2312" w:cs="Times New Roman"/>
          <w:sz w:val="24"/>
          <w:szCs w:val="24"/>
          <w:lang w:val="en-US" w:eastAsia="zh-CN"/>
        </w:rPr>
        <w:t>3.99</w:t>
      </w:r>
      <w:r>
        <w:rPr>
          <w:rFonts w:hint="default" w:ascii="Times New Roman" w:hAnsi="Times New Roman" w:eastAsia="仿宋_GB2312" w:cs="Times New Roman"/>
          <w:sz w:val="24"/>
          <w:szCs w:val="24"/>
        </w:rPr>
        <w:t>hm²。</w:t>
      </w:r>
    </w:p>
    <w:p>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5.3.3临时措施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_GB2312" w:cs="Times New Roman"/>
          <w:sz w:val="24"/>
          <w:szCs w:val="24"/>
          <w:highlight w:val="none"/>
          <w:lang w:val="en-US" w:eastAsia="zh-CN"/>
        </w:rPr>
      </w:pPr>
      <w:r>
        <w:rPr>
          <w:rFonts w:hint="default" w:ascii="Times New Roman" w:hAnsi="Times New Roman" w:eastAsia="仿宋_GB2312" w:cs="Times New Roman"/>
          <w:sz w:val="24"/>
          <w:szCs w:val="24"/>
          <w:highlight w:val="none"/>
          <w:lang w:val="en-US" w:eastAsia="zh-CN"/>
        </w:rPr>
        <w:t xml:space="preserve">（1）编织袋砌筑、拆除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_GB2312" w:cs="Times New Roman"/>
          <w:sz w:val="24"/>
          <w:szCs w:val="24"/>
          <w:highlight w:val="none"/>
          <w:lang w:val="en-US" w:eastAsia="zh-CN"/>
        </w:rPr>
      </w:pPr>
      <w:r>
        <w:rPr>
          <w:rFonts w:hint="default" w:ascii="Times New Roman" w:hAnsi="Times New Roman" w:eastAsia="仿宋_GB2312" w:cs="Times New Roman"/>
          <w:sz w:val="24"/>
          <w:szCs w:val="24"/>
          <w:highlight w:val="none"/>
          <w:lang w:val="en-US" w:eastAsia="zh-CN"/>
        </w:rPr>
        <w:t>回填土堆场位于冷库和生产车间中间的绿化区域，堆土场地尺寸约为</w:t>
      </w:r>
      <w:r>
        <w:rPr>
          <w:rFonts w:hint="eastAsia" w:eastAsia="仿宋_GB2312" w:cs="Times New Roman"/>
          <w:sz w:val="24"/>
          <w:szCs w:val="24"/>
          <w:highlight w:val="none"/>
          <w:lang w:val="en-US" w:eastAsia="zh-CN"/>
        </w:rPr>
        <w:t>31</w:t>
      </w:r>
      <w:r>
        <w:rPr>
          <w:rFonts w:hint="default" w:ascii="Times New Roman" w:hAnsi="Times New Roman" w:eastAsia="仿宋_GB2312" w:cs="Times New Roman"/>
          <w:sz w:val="24"/>
          <w:szCs w:val="24"/>
          <w:highlight w:val="none"/>
          <w:lang w:val="en-US" w:eastAsia="zh-CN"/>
        </w:rPr>
        <w:t>m×</w:t>
      </w:r>
      <w:r>
        <w:rPr>
          <w:rFonts w:hint="eastAsia" w:eastAsia="仿宋_GB2312" w:cs="Times New Roman"/>
          <w:sz w:val="24"/>
          <w:szCs w:val="24"/>
          <w:highlight w:val="none"/>
          <w:lang w:val="en-US" w:eastAsia="zh-CN"/>
        </w:rPr>
        <w:t>73.6</w:t>
      </w:r>
      <w:r>
        <w:rPr>
          <w:rFonts w:hint="default" w:ascii="Times New Roman" w:hAnsi="Times New Roman" w:eastAsia="仿宋_GB2312" w:cs="Times New Roman"/>
          <w:sz w:val="24"/>
          <w:szCs w:val="24"/>
          <w:highlight w:val="none"/>
          <w:lang w:val="en-US" w:eastAsia="zh-CN"/>
        </w:rPr>
        <w:t>m，占地面积</w:t>
      </w:r>
      <w:r>
        <w:rPr>
          <w:rFonts w:hint="eastAsia" w:eastAsia="仿宋_GB2312" w:cs="Times New Roman"/>
          <w:sz w:val="24"/>
          <w:szCs w:val="24"/>
          <w:highlight w:val="none"/>
          <w:lang w:val="en-US" w:eastAsia="zh-CN"/>
        </w:rPr>
        <w:t>2281</w:t>
      </w:r>
      <w:r>
        <w:rPr>
          <w:rFonts w:hint="default" w:ascii="Times New Roman" w:hAnsi="Times New Roman" w:eastAsia="仿宋_GB2312" w:cs="Times New Roman"/>
          <w:sz w:val="24"/>
          <w:szCs w:val="24"/>
          <w:highlight w:val="none"/>
          <w:lang w:val="en-US" w:eastAsia="zh-CN"/>
        </w:rPr>
        <w:t>m</w:t>
      </w:r>
      <w:r>
        <w:rPr>
          <w:rFonts w:hint="default" w:ascii="Times New Roman" w:hAnsi="Times New Roman" w:eastAsia="仿宋_GB2312" w:cs="Times New Roman"/>
          <w:sz w:val="24"/>
          <w:szCs w:val="24"/>
          <w:highlight w:val="none"/>
          <w:vertAlign w:val="superscript"/>
          <w:lang w:val="en-US" w:eastAsia="zh-CN"/>
        </w:rPr>
        <w:t>2</w:t>
      </w:r>
      <w:r>
        <w:rPr>
          <w:rFonts w:hint="default" w:ascii="Times New Roman" w:hAnsi="Times New Roman" w:eastAsia="仿宋_GB2312" w:cs="Times New Roman"/>
          <w:sz w:val="24"/>
          <w:szCs w:val="24"/>
          <w:highlight w:val="none"/>
          <w:lang w:val="en-US" w:eastAsia="zh-CN"/>
        </w:rPr>
        <w:t>。本方案补充设计对堆土坡脚采用编织袋土拦挡，拦挡采用梯形结构，上底0.4m，下底0.8m，高0.5m，拦挡总长度约</w:t>
      </w:r>
      <w:r>
        <w:rPr>
          <w:rFonts w:hint="eastAsia" w:eastAsia="仿宋_GB2312" w:cs="Times New Roman"/>
          <w:sz w:val="24"/>
          <w:szCs w:val="24"/>
          <w:highlight w:val="none"/>
          <w:lang w:val="en-US" w:eastAsia="zh-CN"/>
        </w:rPr>
        <w:t>105</w:t>
      </w:r>
      <w:r>
        <w:rPr>
          <w:rFonts w:hint="default" w:ascii="Times New Roman" w:hAnsi="Times New Roman" w:eastAsia="仿宋_GB2312" w:cs="Times New Roman"/>
          <w:sz w:val="24"/>
          <w:szCs w:val="24"/>
          <w:highlight w:val="none"/>
          <w:lang w:val="en-US" w:eastAsia="zh-CN"/>
        </w:rPr>
        <w:t>m，共需编织袋土填筑与拆除各</w:t>
      </w:r>
      <w:r>
        <w:rPr>
          <w:rFonts w:hint="eastAsia" w:eastAsia="仿宋_GB2312" w:cs="Times New Roman"/>
          <w:sz w:val="24"/>
          <w:szCs w:val="24"/>
          <w:highlight w:val="none"/>
          <w:lang w:val="en-US" w:eastAsia="zh-CN"/>
        </w:rPr>
        <w:t>31.5</w:t>
      </w:r>
      <w:r>
        <w:rPr>
          <w:rFonts w:hint="default" w:ascii="Times New Roman" w:hAnsi="Times New Roman" w:eastAsia="仿宋_GB2312" w:cs="Times New Roman"/>
          <w:sz w:val="24"/>
          <w:szCs w:val="24"/>
          <w:highlight w:val="none"/>
          <w:lang w:val="en-US" w:eastAsia="zh-CN"/>
        </w:rPr>
        <w:t>m</w:t>
      </w:r>
      <w:r>
        <w:rPr>
          <w:rFonts w:hint="default" w:ascii="Times New Roman" w:hAnsi="Times New Roman" w:eastAsia="仿宋_GB2312" w:cs="Times New Roman"/>
          <w:sz w:val="24"/>
          <w:szCs w:val="24"/>
          <w:highlight w:val="none"/>
          <w:vertAlign w:val="superscript"/>
          <w:lang w:val="en-US" w:eastAsia="zh-CN"/>
        </w:rPr>
        <w:t>3</w:t>
      </w:r>
      <w:r>
        <w:rPr>
          <w:rFonts w:hint="default" w:ascii="Times New Roman" w:hAnsi="Times New Roman" w:eastAsia="仿宋_GB2312" w:cs="Times New Roman"/>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_GB2312" w:cs="Times New Roman"/>
          <w:sz w:val="24"/>
          <w:szCs w:val="24"/>
          <w:highlight w:val="none"/>
          <w:lang w:val="en-US" w:eastAsia="zh-CN"/>
        </w:rPr>
      </w:pPr>
      <w:r>
        <w:rPr>
          <w:rFonts w:hint="default" w:ascii="Times New Roman" w:hAnsi="Times New Roman" w:eastAsia="仿宋_GB2312" w:cs="Times New Roman"/>
          <w:sz w:val="24"/>
          <w:szCs w:val="24"/>
          <w:highlight w:val="none"/>
          <w:lang w:val="en-US" w:eastAsia="zh-CN"/>
        </w:rPr>
        <w:t>（</w:t>
      </w:r>
      <w:r>
        <w:rPr>
          <w:rFonts w:hint="eastAsia" w:eastAsia="仿宋_GB2312" w:cs="Times New Roman"/>
          <w:sz w:val="24"/>
          <w:szCs w:val="24"/>
          <w:highlight w:val="none"/>
          <w:lang w:val="en-US" w:eastAsia="zh-CN"/>
        </w:rPr>
        <w:t>2</w:t>
      </w:r>
      <w:r>
        <w:rPr>
          <w:rFonts w:hint="default" w:ascii="Times New Roman" w:hAnsi="Times New Roman" w:eastAsia="仿宋_GB2312" w:cs="Times New Roman"/>
          <w:sz w:val="24"/>
          <w:szCs w:val="24"/>
          <w:highlight w:val="none"/>
          <w:lang w:val="en-US" w:eastAsia="zh-CN"/>
        </w:rPr>
        <w:t>）密目网苫盖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_GB2312" w:cs="Times New Roman"/>
          <w:sz w:val="24"/>
          <w:szCs w:val="24"/>
          <w:highlight w:val="none"/>
          <w:lang w:val="en-US" w:eastAsia="zh-CN"/>
        </w:rPr>
      </w:pPr>
      <w:r>
        <w:rPr>
          <w:rFonts w:hint="default" w:ascii="Times New Roman" w:hAnsi="Times New Roman" w:eastAsia="仿宋_GB2312" w:cs="Times New Roman"/>
          <w:sz w:val="24"/>
          <w:szCs w:val="24"/>
          <w:highlight w:val="none"/>
          <w:lang w:val="en-US" w:eastAsia="zh-CN"/>
        </w:rPr>
        <w:t>本方案对临时堆放土方采取密目网苫盖措施，堆土场设计规格为长</w:t>
      </w:r>
      <w:r>
        <w:rPr>
          <w:rFonts w:hint="eastAsia" w:eastAsia="仿宋_GB2312" w:cs="Times New Roman"/>
          <w:sz w:val="24"/>
          <w:szCs w:val="24"/>
          <w:highlight w:val="none"/>
          <w:lang w:val="en-US" w:eastAsia="zh-CN"/>
        </w:rPr>
        <w:t>73.6</w:t>
      </w:r>
      <w:r>
        <w:rPr>
          <w:rFonts w:hint="default" w:ascii="Times New Roman" w:hAnsi="Times New Roman" w:eastAsia="仿宋_GB2312" w:cs="Times New Roman"/>
          <w:sz w:val="24"/>
          <w:szCs w:val="24"/>
          <w:highlight w:val="none"/>
          <w:lang w:val="en-US" w:eastAsia="zh-CN"/>
        </w:rPr>
        <w:t>m，宽</w:t>
      </w:r>
      <w:r>
        <w:rPr>
          <w:rFonts w:hint="eastAsia" w:eastAsia="仿宋_GB2312" w:cs="Times New Roman"/>
          <w:sz w:val="24"/>
          <w:szCs w:val="24"/>
          <w:highlight w:val="none"/>
          <w:lang w:val="en-US" w:eastAsia="zh-CN"/>
        </w:rPr>
        <w:t>31</w:t>
      </w:r>
      <w:r>
        <w:rPr>
          <w:rFonts w:hint="default" w:ascii="Times New Roman" w:hAnsi="Times New Roman" w:eastAsia="仿宋_GB2312" w:cs="Times New Roman"/>
          <w:sz w:val="24"/>
          <w:szCs w:val="24"/>
          <w:highlight w:val="none"/>
          <w:lang w:val="en-US" w:eastAsia="zh-CN"/>
        </w:rPr>
        <w:t>m，</w:t>
      </w:r>
      <w:r>
        <w:rPr>
          <w:rFonts w:hint="eastAsia" w:eastAsia="仿宋_GB2312" w:cs="Times New Roman"/>
          <w:sz w:val="24"/>
          <w:szCs w:val="24"/>
          <w:highlight w:val="none"/>
          <w:lang w:val="en-US" w:eastAsia="zh-CN"/>
        </w:rPr>
        <w:t>堆放面积2281</w:t>
      </w:r>
      <w:r>
        <w:rPr>
          <w:rFonts w:hint="default" w:ascii="Times New Roman" w:hAnsi="Times New Roman" w:eastAsia="仿宋_GB2312" w:cs="Times New Roman"/>
          <w:sz w:val="24"/>
          <w:szCs w:val="24"/>
          <w:highlight w:val="none"/>
          <w:lang w:val="en-US" w:eastAsia="zh-CN"/>
        </w:rPr>
        <w:t>m</w:t>
      </w:r>
      <w:r>
        <w:rPr>
          <w:rFonts w:hint="default" w:ascii="Times New Roman" w:hAnsi="Times New Roman" w:eastAsia="仿宋_GB2312" w:cs="Times New Roman"/>
          <w:sz w:val="24"/>
          <w:szCs w:val="24"/>
          <w:highlight w:val="none"/>
          <w:vertAlign w:val="superscript"/>
          <w:lang w:val="en-US" w:eastAsia="zh-CN"/>
        </w:rPr>
        <w:t>2</w:t>
      </w:r>
      <w:r>
        <w:rPr>
          <w:rFonts w:hint="eastAsia" w:eastAsia="仿宋_GB2312" w:cs="Times New Roman"/>
          <w:sz w:val="24"/>
          <w:szCs w:val="24"/>
          <w:highlight w:val="none"/>
          <w:lang w:val="en-US" w:eastAsia="zh-CN"/>
        </w:rPr>
        <w:t>，</w:t>
      </w:r>
      <w:r>
        <w:rPr>
          <w:rFonts w:hint="default" w:ascii="Times New Roman" w:hAnsi="Times New Roman" w:eastAsia="仿宋_GB2312" w:cs="Times New Roman"/>
          <w:sz w:val="24"/>
          <w:szCs w:val="24"/>
          <w:highlight w:val="none"/>
          <w:lang w:val="en-US" w:eastAsia="zh-CN"/>
        </w:rPr>
        <w:t>堆土高度</w:t>
      </w:r>
      <w:r>
        <w:rPr>
          <w:rFonts w:hint="eastAsia" w:eastAsia="仿宋_GB2312" w:cs="Times New Roman"/>
          <w:sz w:val="24"/>
          <w:szCs w:val="24"/>
          <w:highlight w:val="none"/>
          <w:lang w:val="en-US" w:eastAsia="zh-CN"/>
        </w:rPr>
        <w:t>4</w:t>
      </w:r>
      <w:r>
        <w:rPr>
          <w:rFonts w:hint="default" w:ascii="Times New Roman" w:hAnsi="Times New Roman" w:eastAsia="仿宋_GB2312" w:cs="Times New Roman"/>
          <w:sz w:val="24"/>
          <w:szCs w:val="24"/>
          <w:highlight w:val="none"/>
          <w:lang w:val="en-US" w:eastAsia="zh-CN"/>
        </w:rPr>
        <w:t>m，</w:t>
      </w:r>
      <w:r>
        <w:rPr>
          <w:rFonts w:hint="default" w:ascii="Times New Roman" w:hAnsi="Times New Roman" w:eastAsia="仿宋_GB2312" w:cs="Times New Roman"/>
          <w:sz w:val="24"/>
          <w:szCs w:val="24"/>
          <w:highlight w:val="none"/>
        </w:rPr>
        <w:t>堆土边坡1：1.5，</w:t>
      </w:r>
      <w:r>
        <w:rPr>
          <w:rFonts w:hint="default" w:ascii="Times New Roman" w:hAnsi="Times New Roman" w:eastAsia="仿宋_GB2312" w:cs="Times New Roman"/>
          <w:sz w:val="24"/>
          <w:szCs w:val="24"/>
          <w:highlight w:val="none"/>
          <w:lang w:val="en-US" w:eastAsia="zh-CN"/>
        </w:rPr>
        <w:t>密目网苫盖面积</w:t>
      </w:r>
      <w:r>
        <w:rPr>
          <w:rFonts w:hint="eastAsia" w:eastAsia="仿宋_GB2312" w:cs="Times New Roman"/>
          <w:sz w:val="24"/>
          <w:szCs w:val="24"/>
          <w:highlight w:val="none"/>
          <w:lang w:val="en-US" w:eastAsia="zh-CN"/>
        </w:rPr>
        <w:t>2965</w:t>
      </w:r>
      <w:r>
        <w:rPr>
          <w:rFonts w:hint="default" w:ascii="Times New Roman" w:hAnsi="Times New Roman" w:eastAsia="仿宋" w:cs="Times New Roman"/>
          <w:sz w:val="21"/>
          <w:szCs w:val="21"/>
          <w:highlight w:val="none"/>
        </w:rPr>
        <w:t>m²</w:t>
      </w:r>
      <w:r>
        <w:rPr>
          <w:rFonts w:hint="default" w:ascii="Times New Roman" w:hAnsi="Times New Roman" w:eastAsia="仿宋_GB2312" w:cs="Times New Roman"/>
          <w:sz w:val="24"/>
          <w:szCs w:val="24"/>
          <w:highlight w:val="none"/>
          <w:lang w:eastAsia="zh-CN"/>
        </w:rPr>
        <w:t>。</w:t>
      </w:r>
    </w:p>
    <w:p>
      <w:pPr>
        <w:pStyle w:val="6"/>
        <w:bidi w:val="0"/>
        <w:rPr>
          <w:rFonts w:hint="default" w:ascii="Times New Roman" w:hAnsi="Times New Roman" w:cs="Times New Roman"/>
          <w:lang w:val="en-US" w:eastAsia="zh-CN"/>
        </w:rPr>
      </w:pPr>
      <w:bookmarkStart w:id="343" w:name="_Toc23533"/>
      <w:bookmarkStart w:id="344" w:name="_Toc8883"/>
      <w:r>
        <w:rPr>
          <w:rFonts w:hint="default" w:ascii="Times New Roman" w:hAnsi="Times New Roman" w:cs="Times New Roman"/>
          <w:lang w:val="en-US" w:eastAsia="zh-CN"/>
        </w:rPr>
        <w:t>5.3.4防治措施工程量汇总</w:t>
      </w:r>
      <w:bookmarkEnd w:id="343"/>
      <w:bookmarkEnd w:id="344"/>
    </w:p>
    <w:p>
      <w:pPr>
        <w:pageBreakBefore w:val="0"/>
        <w:kinsoku/>
        <w:wordWrap/>
        <w:bidi w:val="0"/>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本方案水土保持措施包括工程措施、植物措施及临时措施。</w:t>
      </w:r>
      <w:bookmarkStart w:id="345" w:name="OLE_LINK5"/>
      <w:r>
        <w:rPr>
          <w:rFonts w:hint="default" w:ascii="Times New Roman" w:hAnsi="Times New Roman" w:eastAsia="仿宋_GB2312" w:cs="Times New Roman"/>
          <w:sz w:val="24"/>
          <w:highlight w:val="none"/>
          <w:lang w:eastAsia="zh-CN"/>
        </w:rPr>
        <w:t>本期项目</w:t>
      </w:r>
      <w:r>
        <w:rPr>
          <w:rFonts w:hint="default" w:ascii="Times New Roman" w:hAnsi="Times New Roman" w:eastAsia="仿宋_GB2312" w:cs="Times New Roman"/>
          <w:sz w:val="24"/>
          <w:highlight w:val="none"/>
        </w:rPr>
        <w:t>水土保持工程措施工程量</w:t>
      </w:r>
      <w:bookmarkEnd w:id="345"/>
      <w:r>
        <w:rPr>
          <w:rFonts w:hint="default" w:ascii="Times New Roman" w:hAnsi="Times New Roman" w:eastAsia="仿宋_GB2312" w:cs="Times New Roman"/>
          <w:sz w:val="24"/>
          <w:highlight w:val="none"/>
        </w:rPr>
        <w:t>见表5-</w:t>
      </w:r>
      <w:r>
        <w:rPr>
          <w:rFonts w:hint="default" w:ascii="Times New Roman" w:hAnsi="Times New Roman" w:eastAsia="仿宋_GB2312" w:cs="Times New Roman"/>
          <w:sz w:val="24"/>
          <w:highlight w:val="none"/>
          <w:lang w:val="en-US" w:eastAsia="zh-CN"/>
        </w:rPr>
        <w:t>3</w:t>
      </w:r>
      <w:r>
        <w:rPr>
          <w:rFonts w:hint="default" w:ascii="Times New Roman" w:hAnsi="Times New Roman" w:eastAsia="仿宋_GB2312" w:cs="Times New Roman"/>
          <w:sz w:val="24"/>
          <w:highlight w:val="none"/>
        </w:rPr>
        <w:t>。</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微软雅黑" w:cs="Times New Roman"/>
        </w:rPr>
      </w:pPr>
      <w:r>
        <w:rPr>
          <w:rFonts w:hint="default" w:ascii="Times New Roman" w:hAnsi="Times New Roman" w:eastAsia="微软雅黑" w:cs="Times New Roman"/>
        </w:rPr>
        <w:t>表5-</w:t>
      </w:r>
      <w:r>
        <w:rPr>
          <w:rFonts w:hint="default" w:ascii="Times New Roman" w:hAnsi="Times New Roman" w:eastAsia="微软雅黑" w:cs="Times New Roman"/>
          <w:lang w:val="en-US" w:eastAsia="zh-CN"/>
        </w:rPr>
        <w:t xml:space="preserve">3  </w:t>
      </w:r>
      <w:r>
        <w:rPr>
          <w:rFonts w:hint="default" w:ascii="Times New Roman" w:hAnsi="Times New Roman" w:eastAsia="微软雅黑" w:cs="Times New Roman"/>
        </w:rPr>
        <w:t>水土保持工程措施工程量汇总表</w:t>
      </w:r>
    </w:p>
    <w:tbl>
      <w:tblPr>
        <w:tblStyle w:val="556"/>
        <w:tblW w:w="4998" w:type="pct"/>
        <w:jc w:val="center"/>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1364"/>
        <w:gridCol w:w="1313"/>
        <w:gridCol w:w="2691"/>
        <w:gridCol w:w="1616"/>
        <w:gridCol w:w="1421"/>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8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rPr>
            </w:pPr>
            <w:bookmarkStart w:id="346" w:name="_Toc15275"/>
            <w:bookmarkStart w:id="347" w:name="_Toc16556"/>
            <w:bookmarkStart w:id="348" w:name="_Toc156179618"/>
            <w:bookmarkStart w:id="349" w:name="_Toc165093832"/>
            <w:r>
              <w:rPr>
                <w:rFonts w:hint="default" w:ascii="Times New Roman" w:hAnsi="Times New Roman" w:eastAsia="仿宋" w:cs="Times New Roman"/>
                <w:spacing w:val="3"/>
                <w:sz w:val="21"/>
                <w:szCs w:val="21"/>
              </w:rPr>
              <w:t>防</w:t>
            </w:r>
            <w:r>
              <w:rPr>
                <w:rFonts w:hint="default" w:ascii="Times New Roman" w:hAnsi="Times New Roman" w:eastAsia="仿宋" w:cs="Times New Roman"/>
                <w:spacing w:val="2"/>
                <w:sz w:val="21"/>
                <w:szCs w:val="21"/>
              </w:rPr>
              <w:t>治分区</w:t>
            </w:r>
          </w:p>
        </w:tc>
        <w:tc>
          <w:tcPr>
            <w:tcW w:w="78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pacing w:val="6"/>
                <w:sz w:val="21"/>
                <w:szCs w:val="21"/>
              </w:rPr>
              <w:t>水保措施</w:t>
            </w:r>
          </w:p>
        </w:tc>
        <w:tc>
          <w:tcPr>
            <w:tcW w:w="16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pacing w:val="6"/>
                <w:sz w:val="21"/>
                <w:szCs w:val="21"/>
              </w:rPr>
              <w:t>措施名</w:t>
            </w:r>
            <w:r>
              <w:rPr>
                <w:rFonts w:hint="default" w:ascii="Times New Roman" w:hAnsi="Times New Roman" w:eastAsia="仿宋" w:cs="Times New Roman"/>
                <w:spacing w:val="5"/>
                <w:sz w:val="21"/>
                <w:szCs w:val="21"/>
              </w:rPr>
              <w:t>称</w:t>
            </w:r>
          </w:p>
        </w:tc>
        <w:tc>
          <w:tcPr>
            <w:tcW w:w="9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pacing w:val="-1"/>
                <w:sz w:val="21"/>
                <w:szCs w:val="21"/>
              </w:rPr>
              <w:t>单</w:t>
            </w:r>
            <w:r>
              <w:rPr>
                <w:rFonts w:hint="default" w:ascii="Times New Roman" w:hAnsi="Times New Roman" w:eastAsia="仿宋" w:cs="Times New Roman"/>
                <w:sz w:val="21"/>
                <w:szCs w:val="21"/>
              </w:rPr>
              <w:t>位</w:t>
            </w:r>
          </w:p>
        </w:tc>
        <w:tc>
          <w:tcPr>
            <w:tcW w:w="8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pacing w:val="2"/>
                <w:sz w:val="21"/>
                <w:szCs w:val="21"/>
              </w:rPr>
              <w:t>数量</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81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pacing w:val="6"/>
                <w:sz w:val="21"/>
                <w:szCs w:val="21"/>
              </w:rPr>
              <w:t>工程建设区</w:t>
            </w:r>
          </w:p>
        </w:tc>
        <w:tc>
          <w:tcPr>
            <w:tcW w:w="78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pacing w:val="6"/>
                <w:sz w:val="21"/>
                <w:szCs w:val="21"/>
              </w:rPr>
              <w:t>工</w:t>
            </w:r>
            <w:r>
              <w:rPr>
                <w:rFonts w:hint="default" w:ascii="Times New Roman" w:hAnsi="Times New Roman" w:eastAsia="仿宋" w:cs="Times New Roman"/>
                <w:spacing w:val="4"/>
                <w:sz w:val="21"/>
                <w:szCs w:val="21"/>
              </w:rPr>
              <w:t>程措施</w:t>
            </w:r>
          </w:p>
        </w:tc>
        <w:tc>
          <w:tcPr>
            <w:tcW w:w="16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pacing w:val="10"/>
                <w:sz w:val="21"/>
                <w:szCs w:val="21"/>
              </w:rPr>
              <w:t>绿</w:t>
            </w:r>
            <w:r>
              <w:rPr>
                <w:rFonts w:hint="default" w:ascii="Times New Roman" w:hAnsi="Times New Roman" w:eastAsia="仿宋" w:cs="Times New Roman"/>
                <w:spacing w:val="6"/>
                <w:sz w:val="21"/>
                <w:szCs w:val="21"/>
              </w:rPr>
              <w:t>化用土回覆</w:t>
            </w:r>
          </w:p>
        </w:tc>
        <w:tc>
          <w:tcPr>
            <w:tcW w:w="9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m³</w:t>
            </w:r>
          </w:p>
        </w:tc>
        <w:tc>
          <w:tcPr>
            <w:tcW w:w="8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lang w:val="en-US" w:eastAsia="zh-CN"/>
              </w:rPr>
            </w:pPr>
            <w:r>
              <w:rPr>
                <w:rFonts w:hint="eastAsia" w:eastAsia="仿宋" w:cs="Times New Roman"/>
                <w:spacing w:val="3"/>
                <w:sz w:val="21"/>
                <w:szCs w:val="21"/>
                <w:lang w:val="en-US" w:eastAsia="zh-CN"/>
              </w:rPr>
              <w:t>12000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81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rPr>
            </w:pPr>
          </w:p>
        </w:tc>
        <w:tc>
          <w:tcPr>
            <w:tcW w:w="78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rPr>
            </w:pPr>
          </w:p>
        </w:tc>
        <w:tc>
          <w:tcPr>
            <w:tcW w:w="16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pacing w:val="6"/>
                <w:sz w:val="21"/>
                <w:szCs w:val="21"/>
              </w:rPr>
              <w:t>全</w:t>
            </w:r>
            <w:r>
              <w:rPr>
                <w:rFonts w:hint="default" w:ascii="Times New Roman" w:hAnsi="Times New Roman" w:eastAsia="仿宋" w:cs="Times New Roman"/>
                <w:spacing w:val="4"/>
                <w:sz w:val="21"/>
                <w:szCs w:val="21"/>
              </w:rPr>
              <w:t>面整地</w:t>
            </w:r>
          </w:p>
        </w:tc>
        <w:tc>
          <w:tcPr>
            <w:tcW w:w="9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hm²</w:t>
            </w:r>
          </w:p>
        </w:tc>
        <w:tc>
          <w:tcPr>
            <w:tcW w:w="8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lang w:val="en-US" w:eastAsia="zh-CN"/>
              </w:rPr>
            </w:pPr>
            <w:r>
              <w:rPr>
                <w:rFonts w:hint="eastAsia" w:eastAsia="仿宋" w:cs="Times New Roman"/>
                <w:spacing w:val="-2"/>
                <w:sz w:val="21"/>
                <w:szCs w:val="21"/>
                <w:lang w:val="en-US" w:eastAsia="zh-CN"/>
              </w:rPr>
              <w:t>3.99</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81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rPr>
            </w:pPr>
          </w:p>
        </w:tc>
        <w:tc>
          <w:tcPr>
            <w:tcW w:w="78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rPr>
            </w:pPr>
          </w:p>
        </w:tc>
        <w:tc>
          <w:tcPr>
            <w:tcW w:w="16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pacing w:val="6"/>
                <w:sz w:val="21"/>
                <w:szCs w:val="21"/>
              </w:rPr>
              <w:t>雨水管</w:t>
            </w:r>
            <w:r>
              <w:rPr>
                <w:rFonts w:hint="default" w:ascii="Times New Roman" w:hAnsi="Times New Roman" w:eastAsia="仿宋" w:cs="Times New Roman"/>
                <w:spacing w:val="5"/>
                <w:sz w:val="21"/>
                <w:szCs w:val="21"/>
              </w:rPr>
              <w:t>线</w:t>
            </w:r>
          </w:p>
        </w:tc>
        <w:tc>
          <w:tcPr>
            <w:tcW w:w="9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pacing w:val="5"/>
                <w:sz w:val="21"/>
                <w:szCs w:val="21"/>
              </w:rPr>
              <w:t>m</w:t>
            </w:r>
          </w:p>
        </w:tc>
        <w:tc>
          <w:tcPr>
            <w:tcW w:w="8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lang w:val="en-US" w:eastAsia="zh-CN"/>
              </w:rPr>
            </w:pPr>
            <w:r>
              <w:rPr>
                <w:rFonts w:hint="eastAsia" w:eastAsia="仿宋" w:cs="Times New Roman"/>
                <w:sz w:val="21"/>
                <w:szCs w:val="21"/>
                <w:lang w:val="en-US" w:eastAsia="zh-CN"/>
              </w:rPr>
              <w:t>2600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81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rPr>
            </w:pPr>
          </w:p>
        </w:tc>
        <w:tc>
          <w:tcPr>
            <w:tcW w:w="78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rPr>
            </w:pPr>
          </w:p>
        </w:tc>
        <w:tc>
          <w:tcPr>
            <w:tcW w:w="16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lang w:eastAsia="zh-CN"/>
              </w:rPr>
            </w:pPr>
            <w:r>
              <w:rPr>
                <w:rFonts w:hint="eastAsia" w:eastAsia="仿宋" w:cs="Times New Roman"/>
                <w:spacing w:val="-13"/>
                <w:sz w:val="21"/>
                <w:szCs w:val="21"/>
                <w:lang w:eastAsia="zh-CN"/>
              </w:rPr>
              <w:t>雨水口</w:t>
            </w:r>
          </w:p>
        </w:tc>
        <w:tc>
          <w:tcPr>
            <w:tcW w:w="9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个</w:t>
            </w:r>
          </w:p>
        </w:tc>
        <w:tc>
          <w:tcPr>
            <w:tcW w:w="8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lang w:val="en-US" w:eastAsia="zh-CN"/>
              </w:rPr>
            </w:pPr>
            <w:r>
              <w:rPr>
                <w:rFonts w:hint="eastAsia" w:eastAsia="仿宋" w:cs="Times New Roman"/>
                <w:sz w:val="21"/>
                <w:szCs w:val="21"/>
                <w:lang w:val="en-US" w:eastAsia="zh-CN"/>
              </w:rPr>
              <w:t>260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81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rPr>
            </w:pPr>
          </w:p>
        </w:tc>
        <w:tc>
          <w:tcPr>
            <w:tcW w:w="78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pacing w:val="6"/>
                <w:sz w:val="21"/>
                <w:szCs w:val="21"/>
              </w:rPr>
              <w:t>植物措施</w:t>
            </w:r>
          </w:p>
        </w:tc>
        <w:tc>
          <w:tcPr>
            <w:tcW w:w="16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pacing w:val="8"/>
                <w:sz w:val="21"/>
                <w:szCs w:val="21"/>
                <w:lang w:val="en-US" w:eastAsia="zh-CN"/>
              </w:rPr>
              <w:t>绿化</w:t>
            </w:r>
          </w:p>
        </w:tc>
        <w:tc>
          <w:tcPr>
            <w:tcW w:w="9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m</w:t>
            </w:r>
            <w:r>
              <w:rPr>
                <w:rFonts w:hint="default" w:ascii="Times New Roman" w:hAnsi="Times New Roman" w:eastAsia="仿宋" w:cs="Times New Roman"/>
                <w:spacing w:val="8"/>
                <w:sz w:val="21"/>
                <w:szCs w:val="21"/>
              </w:rPr>
              <w:t>²</w:t>
            </w:r>
          </w:p>
        </w:tc>
        <w:tc>
          <w:tcPr>
            <w:tcW w:w="8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kern w:val="2"/>
                <w:sz w:val="21"/>
                <w:szCs w:val="21"/>
                <w:lang w:val="en-US" w:eastAsia="zh-CN" w:bidi="ar-SA"/>
              </w:rPr>
            </w:pPr>
            <w:r>
              <w:rPr>
                <w:rFonts w:hint="eastAsia" w:eastAsia="仿宋" w:cs="Times New Roman"/>
                <w:spacing w:val="2"/>
                <w:sz w:val="21"/>
                <w:szCs w:val="21"/>
                <w:lang w:eastAsia="zh-CN"/>
              </w:rPr>
              <w:t>39933.28</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81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rPr>
            </w:pPr>
          </w:p>
        </w:tc>
        <w:tc>
          <w:tcPr>
            <w:tcW w:w="78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临时措施</w:t>
            </w:r>
          </w:p>
        </w:tc>
        <w:tc>
          <w:tcPr>
            <w:tcW w:w="16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pacing w:val="8"/>
                <w:sz w:val="21"/>
                <w:szCs w:val="21"/>
                <w:lang w:val="en-US" w:eastAsia="zh-CN"/>
              </w:rPr>
            </w:pPr>
            <w:r>
              <w:rPr>
                <w:rFonts w:hint="default" w:ascii="Times New Roman" w:hAnsi="Times New Roman" w:eastAsia="仿宋" w:cs="Times New Roman"/>
                <w:spacing w:val="8"/>
                <w:sz w:val="21"/>
                <w:szCs w:val="21"/>
                <w:lang w:val="en-US" w:eastAsia="zh-CN"/>
              </w:rPr>
              <w:t>编织袋砌筑</w:t>
            </w:r>
          </w:p>
        </w:tc>
        <w:tc>
          <w:tcPr>
            <w:tcW w:w="9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m</w:t>
            </w:r>
            <w:r>
              <w:rPr>
                <w:rFonts w:hint="default" w:ascii="Times New Roman" w:hAnsi="Times New Roman" w:eastAsia="仿宋" w:cs="Times New Roman"/>
                <w:spacing w:val="8"/>
                <w:sz w:val="21"/>
                <w:szCs w:val="21"/>
              </w:rPr>
              <w:t>²</w:t>
            </w:r>
          </w:p>
        </w:tc>
        <w:tc>
          <w:tcPr>
            <w:tcW w:w="8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eastAsia="仿宋" w:cs="Times New Roman"/>
                <w:sz w:val="21"/>
                <w:szCs w:val="21"/>
                <w:lang w:val="en-US" w:eastAsia="zh-CN"/>
              </w:rPr>
            </w:pPr>
            <w:r>
              <w:rPr>
                <w:rFonts w:hint="eastAsia" w:eastAsia="仿宋" w:cs="Times New Roman"/>
                <w:sz w:val="21"/>
                <w:szCs w:val="21"/>
                <w:lang w:val="en-US" w:eastAsia="zh-CN"/>
              </w:rPr>
              <w:t>31.5</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81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rPr>
            </w:pPr>
          </w:p>
        </w:tc>
        <w:tc>
          <w:tcPr>
            <w:tcW w:w="78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lang w:val="en-US" w:eastAsia="zh-CN"/>
              </w:rPr>
            </w:pPr>
          </w:p>
        </w:tc>
        <w:tc>
          <w:tcPr>
            <w:tcW w:w="16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pacing w:val="8"/>
                <w:sz w:val="21"/>
                <w:szCs w:val="21"/>
                <w:lang w:val="en-US" w:eastAsia="zh-CN"/>
              </w:rPr>
            </w:pPr>
            <w:r>
              <w:rPr>
                <w:rFonts w:hint="default" w:ascii="Times New Roman" w:hAnsi="Times New Roman" w:eastAsia="仿宋" w:cs="Times New Roman"/>
                <w:spacing w:val="8"/>
                <w:sz w:val="21"/>
                <w:szCs w:val="21"/>
                <w:lang w:val="en-US" w:eastAsia="zh-CN"/>
              </w:rPr>
              <w:t>编织袋拆除</w:t>
            </w:r>
          </w:p>
        </w:tc>
        <w:tc>
          <w:tcPr>
            <w:tcW w:w="9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m</w:t>
            </w:r>
            <w:r>
              <w:rPr>
                <w:rFonts w:hint="default" w:ascii="Times New Roman" w:hAnsi="Times New Roman" w:eastAsia="仿宋" w:cs="Times New Roman"/>
                <w:spacing w:val="8"/>
                <w:sz w:val="21"/>
                <w:szCs w:val="21"/>
              </w:rPr>
              <w:t>²</w:t>
            </w:r>
          </w:p>
        </w:tc>
        <w:tc>
          <w:tcPr>
            <w:tcW w:w="8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eastAsia="仿宋" w:cs="Times New Roman"/>
                <w:sz w:val="21"/>
                <w:szCs w:val="21"/>
                <w:lang w:val="en-US" w:eastAsia="zh-CN"/>
              </w:rPr>
            </w:pPr>
            <w:r>
              <w:rPr>
                <w:rFonts w:hint="eastAsia" w:eastAsia="仿宋" w:cs="Times New Roman"/>
                <w:sz w:val="21"/>
                <w:szCs w:val="21"/>
                <w:lang w:val="en-US" w:eastAsia="zh-CN"/>
              </w:rPr>
              <w:t>31.5</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81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rPr>
            </w:pPr>
          </w:p>
        </w:tc>
        <w:tc>
          <w:tcPr>
            <w:tcW w:w="78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lang w:val="en-US" w:eastAsia="zh-CN"/>
              </w:rPr>
            </w:pPr>
          </w:p>
        </w:tc>
        <w:tc>
          <w:tcPr>
            <w:tcW w:w="16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pacing w:val="6"/>
                <w:kern w:val="2"/>
                <w:sz w:val="21"/>
                <w:szCs w:val="21"/>
                <w:lang w:val="en-US" w:eastAsia="zh-CN" w:bidi="ar-SA"/>
              </w:rPr>
            </w:pPr>
            <w:r>
              <w:rPr>
                <w:rFonts w:hint="default" w:ascii="Times New Roman" w:hAnsi="Times New Roman" w:eastAsia="仿宋" w:cs="Times New Roman"/>
                <w:spacing w:val="6"/>
                <w:sz w:val="21"/>
                <w:szCs w:val="21"/>
                <w:lang w:val="en-US" w:eastAsia="zh-CN"/>
              </w:rPr>
              <w:t>密目网苫盖</w:t>
            </w:r>
          </w:p>
        </w:tc>
        <w:tc>
          <w:tcPr>
            <w:tcW w:w="9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m</w:t>
            </w:r>
            <w:r>
              <w:rPr>
                <w:rFonts w:hint="default" w:ascii="Times New Roman" w:hAnsi="Times New Roman" w:eastAsia="仿宋" w:cs="Times New Roman"/>
                <w:spacing w:val="8"/>
                <w:sz w:val="21"/>
                <w:szCs w:val="21"/>
              </w:rPr>
              <w:t>²</w:t>
            </w:r>
          </w:p>
        </w:tc>
        <w:tc>
          <w:tcPr>
            <w:tcW w:w="8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kern w:val="2"/>
                <w:sz w:val="21"/>
                <w:szCs w:val="21"/>
                <w:lang w:val="en-US" w:eastAsia="zh-CN" w:bidi="ar-SA"/>
              </w:rPr>
            </w:pPr>
            <w:r>
              <w:rPr>
                <w:rFonts w:hint="eastAsia" w:eastAsia="仿宋" w:cs="Times New Roman"/>
                <w:sz w:val="21"/>
                <w:szCs w:val="21"/>
                <w:lang w:val="en-US" w:eastAsia="zh-CN"/>
              </w:rPr>
              <w:t>2965</w:t>
            </w:r>
          </w:p>
        </w:tc>
      </w:tr>
    </w:tbl>
    <w:p>
      <w:pPr>
        <w:pStyle w:val="5"/>
        <w:bidi w:val="0"/>
        <w:rPr>
          <w:rFonts w:hint="default" w:ascii="Times New Roman" w:hAnsi="Times New Roman" w:cs="Times New Roman"/>
        </w:rPr>
      </w:pPr>
      <w:bookmarkStart w:id="350" w:name="_Toc25943"/>
      <w:r>
        <w:rPr>
          <w:rFonts w:hint="default" w:ascii="Times New Roman" w:hAnsi="Times New Roman" w:cs="Times New Roman"/>
        </w:rPr>
        <w:t>5.</w:t>
      </w:r>
      <w:r>
        <w:rPr>
          <w:rFonts w:hint="default" w:ascii="Times New Roman" w:hAnsi="Times New Roman" w:cs="Times New Roman"/>
          <w:lang w:val="en-US" w:eastAsia="zh-CN"/>
        </w:rPr>
        <w:t>4</w:t>
      </w:r>
      <w:r>
        <w:rPr>
          <w:rFonts w:hint="default" w:ascii="Times New Roman" w:hAnsi="Times New Roman" w:cs="Times New Roman"/>
        </w:rPr>
        <w:t>施工要求</w:t>
      </w:r>
      <w:bookmarkEnd w:id="346"/>
      <w:bookmarkEnd w:id="347"/>
      <w:bookmarkEnd w:id="350"/>
    </w:p>
    <w:p>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5.4.1施工组织形式</w:t>
      </w:r>
      <w:bookmarkEnd w:id="348"/>
      <w:bookmarkEnd w:id="349"/>
    </w:p>
    <w:p>
      <w:pPr>
        <w:pageBreakBefore w:val="0"/>
        <w:kinsoku/>
        <w:wordWrap/>
        <w:bidi w:val="0"/>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水土保持防治措施是对工程建设过程中可能产生的水土流失的采用预防和治理措施，是对主体工程的补充，水土保持防治工程纳入主体工程，实行项目法人制，招标投标制及项目监理制，对</w:t>
      </w:r>
      <w:r>
        <w:rPr>
          <w:rFonts w:hint="default" w:ascii="Times New Roman" w:hAnsi="Times New Roman" w:eastAsia="仿宋_GB2312" w:cs="Times New Roman"/>
          <w:sz w:val="24"/>
          <w:highlight w:val="none"/>
          <w:lang w:eastAsia="zh-CN"/>
        </w:rPr>
        <w:t>本期项目</w:t>
      </w:r>
      <w:r>
        <w:rPr>
          <w:rFonts w:hint="default" w:ascii="Times New Roman" w:hAnsi="Times New Roman" w:eastAsia="仿宋_GB2312" w:cs="Times New Roman"/>
          <w:sz w:val="24"/>
          <w:highlight w:val="none"/>
        </w:rPr>
        <w:t>的水土保持工程进行招标，签订施工合同，按照设计施工合同完成防治工程。</w:t>
      </w:r>
    </w:p>
    <w:p>
      <w:pPr>
        <w:pStyle w:val="6"/>
        <w:bidi w:val="0"/>
        <w:rPr>
          <w:rFonts w:hint="default" w:ascii="Times New Roman" w:hAnsi="Times New Roman" w:cs="Times New Roman"/>
          <w:lang w:val="en-US" w:eastAsia="zh-CN"/>
        </w:rPr>
      </w:pPr>
      <w:bookmarkStart w:id="351" w:name="_Toc156179619"/>
      <w:bookmarkStart w:id="352" w:name="_Toc165093833"/>
      <w:r>
        <w:rPr>
          <w:rFonts w:hint="default" w:ascii="Times New Roman" w:hAnsi="Times New Roman" w:cs="Times New Roman"/>
          <w:lang w:val="en-US" w:eastAsia="zh-CN"/>
        </w:rPr>
        <w:t>5.4.2物资采购</w:t>
      </w:r>
      <w:bookmarkEnd w:id="351"/>
      <w:bookmarkEnd w:id="352"/>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bookmarkStart w:id="353" w:name="_Toc156179620"/>
      <w:bookmarkStart w:id="354" w:name="_Toc165093834"/>
      <w:r>
        <w:rPr>
          <w:rFonts w:hint="default" w:ascii="Times New Roman" w:hAnsi="Times New Roman" w:eastAsia="仿宋_GB2312" w:cs="Times New Roman"/>
          <w:sz w:val="24"/>
          <w:szCs w:val="24"/>
        </w:rPr>
        <w:t>水土保持防治工程所需各种材料就近购买，主要的草坪等在长春市二道区周边的市场采购。在材料购买合同中明确水土流失防治责任由供应商方负责，不纳入本方案的防治责任范围。</w:t>
      </w:r>
    </w:p>
    <w:p>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5.4.3施工条件</w:t>
      </w:r>
      <w:bookmarkEnd w:id="353"/>
      <w:bookmarkEnd w:id="354"/>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bookmarkStart w:id="355" w:name="_Toc156179621"/>
      <w:bookmarkStart w:id="356" w:name="_Toc165093835"/>
      <w:r>
        <w:rPr>
          <w:rFonts w:hint="default" w:ascii="Times New Roman" w:hAnsi="Times New Roman" w:eastAsia="仿宋_GB2312" w:cs="Times New Roman"/>
          <w:sz w:val="24"/>
          <w:szCs w:val="24"/>
        </w:rPr>
        <w:t>水土保持防治工程是与主体工程同一区域施工，场地内外的交通便利可以满足施工材料运输的需要。水土保持工程施工用水和用电量相对较小，施工用水用电可由主体工程供水供电系统统一供应。</w:t>
      </w:r>
    </w:p>
    <w:p>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5.4.4水土保持工程施工</w:t>
      </w:r>
      <w:bookmarkEnd w:id="355"/>
      <w:bookmarkEnd w:id="356"/>
      <w:r>
        <w:rPr>
          <w:rFonts w:hint="default" w:ascii="Times New Roman" w:hAnsi="Times New Roman" w:cs="Times New Roman"/>
          <w:lang w:val="en-US" w:eastAsia="zh-CN"/>
        </w:rPr>
        <w:t>方法</w:t>
      </w:r>
    </w:p>
    <w:p>
      <w:pPr>
        <w:pageBreakBefore w:val="0"/>
        <w:kinsoku/>
        <w:wordWrap/>
        <w:bidi w:val="0"/>
        <w:spacing w:line="360" w:lineRule="auto"/>
        <w:ind w:firstLine="480" w:firstLineChars="200"/>
        <w:rPr>
          <w:rFonts w:hint="default" w:ascii="Times New Roman" w:hAnsi="Times New Roman" w:eastAsia="仿宋_GB2312" w:cs="Times New Roman"/>
          <w:sz w:val="24"/>
          <w:highlight w:val="none"/>
        </w:rPr>
      </w:pPr>
      <w:bookmarkStart w:id="357" w:name="OLE_LINK31"/>
      <w:bookmarkStart w:id="358" w:name="_Toc156179622"/>
      <w:bookmarkStart w:id="359" w:name="_Toc165093836"/>
      <w:r>
        <w:rPr>
          <w:rFonts w:hint="default" w:ascii="Times New Roman" w:hAnsi="Times New Roman" w:eastAsia="仿宋_GB2312" w:cs="Times New Roman"/>
          <w:sz w:val="24"/>
          <w:highlight w:val="none"/>
          <w:lang w:eastAsia="zh-CN"/>
        </w:rPr>
        <w:t>本期项目</w:t>
      </w:r>
      <w:r>
        <w:rPr>
          <w:rFonts w:hint="default" w:ascii="Times New Roman" w:hAnsi="Times New Roman" w:eastAsia="仿宋_GB2312" w:cs="Times New Roman"/>
          <w:sz w:val="24"/>
          <w:highlight w:val="none"/>
        </w:rPr>
        <w:t>水土流失防治措施主要为全面整地、绿化用土回覆、</w:t>
      </w:r>
      <w:r>
        <w:rPr>
          <w:rFonts w:hint="default" w:ascii="Times New Roman" w:hAnsi="Times New Roman" w:eastAsia="仿宋_GB2312" w:cs="Times New Roman"/>
          <w:sz w:val="24"/>
          <w:highlight w:val="none"/>
          <w:lang w:val="en-US" w:eastAsia="zh-CN"/>
        </w:rPr>
        <w:t>雨水管线、</w:t>
      </w:r>
      <w:r>
        <w:rPr>
          <w:rFonts w:hint="default" w:ascii="Times New Roman" w:hAnsi="Times New Roman" w:eastAsia="仿宋_GB2312" w:cs="Times New Roman"/>
          <w:sz w:val="24"/>
          <w:highlight w:val="none"/>
        </w:rPr>
        <w:t>绿化</w:t>
      </w:r>
      <w:r>
        <w:rPr>
          <w:rFonts w:hint="default" w:ascii="Times New Roman" w:hAnsi="Times New Roman" w:eastAsia="仿宋_GB2312" w:cs="Times New Roman"/>
          <w:sz w:val="24"/>
          <w:highlight w:val="none"/>
          <w:lang w:val="en-US" w:eastAsia="zh-CN"/>
        </w:rPr>
        <w:t>和</w:t>
      </w:r>
      <w:r>
        <w:rPr>
          <w:rFonts w:hint="default" w:ascii="Times New Roman" w:hAnsi="Times New Roman" w:eastAsia="仿宋_GB2312" w:cs="Times New Roman"/>
          <w:sz w:val="24"/>
          <w:highlight w:val="none"/>
        </w:rPr>
        <w:t>洗车槽。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rPr>
        <w:t>（1）</w:t>
      </w:r>
      <w:r>
        <w:rPr>
          <w:rFonts w:hint="default" w:ascii="Times New Roman" w:hAnsi="Times New Roman" w:eastAsia="仿宋_GB2312" w:cs="Times New Roman"/>
          <w:sz w:val="24"/>
          <w:szCs w:val="24"/>
          <w:lang w:val="en-US" w:eastAsia="zh-CN"/>
        </w:rPr>
        <w:t>雨水管线</w:t>
      </w:r>
    </w:p>
    <w:p>
      <w:pPr>
        <w:pageBreakBefore w:val="0"/>
        <w:kinsoku/>
        <w:wordWrap/>
        <w:bidi w:val="0"/>
        <w:spacing w:line="360" w:lineRule="auto"/>
        <w:ind w:firstLine="480" w:firstLineChars="200"/>
        <w:rPr>
          <w:rFonts w:hint="default" w:ascii="Times New Roman" w:hAnsi="Times New Roman" w:eastAsia="仿宋_GB2312" w:cs="Times New Roman"/>
          <w:color w:val="auto"/>
          <w:sz w:val="24"/>
        </w:rPr>
      </w:pPr>
      <w:r>
        <w:rPr>
          <w:rFonts w:hint="default" w:ascii="Times New Roman" w:hAnsi="Times New Roman" w:eastAsia="仿宋_GB2312" w:cs="Times New Roman"/>
          <w:sz w:val="24"/>
          <w:szCs w:val="28"/>
          <w:highlight w:val="none"/>
        </w:rPr>
        <w:t>管道敷设由机械辅助人工安装进行</w:t>
      </w:r>
      <w:r>
        <w:rPr>
          <w:rFonts w:hint="default" w:ascii="Times New Roman" w:hAnsi="Times New Roman" w:eastAsia="仿宋_GB2312" w:cs="Times New Roman"/>
          <w:sz w:val="24"/>
          <w:szCs w:val="28"/>
          <w:highlight w:val="none"/>
          <w:lang w:eastAsia="zh-CN"/>
        </w:rPr>
        <w:t>，</w:t>
      </w:r>
      <w:r>
        <w:rPr>
          <w:rFonts w:hint="default" w:ascii="Times New Roman" w:hAnsi="Times New Roman" w:eastAsia="仿宋_GB2312" w:cs="Times New Roman"/>
          <w:sz w:val="24"/>
          <w:szCs w:val="28"/>
          <w:highlight w:val="none"/>
        </w:rPr>
        <w:t>管道拟采用砂垫层基础，根据当地情况做到就地取材，管道下部采用20cm中粗砂作为管道基础</w:t>
      </w:r>
      <w:r>
        <w:rPr>
          <w:rFonts w:hint="default" w:ascii="Times New Roman" w:hAnsi="Times New Roman" w:eastAsia="仿宋_GB2312" w:cs="Times New Roman"/>
          <w:sz w:val="24"/>
          <w:szCs w:val="28"/>
          <w:highlight w:val="none"/>
          <w:lang w:eastAsia="zh-CN"/>
        </w:rPr>
        <w:t>。</w:t>
      </w:r>
      <w:r>
        <w:rPr>
          <w:rFonts w:hint="default" w:ascii="Times New Roman" w:hAnsi="Times New Roman" w:eastAsia="仿宋_GB2312" w:cs="Times New Roman"/>
          <w:color w:val="auto"/>
          <w:sz w:val="24"/>
        </w:rPr>
        <w:t>沟槽开挖深2m</w:t>
      </w:r>
      <w:r>
        <w:rPr>
          <w:rFonts w:hint="default" w:ascii="Times New Roman" w:hAnsi="Times New Roman" w:eastAsia="仿宋_GB2312" w:cs="Times New Roman"/>
          <w:color w:val="auto"/>
          <w:sz w:val="24"/>
          <w:lang w:eastAsia="zh-CN"/>
        </w:rPr>
        <w:t>，</w:t>
      </w:r>
      <w:r>
        <w:rPr>
          <w:rFonts w:hint="default" w:ascii="Times New Roman" w:hAnsi="Times New Roman" w:eastAsia="仿宋_GB2312" w:cs="Times New Roman"/>
          <w:color w:val="auto"/>
          <w:sz w:val="24"/>
        </w:rPr>
        <w:t>底宽1.0m</w:t>
      </w:r>
      <w:r>
        <w:rPr>
          <w:rFonts w:hint="default" w:ascii="Times New Roman" w:hAnsi="Times New Roman" w:eastAsia="仿宋_GB2312" w:cs="Times New Roman"/>
          <w:color w:val="auto"/>
          <w:sz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（2）绿化用土回覆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首先清除施工扰动区域内的杂物，对覆土区域场地进行平整。</w:t>
      </w:r>
      <w:r>
        <w:rPr>
          <w:rFonts w:hint="default" w:ascii="Times New Roman" w:hAnsi="Times New Roman" w:eastAsia="仿宋_GB2312" w:cs="Times New Roman"/>
          <w:sz w:val="24"/>
          <w:szCs w:val="24"/>
          <w:lang w:eastAsia="zh-CN"/>
        </w:rPr>
        <w:t>本期项目</w:t>
      </w:r>
      <w:r>
        <w:rPr>
          <w:rFonts w:hint="default" w:ascii="Times New Roman" w:hAnsi="Times New Roman" w:eastAsia="仿宋_GB2312" w:cs="Times New Roman"/>
          <w:sz w:val="24"/>
          <w:szCs w:val="24"/>
        </w:rPr>
        <w:t>覆土来源于项目地下建筑物开挖的土方，采用机械施工为主，人力施工为辅的方式，采用74kW推土机推土，推至回填位置，边角或机械难实施区域采用人工回覆，覆土深度为0.30m。</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3</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全面整地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全面整地在土建施工结束后，植物措施开始前进行。首先清除施工扰动区域内的建筑垃圾，人力施工对场地进行平整，高挖低填，但要保证有2‰～4‰的排水坡度。然后采用机械施工，耕深0.3m。部分机械施工困难区段采用人工翻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4</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绿化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eastAsia="zh-CN"/>
        </w:rPr>
        <w:t>本期项目</w:t>
      </w:r>
      <w:r>
        <w:rPr>
          <w:rFonts w:hint="default" w:ascii="Times New Roman" w:hAnsi="Times New Roman" w:eastAsia="仿宋_GB2312" w:cs="Times New Roman"/>
          <w:sz w:val="24"/>
          <w:szCs w:val="24"/>
        </w:rPr>
        <w:t>坚持点，线，面相结合的绿化原则，尽可能提高项目区内部绿化率，采取乔木，灌木和草坪高中低混值形式，构成立体绿色空间，充分发挥绿地的防护</w:t>
      </w:r>
      <w:r>
        <w:rPr>
          <w:rFonts w:hint="default" w:ascii="Times New Roman" w:hAnsi="Times New Roman" w:eastAsia="仿宋_GB2312" w:cs="Times New Roman"/>
          <w:sz w:val="24"/>
          <w:szCs w:val="24"/>
          <w:lang w:eastAsia="zh-CN"/>
        </w:rPr>
        <w:t>。</w:t>
      </w:r>
    </w:p>
    <w:bookmarkEnd w:id="357"/>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5</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密目网苫盖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rPr>
        <w:t>工程施工过程中应加强临时防护措施，对开挖的土石方时进行苫盖，边角用编织袋填筑压实。</w:t>
      </w:r>
    </w:p>
    <w:p>
      <w:pPr>
        <w:pStyle w:val="6"/>
        <w:keepNext/>
        <w:keepLines/>
        <w:pageBreakBefore w:val="0"/>
        <w:widowControl w:val="0"/>
        <w:kinsoku/>
        <w:wordWrap/>
        <w:overflowPunct/>
        <w:topLinePunct w:val="0"/>
        <w:autoSpaceDE/>
        <w:autoSpaceDN/>
        <w:bidi w:val="0"/>
        <w:adjustRightInd/>
        <w:snapToGrid/>
        <w:ind w:left="0" w:firstLine="0"/>
        <w:textAlignment w:val="auto"/>
        <w:rPr>
          <w:rFonts w:hint="default" w:ascii="Times New Roman" w:hAnsi="Times New Roman" w:eastAsia="仿宋_GB2312" w:cs="Times New Roman"/>
          <w:b/>
          <w:bCs/>
          <w:lang w:val="en-US" w:eastAsia="zh-CN"/>
        </w:rPr>
      </w:pPr>
      <w:r>
        <w:rPr>
          <w:rFonts w:hint="default" w:ascii="Times New Roman" w:hAnsi="Times New Roman" w:eastAsia="仿宋_GB2312" w:cs="Times New Roman"/>
          <w:b/>
          <w:bCs/>
          <w:lang w:val="en-US" w:eastAsia="zh-CN"/>
        </w:rPr>
        <w:t>5.4.</w:t>
      </w:r>
      <w:r>
        <w:rPr>
          <w:rFonts w:hint="default" w:ascii="Times New Roman" w:hAnsi="Times New Roman" w:cs="Times New Roman"/>
          <w:b/>
          <w:bCs/>
          <w:lang w:val="en-US" w:eastAsia="zh-CN"/>
        </w:rPr>
        <w:t>5</w:t>
      </w:r>
      <w:r>
        <w:rPr>
          <w:rFonts w:hint="default" w:ascii="Times New Roman" w:hAnsi="Times New Roman" w:eastAsia="仿宋_GB2312" w:cs="Times New Roman"/>
          <w:b/>
          <w:bCs/>
          <w:lang w:val="en-US" w:eastAsia="zh-CN"/>
        </w:rPr>
        <w:t>施工进度</w:t>
      </w:r>
      <w:bookmarkEnd w:id="358"/>
      <w:bookmarkEnd w:id="359"/>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根据主体工程施工进度安排，结合各水土流失防治分区所采取的水土保持措施，以尽量减少工程施工期间的水土流失为宗旨，安排水土流失防治分区的水土保持措施实施进度，水土保持工程措施施工要尽量避开雨季和河流汛期，植物措施尽量选择合适的季节。确定水土保持措施分年度实施计划见表5-4，实施进度双横道图见图5-2。</w:t>
      </w:r>
    </w:p>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rPr>
      </w:pPr>
      <w:r>
        <w:rPr>
          <w:rFonts w:hint="default" w:ascii="Times New Roman" w:hAnsi="Times New Roman" w:eastAsia="微软雅黑" w:cs="Times New Roman"/>
        </w:rPr>
        <w:t>表5-4</w:t>
      </w:r>
      <w:r>
        <w:rPr>
          <w:rFonts w:hint="default" w:ascii="Times New Roman" w:hAnsi="Times New Roman" w:eastAsia="微软雅黑" w:cs="Times New Roman"/>
          <w:lang w:val="en-US" w:eastAsia="zh-CN"/>
        </w:rPr>
        <w:t xml:space="preserve">  </w:t>
      </w:r>
      <w:r>
        <w:rPr>
          <w:rFonts w:hint="default" w:ascii="Times New Roman" w:hAnsi="Times New Roman" w:eastAsia="微软雅黑" w:cs="Times New Roman"/>
        </w:rPr>
        <w:t>水土保持措施分年度实施计划</w:t>
      </w:r>
    </w:p>
    <w:tbl>
      <w:tblPr>
        <w:tblStyle w:val="88"/>
        <w:tblW w:w="4998"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52"/>
        <w:gridCol w:w="1280"/>
        <w:gridCol w:w="1846"/>
        <w:gridCol w:w="776"/>
        <w:gridCol w:w="873"/>
        <w:gridCol w:w="1314"/>
        <w:gridCol w:w="1280"/>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PrEx>
        <w:trPr>
          <w:trHeight w:val="340" w:hRule="atLeast"/>
          <w:jc w:val="center"/>
        </w:trPr>
        <w:tc>
          <w:tcPr>
            <w:tcW w:w="726" w:type="pct"/>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kern w:val="0"/>
                <w:sz w:val="21"/>
                <w:szCs w:val="21"/>
                <w:highlight w:val="none"/>
                <w:lang w:bidi="ar"/>
              </w:rPr>
              <w:t>防治分区</w:t>
            </w:r>
          </w:p>
        </w:tc>
        <w:tc>
          <w:tcPr>
            <w:tcW w:w="742" w:type="pct"/>
            <w:vMerge w:val="restar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kern w:val="0"/>
                <w:sz w:val="21"/>
                <w:szCs w:val="21"/>
                <w:highlight w:val="none"/>
                <w:lang w:bidi="ar"/>
              </w:rPr>
              <w:t>措施体系</w:t>
            </w:r>
          </w:p>
        </w:tc>
        <w:tc>
          <w:tcPr>
            <w:tcW w:w="1070" w:type="pct"/>
            <w:vMerge w:val="restar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kern w:val="0"/>
                <w:sz w:val="21"/>
                <w:szCs w:val="21"/>
                <w:highlight w:val="none"/>
                <w:lang w:bidi="ar"/>
              </w:rPr>
              <w:t>防治措施</w:t>
            </w:r>
          </w:p>
        </w:tc>
        <w:tc>
          <w:tcPr>
            <w:tcW w:w="450" w:type="pct"/>
            <w:vMerge w:val="restar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kern w:val="0"/>
                <w:sz w:val="21"/>
                <w:szCs w:val="21"/>
                <w:highlight w:val="none"/>
                <w:lang w:bidi="ar"/>
              </w:rPr>
              <w:t>单位</w:t>
            </w:r>
          </w:p>
        </w:tc>
        <w:tc>
          <w:tcPr>
            <w:tcW w:w="506" w:type="pct"/>
            <w:vMerge w:val="restar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kern w:val="0"/>
                <w:sz w:val="21"/>
                <w:szCs w:val="21"/>
                <w:highlight w:val="none"/>
                <w:lang w:bidi="ar"/>
              </w:rPr>
              <w:t>工程量</w:t>
            </w:r>
          </w:p>
        </w:tc>
        <w:tc>
          <w:tcPr>
            <w:tcW w:w="1504" w:type="pct"/>
            <w:gridSpan w:val="2"/>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kern w:val="0"/>
                <w:sz w:val="21"/>
                <w:szCs w:val="21"/>
                <w:highlight w:val="none"/>
                <w:lang w:bidi="ar"/>
              </w:rPr>
            </w:pPr>
            <w:r>
              <w:rPr>
                <w:rFonts w:hint="default" w:ascii="Times New Roman" w:hAnsi="Times New Roman" w:eastAsia="仿宋_GB2312" w:cs="Times New Roman"/>
                <w:kern w:val="0"/>
                <w:sz w:val="21"/>
                <w:szCs w:val="21"/>
                <w:highlight w:val="none"/>
                <w:lang w:bidi="ar"/>
              </w:rPr>
              <w:t>实施年度</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6"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sz w:val="21"/>
                <w:szCs w:val="21"/>
                <w:highlight w:val="none"/>
              </w:rPr>
            </w:pPr>
          </w:p>
        </w:tc>
        <w:tc>
          <w:tcPr>
            <w:tcW w:w="742" w:type="pct"/>
            <w:vMerge w:val="continue"/>
            <w:tcBorders>
              <w:tl2br w:val="nil"/>
              <w:tr2bl w:val="nil"/>
            </w:tcBorders>
            <w:shd w:val="clear" w:color="auto" w:fill="auto"/>
            <w:noWrap/>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sz w:val="21"/>
                <w:szCs w:val="21"/>
                <w:highlight w:val="none"/>
              </w:rPr>
            </w:pPr>
          </w:p>
        </w:tc>
        <w:tc>
          <w:tcPr>
            <w:tcW w:w="1070" w:type="pct"/>
            <w:vMerge w:val="continue"/>
            <w:tcBorders>
              <w:tl2br w:val="nil"/>
              <w:tr2bl w:val="nil"/>
            </w:tcBorders>
            <w:shd w:val="clear" w:color="auto" w:fill="auto"/>
            <w:noWrap/>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sz w:val="21"/>
                <w:szCs w:val="21"/>
                <w:highlight w:val="none"/>
              </w:rPr>
            </w:pPr>
          </w:p>
        </w:tc>
        <w:tc>
          <w:tcPr>
            <w:tcW w:w="450" w:type="pct"/>
            <w:vMerge w:val="continue"/>
            <w:tcBorders>
              <w:tl2br w:val="nil"/>
              <w:tr2bl w:val="nil"/>
            </w:tcBorders>
            <w:shd w:val="clear" w:color="auto" w:fill="auto"/>
            <w:noWrap/>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sz w:val="21"/>
                <w:szCs w:val="21"/>
                <w:highlight w:val="none"/>
              </w:rPr>
            </w:pPr>
          </w:p>
        </w:tc>
        <w:tc>
          <w:tcPr>
            <w:tcW w:w="506" w:type="pct"/>
            <w:vMerge w:val="continue"/>
            <w:tcBorders>
              <w:tl2br w:val="nil"/>
              <w:tr2bl w:val="nil"/>
            </w:tcBorders>
            <w:shd w:val="clear" w:color="auto" w:fill="auto"/>
            <w:noWrap/>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sz w:val="21"/>
                <w:szCs w:val="21"/>
                <w:highlight w:val="none"/>
              </w:rPr>
            </w:pPr>
          </w:p>
        </w:tc>
        <w:tc>
          <w:tcPr>
            <w:tcW w:w="762"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eastAsia" w:ascii="Times New Roman" w:hAnsi="Times New Roman" w:eastAsia="宋体" w:cs="Times New Roman"/>
                <w:sz w:val="21"/>
                <w:szCs w:val="21"/>
                <w:highlight w:val="none"/>
                <w:lang w:val="en-US" w:eastAsia="zh-CN"/>
              </w:rPr>
            </w:pPr>
            <w:r>
              <w:rPr>
                <w:rFonts w:hint="default" w:ascii="Times New Roman" w:hAnsi="Times New Roman" w:cs="Times New Roman"/>
                <w:kern w:val="0"/>
                <w:sz w:val="21"/>
                <w:szCs w:val="21"/>
                <w:highlight w:val="none"/>
                <w:lang w:bidi="ar"/>
              </w:rPr>
              <w:t>202</w:t>
            </w:r>
            <w:r>
              <w:rPr>
                <w:rFonts w:hint="eastAsia" w:cs="Times New Roman"/>
                <w:kern w:val="0"/>
                <w:sz w:val="21"/>
                <w:szCs w:val="21"/>
                <w:highlight w:val="none"/>
                <w:lang w:val="en-US" w:eastAsia="zh-CN" w:bidi="ar"/>
              </w:rPr>
              <w:t>3</w:t>
            </w:r>
          </w:p>
        </w:tc>
        <w:tc>
          <w:tcPr>
            <w:tcW w:w="741"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eastAsia" w:ascii="Times New Roman" w:hAnsi="Times New Roman" w:eastAsia="宋体" w:cs="Times New Roman"/>
                <w:sz w:val="21"/>
                <w:szCs w:val="21"/>
                <w:highlight w:val="none"/>
                <w:lang w:val="en-US" w:eastAsia="zh-CN"/>
              </w:rPr>
            </w:pPr>
            <w:r>
              <w:rPr>
                <w:rFonts w:hint="default" w:ascii="Times New Roman" w:hAnsi="Times New Roman" w:cs="Times New Roman"/>
                <w:kern w:val="0"/>
                <w:sz w:val="21"/>
                <w:szCs w:val="21"/>
                <w:highlight w:val="none"/>
                <w:lang w:bidi="ar"/>
              </w:rPr>
              <w:t>202</w:t>
            </w:r>
            <w:r>
              <w:rPr>
                <w:rFonts w:hint="eastAsia" w:cs="Times New Roman"/>
                <w:kern w:val="0"/>
                <w:sz w:val="21"/>
                <w:szCs w:val="21"/>
                <w:highlight w:val="none"/>
                <w:lang w:val="en-US" w:eastAsia="zh-CN" w:bidi="ar"/>
              </w:rPr>
              <w:t>4</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6" w:type="pct"/>
            <w:vMerge w:val="restar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sz w:val="21"/>
                <w:szCs w:val="21"/>
                <w:highlight w:val="none"/>
                <w:lang w:val="en-US" w:eastAsia="zh-CN"/>
              </w:rPr>
            </w:pPr>
            <w:r>
              <w:rPr>
                <w:rFonts w:hint="default" w:ascii="Times New Roman" w:hAnsi="Times New Roman" w:eastAsia="仿宋_GB2312" w:cs="Times New Roman"/>
                <w:sz w:val="21"/>
                <w:szCs w:val="21"/>
                <w:highlight w:val="none"/>
                <w:lang w:val="en-US" w:eastAsia="zh-CN"/>
              </w:rPr>
              <w:t>工程建设区</w:t>
            </w:r>
          </w:p>
        </w:tc>
        <w:tc>
          <w:tcPr>
            <w:tcW w:w="742" w:type="pct"/>
            <w:vMerge w:val="restar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kern w:val="0"/>
                <w:sz w:val="21"/>
                <w:szCs w:val="21"/>
                <w:highlight w:val="none"/>
                <w:lang w:bidi="ar"/>
              </w:rPr>
              <w:t>工程措施</w:t>
            </w:r>
          </w:p>
        </w:tc>
        <w:tc>
          <w:tcPr>
            <w:tcW w:w="1070"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kern w:val="0"/>
                <w:sz w:val="21"/>
                <w:szCs w:val="21"/>
                <w:highlight w:val="none"/>
                <w:lang w:bidi="ar"/>
              </w:rPr>
            </w:pPr>
            <w:r>
              <w:rPr>
                <w:rFonts w:hint="default" w:ascii="Times New Roman" w:hAnsi="Times New Roman" w:eastAsia="仿宋_GB2312" w:cs="Times New Roman"/>
                <w:kern w:val="0"/>
                <w:sz w:val="21"/>
                <w:szCs w:val="21"/>
                <w:highlight w:val="none"/>
                <w:lang w:bidi="ar"/>
              </w:rPr>
              <w:t>雨水管线</w:t>
            </w:r>
          </w:p>
        </w:tc>
        <w:tc>
          <w:tcPr>
            <w:tcW w:w="450"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cs="Times New Roman"/>
                <w:kern w:val="0"/>
                <w:sz w:val="21"/>
                <w:szCs w:val="21"/>
                <w:highlight w:val="none"/>
                <w:lang w:bidi="ar"/>
              </w:rPr>
            </w:pPr>
            <w:r>
              <w:rPr>
                <w:rFonts w:hint="default" w:ascii="Times New Roman" w:hAnsi="Times New Roman" w:cs="Times New Roman"/>
                <w:kern w:val="0"/>
                <w:sz w:val="21"/>
                <w:szCs w:val="21"/>
                <w:highlight w:val="none"/>
                <w:lang w:bidi="ar"/>
              </w:rPr>
              <w:t>m</w:t>
            </w:r>
          </w:p>
        </w:tc>
        <w:tc>
          <w:tcPr>
            <w:tcW w:w="506"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宋体" w:cs="Times New Roman"/>
                <w:kern w:val="0"/>
                <w:sz w:val="21"/>
                <w:szCs w:val="21"/>
                <w:highlight w:val="none"/>
                <w:lang w:val="en-US" w:eastAsia="zh-CN" w:bidi="ar"/>
              </w:rPr>
            </w:pPr>
            <w:r>
              <w:rPr>
                <w:rFonts w:hint="eastAsia" w:cs="Times New Roman"/>
                <w:kern w:val="0"/>
                <w:sz w:val="21"/>
                <w:szCs w:val="21"/>
                <w:highlight w:val="none"/>
                <w:lang w:val="en-US" w:eastAsia="zh-CN" w:bidi="ar"/>
              </w:rPr>
              <w:t>2600</w:t>
            </w:r>
          </w:p>
        </w:tc>
        <w:tc>
          <w:tcPr>
            <w:tcW w:w="762"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cs="Times New Roman"/>
                <w:kern w:val="0"/>
                <w:sz w:val="21"/>
                <w:szCs w:val="21"/>
                <w:highlight w:val="none"/>
                <w:lang w:bidi="ar"/>
              </w:rPr>
            </w:pPr>
          </w:p>
        </w:tc>
        <w:tc>
          <w:tcPr>
            <w:tcW w:w="741" w:type="pct"/>
            <w:tcBorders>
              <w:tl2br w:val="nil"/>
              <w:tr2bl w:val="nil"/>
            </w:tcBorders>
            <w:shd w:val="clear" w:color="auto" w:fill="auto"/>
            <w:noWrap/>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2600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6"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sz w:val="21"/>
                <w:szCs w:val="21"/>
                <w:highlight w:val="none"/>
              </w:rPr>
            </w:pPr>
          </w:p>
        </w:tc>
        <w:tc>
          <w:tcPr>
            <w:tcW w:w="742" w:type="pct"/>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1"/>
                <w:szCs w:val="21"/>
                <w:highlight w:val="none"/>
              </w:rPr>
            </w:pPr>
          </w:p>
        </w:tc>
        <w:tc>
          <w:tcPr>
            <w:tcW w:w="1070"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1"/>
                <w:szCs w:val="21"/>
                <w:highlight w:val="none"/>
                <w:lang w:eastAsia="zh-CN"/>
              </w:rPr>
            </w:pPr>
            <w:r>
              <w:rPr>
                <w:rFonts w:hint="eastAsia" w:eastAsia="仿宋_GB2312" w:cs="Times New Roman"/>
                <w:kern w:val="0"/>
                <w:sz w:val="21"/>
                <w:szCs w:val="21"/>
                <w:highlight w:val="none"/>
                <w:lang w:eastAsia="zh-CN" w:bidi="ar"/>
              </w:rPr>
              <w:t>雨水口</w:t>
            </w:r>
          </w:p>
        </w:tc>
        <w:tc>
          <w:tcPr>
            <w:tcW w:w="450"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cs="Times New Roman"/>
                <w:sz w:val="21"/>
                <w:szCs w:val="21"/>
                <w:highlight w:val="none"/>
              </w:rPr>
            </w:pPr>
            <w:r>
              <w:rPr>
                <w:rFonts w:hint="default" w:ascii="Times New Roman" w:hAnsi="Times New Roman" w:cs="Times New Roman"/>
                <w:kern w:val="0"/>
                <w:sz w:val="21"/>
                <w:szCs w:val="21"/>
                <w:highlight w:val="none"/>
                <w:lang w:bidi="ar"/>
              </w:rPr>
              <w:t>个</w:t>
            </w:r>
          </w:p>
        </w:tc>
        <w:tc>
          <w:tcPr>
            <w:tcW w:w="506"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宋体" w:cs="Times New Roman"/>
                <w:kern w:val="0"/>
                <w:sz w:val="21"/>
                <w:szCs w:val="21"/>
                <w:highlight w:val="none"/>
                <w:lang w:val="en-US" w:eastAsia="zh-CN" w:bidi="ar"/>
              </w:rPr>
            </w:pPr>
            <w:r>
              <w:rPr>
                <w:rFonts w:hint="eastAsia" w:cs="Times New Roman"/>
                <w:kern w:val="0"/>
                <w:sz w:val="21"/>
                <w:szCs w:val="21"/>
                <w:highlight w:val="none"/>
                <w:lang w:val="en-US" w:eastAsia="zh-CN" w:bidi="ar"/>
              </w:rPr>
              <w:t>260</w:t>
            </w:r>
          </w:p>
        </w:tc>
        <w:tc>
          <w:tcPr>
            <w:tcW w:w="762"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cs="Times New Roman"/>
                <w:kern w:val="0"/>
                <w:sz w:val="21"/>
                <w:szCs w:val="21"/>
                <w:highlight w:val="none"/>
                <w:lang w:bidi="ar"/>
              </w:rPr>
            </w:pPr>
          </w:p>
        </w:tc>
        <w:tc>
          <w:tcPr>
            <w:tcW w:w="741" w:type="pct"/>
            <w:tcBorders>
              <w:tl2br w:val="nil"/>
              <w:tr2bl w:val="nil"/>
            </w:tcBorders>
            <w:shd w:val="clear" w:color="auto" w:fill="auto"/>
            <w:noWrap/>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260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6"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sz w:val="21"/>
                <w:szCs w:val="21"/>
                <w:highlight w:val="none"/>
              </w:rPr>
            </w:pPr>
          </w:p>
        </w:tc>
        <w:tc>
          <w:tcPr>
            <w:tcW w:w="742" w:type="pct"/>
            <w:vMerge w:val="continue"/>
            <w:tcBorders>
              <w:tl2br w:val="nil"/>
              <w:tr2bl w:val="nil"/>
            </w:tcBorders>
            <w:shd w:val="clear" w:color="auto" w:fill="auto"/>
            <w:noWrap/>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sz w:val="21"/>
                <w:szCs w:val="21"/>
                <w:highlight w:val="none"/>
              </w:rPr>
            </w:pPr>
          </w:p>
        </w:tc>
        <w:tc>
          <w:tcPr>
            <w:tcW w:w="1070"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kern w:val="0"/>
                <w:sz w:val="21"/>
                <w:szCs w:val="21"/>
                <w:highlight w:val="none"/>
                <w:lang w:bidi="ar"/>
              </w:rPr>
              <w:t>绿化用土回覆</w:t>
            </w:r>
          </w:p>
        </w:tc>
        <w:tc>
          <w:tcPr>
            <w:tcW w:w="450"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cs="Times New Roman"/>
                <w:sz w:val="21"/>
                <w:szCs w:val="21"/>
                <w:highlight w:val="none"/>
              </w:rPr>
            </w:pPr>
            <w:r>
              <w:rPr>
                <w:rFonts w:hint="default" w:ascii="Times New Roman" w:hAnsi="Times New Roman" w:cs="Times New Roman"/>
                <w:kern w:val="0"/>
                <w:sz w:val="21"/>
                <w:szCs w:val="21"/>
                <w:highlight w:val="none"/>
                <w:lang w:bidi="ar"/>
              </w:rPr>
              <w:t>m</w:t>
            </w:r>
            <w:r>
              <w:rPr>
                <w:rFonts w:hint="default" w:ascii="Times New Roman" w:hAnsi="Times New Roman" w:cs="Times New Roman"/>
                <w:kern w:val="0"/>
                <w:sz w:val="21"/>
                <w:szCs w:val="21"/>
                <w:highlight w:val="none"/>
                <w:vertAlign w:val="superscript"/>
                <w:lang w:bidi="ar"/>
              </w:rPr>
              <w:t>3</w:t>
            </w:r>
          </w:p>
        </w:tc>
        <w:tc>
          <w:tcPr>
            <w:tcW w:w="506"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宋体" w:cs="Times New Roman"/>
                <w:kern w:val="0"/>
                <w:sz w:val="21"/>
                <w:szCs w:val="21"/>
                <w:highlight w:val="none"/>
                <w:lang w:val="en-US" w:eastAsia="zh-CN" w:bidi="ar"/>
              </w:rPr>
            </w:pPr>
            <w:r>
              <w:rPr>
                <w:rFonts w:hint="eastAsia" w:cs="Times New Roman"/>
                <w:kern w:val="0"/>
                <w:sz w:val="21"/>
                <w:szCs w:val="21"/>
                <w:highlight w:val="none"/>
                <w:lang w:val="en-US" w:eastAsia="zh-CN" w:bidi="ar"/>
              </w:rPr>
              <w:t>12000</w:t>
            </w:r>
          </w:p>
        </w:tc>
        <w:tc>
          <w:tcPr>
            <w:tcW w:w="762"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cs="Times New Roman"/>
                <w:kern w:val="0"/>
                <w:sz w:val="21"/>
                <w:szCs w:val="21"/>
                <w:highlight w:val="none"/>
                <w:lang w:bidi="ar"/>
              </w:rPr>
            </w:pPr>
          </w:p>
        </w:tc>
        <w:tc>
          <w:tcPr>
            <w:tcW w:w="741"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cs="Times New Roman"/>
                <w:sz w:val="21"/>
                <w:szCs w:val="21"/>
                <w:highlight w:val="none"/>
              </w:rPr>
            </w:pPr>
            <w:r>
              <w:rPr>
                <w:rFonts w:hint="eastAsia" w:cs="Times New Roman"/>
                <w:kern w:val="0"/>
                <w:sz w:val="21"/>
                <w:szCs w:val="21"/>
                <w:highlight w:val="none"/>
                <w:lang w:val="en-US" w:eastAsia="zh-CN" w:bidi="ar"/>
              </w:rPr>
              <w:t>12000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6"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sz w:val="21"/>
                <w:szCs w:val="21"/>
                <w:highlight w:val="none"/>
              </w:rPr>
            </w:pPr>
          </w:p>
        </w:tc>
        <w:tc>
          <w:tcPr>
            <w:tcW w:w="742" w:type="pct"/>
            <w:vMerge w:val="continue"/>
            <w:tcBorders>
              <w:tl2br w:val="nil"/>
              <w:tr2bl w:val="nil"/>
            </w:tcBorders>
            <w:shd w:val="clear" w:color="auto" w:fill="auto"/>
            <w:noWrap/>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sz w:val="21"/>
                <w:szCs w:val="21"/>
                <w:highlight w:val="none"/>
              </w:rPr>
            </w:pPr>
          </w:p>
        </w:tc>
        <w:tc>
          <w:tcPr>
            <w:tcW w:w="1070"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kern w:val="0"/>
                <w:sz w:val="21"/>
                <w:szCs w:val="21"/>
                <w:highlight w:val="none"/>
                <w:lang w:bidi="ar"/>
              </w:rPr>
              <w:t>全面整地</w:t>
            </w:r>
          </w:p>
        </w:tc>
        <w:tc>
          <w:tcPr>
            <w:tcW w:w="450"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cs="Times New Roman"/>
                <w:sz w:val="21"/>
                <w:szCs w:val="21"/>
                <w:highlight w:val="none"/>
              </w:rPr>
            </w:pPr>
            <w:r>
              <w:rPr>
                <w:rFonts w:hint="default" w:ascii="Times New Roman" w:hAnsi="Times New Roman" w:cs="Times New Roman"/>
                <w:kern w:val="0"/>
                <w:sz w:val="21"/>
                <w:szCs w:val="21"/>
                <w:highlight w:val="none"/>
                <w:lang w:bidi="ar"/>
              </w:rPr>
              <w:t>hm</w:t>
            </w:r>
            <w:r>
              <w:rPr>
                <w:rFonts w:hint="default" w:ascii="Times New Roman" w:hAnsi="Times New Roman" w:cs="Times New Roman"/>
                <w:kern w:val="0"/>
                <w:sz w:val="21"/>
                <w:szCs w:val="21"/>
                <w:highlight w:val="none"/>
                <w:vertAlign w:val="superscript"/>
                <w:lang w:bidi="ar"/>
              </w:rPr>
              <w:t>2</w:t>
            </w:r>
          </w:p>
        </w:tc>
        <w:tc>
          <w:tcPr>
            <w:tcW w:w="506"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宋体" w:cs="Times New Roman"/>
                <w:kern w:val="0"/>
                <w:sz w:val="21"/>
                <w:szCs w:val="21"/>
                <w:highlight w:val="none"/>
                <w:lang w:val="en-US" w:eastAsia="zh-CN" w:bidi="ar"/>
              </w:rPr>
            </w:pPr>
            <w:r>
              <w:rPr>
                <w:rFonts w:hint="eastAsia" w:cs="Times New Roman"/>
                <w:kern w:val="0"/>
                <w:sz w:val="21"/>
                <w:szCs w:val="21"/>
                <w:highlight w:val="none"/>
                <w:lang w:val="en-US" w:eastAsia="zh-CN" w:bidi="ar"/>
              </w:rPr>
              <w:t>3.99</w:t>
            </w:r>
          </w:p>
        </w:tc>
        <w:tc>
          <w:tcPr>
            <w:tcW w:w="762"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cs="Times New Roman"/>
                <w:kern w:val="0"/>
                <w:sz w:val="21"/>
                <w:szCs w:val="21"/>
                <w:highlight w:val="none"/>
                <w:lang w:bidi="ar"/>
              </w:rPr>
            </w:pPr>
          </w:p>
        </w:tc>
        <w:tc>
          <w:tcPr>
            <w:tcW w:w="741"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cs="Times New Roman"/>
                <w:sz w:val="21"/>
                <w:szCs w:val="21"/>
                <w:highlight w:val="none"/>
              </w:rPr>
            </w:pPr>
            <w:r>
              <w:rPr>
                <w:rFonts w:hint="eastAsia" w:cs="Times New Roman"/>
                <w:kern w:val="0"/>
                <w:sz w:val="21"/>
                <w:szCs w:val="21"/>
                <w:highlight w:val="none"/>
                <w:lang w:val="en-US" w:eastAsia="zh-CN" w:bidi="ar"/>
              </w:rPr>
              <w:t>3.99</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6"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sz w:val="21"/>
                <w:szCs w:val="21"/>
                <w:highlight w:val="none"/>
              </w:rPr>
            </w:pPr>
          </w:p>
        </w:tc>
        <w:tc>
          <w:tcPr>
            <w:tcW w:w="742"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kern w:val="0"/>
                <w:sz w:val="21"/>
                <w:szCs w:val="21"/>
                <w:highlight w:val="none"/>
                <w:lang w:bidi="ar"/>
              </w:rPr>
              <w:t>植物措施</w:t>
            </w:r>
          </w:p>
        </w:tc>
        <w:tc>
          <w:tcPr>
            <w:tcW w:w="1070"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kern w:val="0"/>
                <w:sz w:val="21"/>
                <w:szCs w:val="21"/>
                <w:highlight w:val="none"/>
                <w:lang w:bidi="ar"/>
              </w:rPr>
              <w:t>绿化</w:t>
            </w:r>
          </w:p>
        </w:tc>
        <w:tc>
          <w:tcPr>
            <w:tcW w:w="450"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cs="Times New Roman"/>
                <w:sz w:val="21"/>
                <w:szCs w:val="21"/>
                <w:highlight w:val="none"/>
              </w:rPr>
            </w:pPr>
            <w:r>
              <w:rPr>
                <w:rFonts w:hint="default" w:ascii="Times New Roman" w:hAnsi="Times New Roman" w:cs="Times New Roman"/>
                <w:kern w:val="0"/>
                <w:sz w:val="21"/>
                <w:szCs w:val="21"/>
                <w:highlight w:val="none"/>
                <w:lang w:bidi="ar"/>
              </w:rPr>
              <w:t>hm</w:t>
            </w:r>
            <w:r>
              <w:rPr>
                <w:rFonts w:hint="default" w:ascii="Times New Roman" w:hAnsi="Times New Roman" w:cs="Times New Roman"/>
                <w:kern w:val="0"/>
                <w:sz w:val="21"/>
                <w:szCs w:val="21"/>
                <w:highlight w:val="none"/>
                <w:vertAlign w:val="superscript"/>
                <w:lang w:bidi="ar"/>
              </w:rPr>
              <w:t>2</w:t>
            </w:r>
          </w:p>
        </w:tc>
        <w:tc>
          <w:tcPr>
            <w:tcW w:w="506"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宋体" w:cs="Times New Roman"/>
                <w:kern w:val="0"/>
                <w:sz w:val="21"/>
                <w:szCs w:val="21"/>
                <w:highlight w:val="none"/>
                <w:lang w:val="en-US" w:eastAsia="zh-CN" w:bidi="ar"/>
              </w:rPr>
            </w:pPr>
            <w:r>
              <w:rPr>
                <w:rFonts w:hint="eastAsia" w:cs="Times New Roman"/>
                <w:kern w:val="0"/>
                <w:sz w:val="21"/>
                <w:szCs w:val="21"/>
                <w:highlight w:val="none"/>
                <w:lang w:val="en-US" w:eastAsia="zh-CN" w:bidi="ar"/>
              </w:rPr>
              <w:t>3.99</w:t>
            </w:r>
          </w:p>
        </w:tc>
        <w:tc>
          <w:tcPr>
            <w:tcW w:w="762"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cs="Times New Roman"/>
                <w:kern w:val="0"/>
                <w:sz w:val="21"/>
                <w:szCs w:val="21"/>
                <w:highlight w:val="none"/>
                <w:lang w:bidi="ar"/>
              </w:rPr>
            </w:pPr>
          </w:p>
        </w:tc>
        <w:tc>
          <w:tcPr>
            <w:tcW w:w="741"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cs="Times New Roman"/>
                <w:sz w:val="21"/>
                <w:szCs w:val="21"/>
                <w:highlight w:val="none"/>
              </w:rPr>
            </w:pPr>
            <w:r>
              <w:rPr>
                <w:rFonts w:hint="eastAsia" w:cs="Times New Roman"/>
                <w:kern w:val="0"/>
                <w:sz w:val="21"/>
                <w:szCs w:val="21"/>
                <w:highlight w:val="none"/>
                <w:lang w:val="en-US" w:eastAsia="zh-CN" w:bidi="ar"/>
              </w:rPr>
              <w:t>3.99</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6"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sz w:val="21"/>
                <w:szCs w:val="21"/>
                <w:highlight w:val="none"/>
              </w:rPr>
            </w:pPr>
          </w:p>
        </w:tc>
        <w:tc>
          <w:tcPr>
            <w:tcW w:w="742" w:type="pct"/>
            <w:vMerge w:val="restar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kern w:val="0"/>
                <w:sz w:val="21"/>
                <w:szCs w:val="21"/>
                <w:highlight w:val="none"/>
                <w:lang w:bidi="ar"/>
              </w:rPr>
              <w:t>临时措施</w:t>
            </w:r>
          </w:p>
        </w:tc>
        <w:tc>
          <w:tcPr>
            <w:tcW w:w="1846"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pacing w:val="6"/>
                <w:sz w:val="21"/>
                <w:szCs w:val="21"/>
                <w:lang w:val="en-US" w:eastAsia="zh-CN"/>
              </w:rPr>
            </w:pPr>
            <w:r>
              <w:rPr>
                <w:rFonts w:hint="default" w:ascii="Times New Roman" w:hAnsi="Times New Roman" w:eastAsia="仿宋" w:cs="Times New Roman"/>
                <w:spacing w:val="8"/>
                <w:sz w:val="21"/>
                <w:szCs w:val="21"/>
                <w:lang w:val="en-US" w:eastAsia="zh-CN"/>
              </w:rPr>
              <w:t>编织袋砌筑</w:t>
            </w:r>
          </w:p>
        </w:tc>
        <w:tc>
          <w:tcPr>
            <w:tcW w:w="776"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kern w:val="0"/>
                <w:sz w:val="21"/>
                <w:szCs w:val="21"/>
                <w:highlight w:val="none"/>
                <w:lang w:bidi="ar"/>
              </w:rPr>
            </w:pPr>
            <w:r>
              <w:rPr>
                <w:rFonts w:hint="default" w:ascii="Times New Roman" w:hAnsi="Times New Roman" w:eastAsia="仿宋" w:cs="Times New Roman"/>
                <w:sz w:val="21"/>
                <w:szCs w:val="21"/>
              </w:rPr>
              <w:t>m</w:t>
            </w:r>
            <w:r>
              <w:rPr>
                <w:rFonts w:hint="default" w:ascii="Times New Roman" w:hAnsi="Times New Roman" w:eastAsia="仿宋" w:cs="Times New Roman"/>
                <w:spacing w:val="8"/>
                <w:sz w:val="21"/>
                <w:szCs w:val="21"/>
              </w:rPr>
              <w:t>²</w:t>
            </w:r>
          </w:p>
        </w:tc>
        <w:tc>
          <w:tcPr>
            <w:tcW w:w="873"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eastAsia="仿宋_GB2312" w:cs="Times New Roman"/>
                <w:sz w:val="21"/>
                <w:szCs w:val="21"/>
                <w:lang w:val="en-US" w:eastAsia="zh-CN"/>
              </w:rPr>
            </w:pPr>
            <w:r>
              <w:rPr>
                <w:rFonts w:hint="eastAsia" w:eastAsia="仿宋" w:cs="Times New Roman"/>
                <w:sz w:val="21"/>
                <w:szCs w:val="21"/>
                <w:lang w:val="en-US" w:eastAsia="zh-CN"/>
              </w:rPr>
              <w:t>31.5</w:t>
            </w:r>
          </w:p>
        </w:tc>
        <w:tc>
          <w:tcPr>
            <w:tcW w:w="762"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cs="Times New Roman"/>
                <w:kern w:val="0"/>
                <w:sz w:val="21"/>
                <w:szCs w:val="21"/>
                <w:highlight w:val="none"/>
                <w:lang w:val="en-US" w:eastAsia="zh-CN" w:bidi="ar"/>
              </w:rPr>
            </w:pPr>
            <w:r>
              <w:rPr>
                <w:rFonts w:hint="eastAsia" w:cs="Times New Roman"/>
                <w:kern w:val="0"/>
                <w:sz w:val="21"/>
                <w:szCs w:val="21"/>
                <w:highlight w:val="none"/>
                <w:lang w:val="en-US" w:eastAsia="zh-CN" w:bidi="ar"/>
              </w:rPr>
              <w:t>31.5</w:t>
            </w:r>
          </w:p>
        </w:tc>
        <w:tc>
          <w:tcPr>
            <w:tcW w:w="741" w:type="pct"/>
            <w:tcBorders>
              <w:tl2br w:val="nil"/>
              <w:tr2bl w:val="nil"/>
            </w:tcBorders>
            <w:shd w:val="clear" w:color="auto" w:fill="auto"/>
            <w:noWrap/>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cs="Times New Roman"/>
                <w:sz w:val="21"/>
                <w:szCs w:val="21"/>
                <w:highlight w:val="none"/>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6"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sz w:val="21"/>
                <w:szCs w:val="21"/>
                <w:highlight w:val="none"/>
              </w:rPr>
            </w:pPr>
          </w:p>
        </w:tc>
        <w:tc>
          <w:tcPr>
            <w:tcW w:w="742" w:type="pct"/>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kern w:val="0"/>
                <w:sz w:val="21"/>
                <w:szCs w:val="21"/>
                <w:highlight w:val="none"/>
                <w:lang w:bidi="ar"/>
              </w:rPr>
            </w:pPr>
          </w:p>
        </w:tc>
        <w:tc>
          <w:tcPr>
            <w:tcW w:w="1846"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pacing w:val="6"/>
                <w:sz w:val="21"/>
                <w:szCs w:val="21"/>
                <w:lang w:val="en-US" w:eastAsia="zh-CN"/>
              </w:rPr>
            </w:pPr>
            <w:r>
              <w:rPr>
                <w:rFonts w:hint="default" w:ascii="Times New Roman" w:hAnsi="Times New Roman" w:eastAsia="仿宋" w:cs="Times New Roman"/>
                <w:spacing w:val="8"/>
                <w:sz w:val="21"/>
                <w:szCs w:val="21"/>
                <w:lang w:val="en-US" w:eastAsia="zh-CN"/>
              </w:rPr>
              <w:t>编织袋拆除</w:t>
            </w:r>
          </w:p>
        </w:tc>
        <w:tc>
          <w:tcPr>
            <w:tcW w:w="776"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kern w:val="0"/>
                <w:sz w:val="21"/>
                <w:szCs w:val="21"/>
                <w:highlight w:val="none"/>
                <w:lang w:bidi="ar"/>
              </w:rPr>
            </w:pPr>
            <w:r>
              <w:rPr>
                <w:rFonts w:hint="default" w:ascii="Times New Roman" w:hAnsi="Times New Roman" w:eastAsia="仿宋" w:cs="Times New Roman"/>
                <w:sz w:val="21"/>
                <w:szCs w:val="21"/>
              </w:rPr>
              <w:t>m</w:t>
            </w:r>
            <w:r>
              <w:rPr>
                <w:rFonts w:hint="default" w:ascii="Times New Roman" w:hAnsi="Times New Roman" w:eastAsia="仿宋" w:cs="Times New Roman"/>
                <w:spacing w:val="8"/>
                <w:sz w:val="21"/>
                <w:szCs w:val="21"/>
              </w:rPr>
              <w:t>²</w:t>
            </w:r>
          </w:p>
        </w:tc>
        <w:tc>
          <w:tcPr>
            <w:tcW w:w="873"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eastAsia="仿宋_GB2312" w:cs="Times New Roman"/>
                <w:sz w:val="21"/>
                <w:szCs w:val="21"/>
                <w:lang w:val="en-US" w:eastAsia="zh-CN"/>
              </w:rPr>
            </w:pPr>
            <w:r>
              <w:rPr>
                <w:rFonts w:hint="eastAsia" w:eastAsia="仿宋" w:cs="Times New Roman"/>
                <w:sz w:val="21"/>
                <w:szCs w:val="21"/>
                <w:lang w:val="en-US" w:eastAsia="zh-CN"/>
              </w:rPr>
              <w:t>31.5</w:t>
            </w:r>
          </w:p>
        </w:tc>
        <w:tc>
          <w:tcPr>
            <w:tcW w:w="762"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eastAsia" w:cs="Times New Roman"/>
                <w:kern w:val="0"/>
                <w:sz w:val="21"/>
                <w:szCs w:val="21"/>
                <w:highlight w:val="none"/>
                <w:lang w:val="en-US" w:eastAsia="zh-CN" w:bidi="ar"/>
              </w:rPr>
            </w:pPr>
          </w:p>
        </w:tc>
        <w:tc>
          <w:tcPr>
            <w:tcW w:w="741" w:type="pct"/>
            <w:tcBorders>
              <w:tl2br w:val="nil"/>
              <w:tr2bl w:val="nil"/>
            </w:tcBorders>
            <w:shd w:val="clear" w:color="auto" w:fill="auto"/>
            <w:noWrap/>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31.5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6"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sz w:val="21"/>
                <w:szCs w:val="21"/>
                <w:highlight w:val="none"/>
              </w:rPr>
            </w:pPr>
          </w:p>
        </w:tc>
        <w:tc>
          <w:tcPr>
            <w:tcW w:w="742" w:type="pct"/>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1"/>
                <w:szCs w:val="21"/>
                <w:highlight w:val="none"/>
              </w:rPr>
            </w:pPr>
          </w:p>
        </w:tc>
        <w:tc>
          <w:tcPr>
            <w:tcW w:w="107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pacing w:val="6"/>
                <w:kern w:val="2"/>
                <w:sz w:val="21"/>
                <w:szCs w:val="21"/>
                <w:lang w:val="en-US" w:eastAsia="zh-CN" w:bidi="ar-SA"/>
              </w:rPr>
            </w:pPr>
            <w:r>
              <w:rPr>
                <w:rFonts w:hint="default" w:ascii="Times New Roman" w:hAnsi="Times New Roman" w:eastAsia="仿宋_GB2312" w:cs="Times New Roman"/>
                <w:spacing w:val="6"/>
                <w:sz w:val="21"/>
                <w:szCs w:val="21"/>
                <w:lang w:val="en-US" w:eastAsia="zh-CN"/>
              </w:rPr>
              <w:t>密目网苫盖</w:t>
            </w:r>
          </w:p>
        </w:tc>
        <w:tc>
          <w:tcPr>
            <w:tcW w:w="45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cs="Times New Roman"/>
                <w:kern w:val="0"/>
                <w:sz w:val="21"/>
                <w:szCs w:val="21"/>
                <w:highlight w:val="none"/>
                <w:lang w:bidi="ar"/>
              </w:rPr>
              <w:t>m</w:t>
            </w:r>
            <w:r>
              <w:rPr>
                <w:rFonts w:hint="default" w:ascii="Times New Roman" w:hAnsi="Times New Roman" w:cs="Times New Roman"/>
                <w:kern w:val="0"/>
                <w:sz w:val="21"/>
                <w:szCs w:val="21"/>
                <w:highlight w:val="none"/>
                <w:vertAlign w:val="superscript"/>
                <w:lang w:bidi="ar"/>
              </w:rPr>
              <w:t>2</w:t>
            </w:r>
          </w:p>
        </w:tc>
        <w:tc>
          <w:tcPr>
            <w:tcW w:w="50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kern w:val="2"/>
                <w:sz w:val="21"/>
                <w:szCs w:val="21"/>
                <w:lang w:val="en-US" w:eastAsia="zh-CN" w:bidi="ar-SA"/>
              </w:rPr>
            </w:pPr>
            <w:r>
              <w:rPr>
                <w:rFonts w:hint="eastAsia" w:eastAsia="仿宋_GB2312" w:cs="Times New Roman"/>
                <w:sz w:val="21"/>
                <w:szCs w:val="21"/>
                <w:lang w:val="en-US" w:eastAsia="zh-CN"/>
              </w:rPr>
              <w:t>2965</w:t>
            </w:r>
          </w:p>
        </w:tc>
        <w:tc>
          <w:tcPr>
            <w:tcW w:w="762"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宋体" w:cs="Times New Roman"/>
                <w:kern w:val="0"/>
                <w:sz w:val="21"/>
                <w:szCs w:val="21"/>
                <w:highlight w:val="none"/>
                <w:lang w:val="en-US" w:eastAsia="zh-CN" w:bidi="ar"/>
              </w:rPr>
            </w:pPr>
            <w:r>
              <w:rPr>
                <w:rFonts w:hint="eastAsia" w:cs="Times New Roman"/>
                <w:kern w:val="0"/>
                <w:sz w:val="21"/>
                <w:szCs w:val="21"/>
                <w:highlight w:val="none"/>
                <w:lang w:val="en-US" w:eastAsia="zh-CN" w:bidi="ar"/>
              </w:rPr>
              <w:t>2965</w:t>
            </w:r>
          </w:p>
        </w:tc>
        <w:tc>
          <w:tcPr>
            <w:tcW w:w="741" w:type="pct"/>
            <w:tcBorders>
              <w:tl2br w:val="nil"/>
              <w:tr2bl w:val="nil"/>
            </w:tcBorders>
            <w:shd w:val="clear" w:color="auto" w:fill="auto"/>
            <w:noWrap/>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cs="Times New Roman"/>
                <w:sz w:val="21"/>
                <w:szCs w:val="21"/>
                <w:highlight w:val="none"/>
              </w:rPr>
            </w:pPr>
          </w:p>
        </w:tc>
      </w:tr>
    </w:tbl>
    <w:p>
      <w:pPr>
        <w:pStyle w:val="151"/>
        <w:pageBreakBefore w:val="0"/>
        <w:kinsoku/>
        <w:wordWrap/>
        <w:bidi w:val="0"/>
        <w:rPr>
          <w:rFonts w:hint="default" w:ascii="Times New Roman" w:hAnsi="Times New Roman" w:cs="Times New Roman"/>
        </w:rPr>
        <w:sectPr>
          <w:headerReference r:id="rId20" w:type="default"/>
          <w:footerReference r:id="rId21" w:type="default"/>
          <w:pgSz w:w="11906" w:h="16838"/>
          <w:pgMar w:top="1440" w:right="1701" w:bottom="1440" w:left="179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164"/>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val="0"/>
          <w:bCs w:val="0"/>
          <w:sz w:val="21"/>
          <w:szCs w:val="21"/>
          <w:highlight w:val="none"/>
          <w:lang w:val="en-US" w:eastAsia="zh-CN"/>
        </w:rPr>
      </w:pPr>
      <w:r>
        <w:rPr>
          <w:rFonts w:hint="default" w:ascii="Times New Roman" w:hAnsi="Times New Roman" w:eastAsia="微软雅黑" w:cs="Times New Roman"/>
          <w:b w:val="0"/>
          <w:bCs w:val="0"/>
          <w:sz w:val="21"/>
          <w:szCs w:val="21"/>
          <w:highlight w:val="none"/>
          <w:lang w:val="en-US" w:eastAsia="zh-CN"/>
        </w:rPr>
        <w:t>图5-2  水土保持措施施工进度横道图</w:t>
      </w:r>
    </w:p>
    <w:tbl>
      <w:tblPr>
        <w:tblStyle w:val="88"/>
        <w:tblW w:w="4996"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65"/>
        <w:gridCol w:w="1158"/>
        <w:gridCol w:w="2065"/>
        <w:gridCol w:w="518"/>
        <w:gridCol w:w="519"/>
        <w:gridCol w:w="519"/>
        <w:gridCol w:w="550"/>
        <w:gridCol w:w="538"/>
        <w:gridCol w:w="558"/>
        <w:gridCol w:w="521"/>
        <w:gridCol w:w="519"/>
        <w:gridCol w:w="519"/>
        <w:gridCol w:w="519"/>
        <w:gridCol w:w="519"/>
        <w:gridCol w:w="519"/>
        <w:gridCol w:w="519"/>
        <w:gridCol w:w="519"/>
        <w:gridCol w:w="519"/>
        <w:gridCol w:w="550"/>
        <w:gridCol w:w="541"/>
        <w:gridCol w:w="60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82" w:type="pct"/>
            <w:vMerge w:val="restart"/>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Style w:val="560"/>
                <w:rFonts w:hint="default" w:ascii="Times New Roman" w:hAnsi="Times New Roman" w:cs="Times New Roman"/>
                <w:b w:val="0"/>
                <w:bCs w:val="0"/>
                <w:sz w:val="21"/>
                <w:szCs w:val="21"/>
                <w:highlight w:val="none"/>
                <w:lang w:bidi="ar"/>
              </w:rPr>
            </w:pPr>
            <w:bookmarkStart w:id="360" w:name="_6_水土保持监测计划"/>
            <w:bookmarkEnd w:id="360"/>
            <w:bookmarkStart w:id="361" w:name="_6.3监测重点与监测内容"/>
            <w:bookmarkEnd w:id="361"/>
            <w:bookmarkStart w:id="362" w:name="_6__水土保持监测计划"/>
            <w:bookmarkEnd w:id="362"/>
            <w:bookmarkStart w:id="363" w:name="_Toc93231916"/>
            <w:bookmarkStart w:id="364" w:name="_Toc85682006"/>
            <w:bookmarkStart w:id="365" w:name="_Toc84903210"/>
            <w:bookmarkStart w:id="366" w:name="_Toc85905628"/>
            <w:bookmarkStart w:id="367" w:name="_Toc93231836"/>
            <w:bookmarkStart w:id="368" w:name="_Toc72112426"/>
            <w:bookmarkStart w:id="369" w:name="_Toc93562140"/>
            <w:bookmarkStart w:id="370" w:name="_Toc84903337"/>
            <w:bookmarkStart w:id="371" w:name="_Toc71770259"/>
            <w:bookmarkStart w:id="372" w:name="_Toc84902445"/>
            <w:bookmarkStart w:id="373" w:name="_Toc71019341"/>
            <w:bookmarkStart w:id="374" w:name="_Toc85905548"/>
            <w:bookmarkStart w:id="375" w:name="_Toc72031795"/>
            <w:bookmarkStart w:id="376" w:name="_Toc70480594"/>
            <w:bookmarkStart w:id="377" w:name="_Toc70670638"/>
            <w:bookmarkStart w:id="378" w:name="_Toc85681768"/>
            <w:bookmarkStart w:id="379" w:name="_Toc72119376"/>
            <w:bookmarkStart w:id="380" w:name="_Toc71019233"/>
            <w:bookmarkStart w:id="381" w:name="_Toc85683229"/>
            <w:bookmarkStart w:id="382" w:name="_Toc70480696"/>
            <w:bookmarkStart w:id="383" w:name="_Toc84903281"/>
            <w:bookmarkStart w:id="384" w:name="_Toc71963315"/>
            <w:bookmarkStart w:id="385" w:name="_Toc85682086"/>
            <w:bookmarkStart w:id="386" w:name="_Toc84902848"/>
            <w:bookmarkStart w:id="387" w:name="_Toc63847048"/>
            <w:r>
              <w:rPr>
                <w:rStyle w:val="560"/>
                <w:rFonts w:hint="default" w:ascii="Times New Roman" w:hAnsi="Times New Roman" w:cs="Times New Roman"/>
                <w:b w:val="0"/>
                <w:bCs w:val="0"/>
                <w:sz w:val="21"/>
                <w:szCs w:val="21"/>
                <w:highlight w:val="none"/>
                <w:lang w:bidi="ar"/>
              </w:rPr>
              <w:t>防治分区</w:t>
            </w:r>
          </w:p>
        </w:tc>
        <w:tc>
          <w:tcPr>
            <w:tcW w:w="409" w:type="pct"/>
            <w:vMerge w:val="restart"/>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Style w:val="560"/>
                <w:rFonts w:hint="default" w:ascii="Times New Roman" w:hAnsi="Times New Roman" w:cs="Times New Roman"/>
                <w:b w:val="0"/>
                <w:bCs w:val="0"/>
                <w:sz w:val="21"/>
                <w:szCs w:val="21"/>
                <w:highlight w:val="none"/>
                <w:lang w:bidi="ar"/>
              </w:rPr>
            </w:pPr>
            <w:r>
              <w:rPr>
                <w:rStyle w:val="560"/>
                <w:rFonts w:hint="default" w:ascii="Times New Roman" w:hAnsi="Times New Roman" w:cs="Times New Roman"/>
                <w:b w:val="0"/>
                <w:bCs w:val="0"/>
                <w:sz w:val="21"/>
                <w:szCs w:val="21"/>
                <w:highlight w:val="none"/>
                <w:lang w:bidi="ar"/>
              </w:rPr>
              <w:t>措施分类</w:t>
            </w:r>
          </w:p>
        </w:tc>
        <w:tc>
          <w:tcPr>
            <w:tcW w:w="729" w:type="pct"/>
            <w:vMerge w:val="restart"/>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Style w:val="560"/>
                <w:rFonts w:hint="default" w:ascii="Times New Roman" w:hAnsi="Times New Roman" w:cs="Times New Roman"/>
                <w:b w:val="0"/>
                <w:bCs w:val="0"/>
                <w:sz w:val="21"/>
                <w:szCs w:val="21"/>
                <w:highlight w:val="none"/>
                <w:lang w:bidi="ar"/>
              </w:rPr>
            </w:pPr>
            <w:r>
              <w:rPr>
                <w:rStyle w:val="560"/>
                <w:rFonts w:hint="default" w:ascii="Times New Roman" w:hAnsi="Times New Roman" w:cs="Times New Roman"/>
                <w:b w:val="0"/>
                <w:bCs w:val="0"/>
                <w:sz w:val="21"/>
                <w:szCs w:val="21"/>
                <w:highlight w:val="none"/>
                <w:lang w:bidi="ar"/>
              </w:rPr>
              <w:t>措施名称</w:t>
            </w:r>
          </w:p>
        </w:tc>
        <w:tc>
          <w:tcPr>
            <w:tcW w:w="1130" w:type="pct"/>
            <w:gridSpan w:val="6"/>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Style w:val="560"/>
                <w:rFonts w:hint="default" w:ascii="Times New Roman" w:hAnsi="Times New Roman" w:cs="Times New Roman"/>
                <w:sz w:val="21"/>
                <w:szCs w:val="21"/>
                <w:highlight w:val="none"/>
                <w:lang w:bidi="ar"/>
              </w:rPr>
            </w:pPr>
            <w:r>
              <w:rPr>
                <w:rStyle w:val="560"/>
                <w:rFonts w:hint="default" w:ascii="Times New Roman" w:hAnsi="Times New Roman" w:cs="Times New Roman"/>
                <w:sz w:val="21"/>
                <w:szCs w:val="21"/>
                <w:highlight w:val="none"/>
                <w:lang w:bidi="ar"/>
              </w:rPr>
              <w:t>202</w:t>
            </w:r>
            <w:r>
              <w:rPr>
                <w:rStyle w:val="560"/>
                <w:rFonts w:hint="eastAsia" w:ascii="Times New Roman" w:hAnsi="Times New Roman" w:eastAsia="仿宋_GB2312" w:cs="Times New Roman"/>
                <w:sz w:val="21"/>
                <w:szCs w:val="21"/>
                <w:highlight w:val="none"/>
                <w:lang w:val="en-US" w:eastAsia="zh-CN" w:bidi="ar"/>
              </w:rPr>
              <w:t>3</w:t>
            </w:r>
            <w:r>
              <w:rPr>
                <w:rStyle w:val="560"/>
                <w:rFonts w:hint="default" w:ascii="Times New Roman" w:hAnsi="Times New Roman" w:cs="Times New Roman"/>
                <w:sz w:val="21"/>
                <w:szCs w:val="21"/>
                <w:highlight w:val="none"/>
                <w:lang w:bidi="ar"/>
              </w:rPr>
              <w:t>年</w:t>
            </w:r>
          </w:p>
        </w:tc>
        <w:tc>
          <w:tcPr>
            <w:tcW w:w="2248" w:type="pct"/>
            <w:gridSpan w:val="12"/>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Style w:val="560"/>
                <w:rFonts w:hint="default" w:ascii="Times New Roman" w:hAnsi="Times New Roman" w:cs="Times New Roman"/>
                <w:sz w:val="21"/>
                <w:szCs w:val="21"/>
                <w:highlight w:val="none"/>
                <w:lang w:bidi="ar"/>
              </w:rPr>
            </w:pPr>
            <w:r>
              <w:rPr>
                <w:rStyle w:val="560"/>
                <w:rFonts w:hint="default" w:ascii="Times New Roman" w:hAnsi="Times New Roman" w:cs="Times New Roman"/>
                <w:sz w:val="21"/>
                <w:szCs w:val="21"/>
                <w:highlight w:val="none"/>
                <w:lang w:bidi="ar"/>
              </w:rPr>
              <w:t>202</w:t>
            </w:r>
            <w:r>
              <w:rPr>
                <w:rStyle w:val="560"/>
                <w:rFonts w:hint="eastAsia" w:ascii="Times New Roman" w:hAnsi="Times New Roman" w:eastAsia="仿宋_GB2312" w:cs="Times New Roman"/>
                <w:sz w:val="21"/>
                <w:szCs w:val="21"/>
                <w:highlight w:val="none"/>
                <w:lang w:val="en-US" w:eastAsia="zh-CN" w:bidi="ar"/>
              </w:rPr>
              <w:t>4</w:t>
            </w:r>
            <w:r>
              <w:rPr>
                <w:rStyle w:val="560"/>
                <w:rFonts w:hint="default" w:ascii="Times New Roman" w:hAnsi="Times New Roman" w:cs="Times New Roman"/>
                <w:sz w:val="21"/>
                <w:szCs w:val="21"/>
                <w:highlight w:val="none"/>
                <w:lang w:bidi="ar"/>
              </w:rPr>
              <w:t>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82" w:type="pct"/>
            <w:vMerge w:val="continue"/>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409" w:type="pct"/>
            <w:vMerge w:val="continue"/>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729" w:type="pct"/>
            <w:vMerge w:val="continue"/>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83" w:type="pct"/>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val="en-US" w:eastAsia="zh-CN" w:bidi="ar"/>
              </w:rPr>
            </w:pPr>
            <w:r>
              <w:rPr>
                <w:rFonts w:hint="eastAsia" w:ascii="Times New Roman" w:hAnsi="Times New Roman" w:eastAsia="仿宋_GB2312" w:cs="Times New Roman"/>
                <w:color w:val="000000"/>
                <w:sz w:val="21"/>
                <w:szCs w:val="21"/>
                <w:highlight w:val="none"/>
                <w:lang w:val="en-US" w:eastAsia="zh-CN" w:bidi="ar"/>
              </w:rPr>
              <w:t>7</w:t>
            </w:r>
          </w:p>
        </w:tc>
        <w:tc>
          <w:tcPr>
            <w:tcW w:w="183" w:type="pct"/>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val="en-US" w:eastAsia="zh-CN" w:bidi="ar"/>
              </w:rPr>
            </w:pPr>
            <w:r>
              <w:rPr>
                <w:rFonts w:hint="eastAsia" w:ascii="Times New Roman" w:hAnsi="Times New Roman" w:eastAsia="仿宋_GB2312" w:cs="Times New Roman"/>
                <w:color w:val="000000"/>
                <w:sz w:val="21"/>
                <w:szCs w:val="21"/>
                <w:highlight w:val="none"/>
                <w:lang w:val="en-US" w:eastAsia="zh-CN" w:bidi="ar"/>
              </w:rPr>
              <w:t>8</w:t>
            </w:r>
          </w:p>
        </w:tc>
        <w:tc>
          <w:tcPr>
            <w:tcW w:w="183" w:type="pct"/>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val="en-US" w:eastAsia="zh-CN" w:bidi="ar"/>
              </w:rPr>
            </w:pPr>
            <w:r>
              <w:rPr>
                <w:rFonts w:hint="eastAsia" w:ascii="Times New Roman" w:hAnsi="Times New Roman" w:eastAsia="仿宋_GB2312" w:cs="Times New Roman"/>
                <w:color w:val="000000"/>
                <w:sz w:val="21"/>
                <w:szCs w:val="21"/>
                <w:highlight w:val="none"/>
                <w:lang w:val="en-US" w:eastAsia="zh-CN" w:bidi="ar"/>
              </w:rPr>
              <w:t>9</w:t>
            </w:r>
          </w:p>
        </w:tc>
        <w:tc>
          <w:tcPr>
            <w:tcW w:w="194" w:type="pct"/>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val="en-US" w:eastAsia="zh-CN" w:bidi="ar"/>
              </w:rPr>
            </w:pPr>
            <w:r>
              <w:rPr>
                <w:rFonts w:hint="eastAsia" w:ascii="Times New Roman" w:hAnsi="Times New Roman" w:eastAsia="仿宋_GB2312" w:cs="Times New Roman"/>
                <w:color w:val="000000"/>
                <w:sz w:val="21"/>
                <w:szCs w:val="21"/>
                <w:highlight w:val="none"/>
                <w:lang w:val="en-US" w:eastAsia="zh-CN" w:bidi="ar"/>
              </w:rPr>
              <w:t>10</w:t>
            </w:r>
          </w:p>
        </w:tc>
        <w:tc>
          <w:tcPr>
            <w:tcW w:w="190" w:type="pct"/>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val="en-US" w:eastAsia="zh-CN"/>
              </w:rPr>
            </w:pPr>
            <w:r>
              <w:rPr>
                <w:rFonts w:hint="eastAsia" w:ascii="Times New Roman" w:hAnsi="Times New Roman" w:eastAsia="仿宋_GB2312" w:cs="Times New Roman"/>
                <w:color w:val="000000"/>
                <w:sz w:val="21"/>
                <w:szCs w:val="21"/>
                <w:highlight w:val="none"/>
                <w:lang w:val="en-US" w:eastAsia="zh-CN"/>
              </w:rPr>
              <w:t>11</w:t>
            </w:r>
          </w:p>
        </w:tc>
        <w:tc>
          <w:tcPr>
            <w:tcW w:w="194" w:type="pct"/>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val="en-US" w:eastAsia="zh-CN"/>
              </w:rPr>
            </w:pPr>
            <w:r>
              <w:rPr>
                <w:rFonts w:hint="eastAsia" w:ascii="Times New Roman" w:hAnsi="Times New Roman" w:eastAsia="仿宋_GB2312" w:cs="Times New Roman"/>
                <w:color w:val="000000"/>
                <w:sz w:val="21"/>
                <w:szCs w:val="21"/>
                <w:highlight w:val="none"/>
                <w:lang w:val="en-US" w:eastAsia="zh-CN"/>
              </w:rPr>
              <w:t>12</w:t>
            </w:r>
          </w:p>
        </w:tc>
        <w:tc>
          <w:tcPr>
            <w:tcW w:w="184" w:type="pct"/>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eastAsia" w:ascii="Times New Roman" w:hAnsi="Times New Roman" w:eastAsia="仿宋_GB2312" w:cs="Times New Roman"/>
                <w:color w:val="000000"/>
                <w:sz w:val="21"/>
                <w:szCs w:val="21"/>
                <w:highlight w:val="none"/>
                <w:lang w:val="en-US" w:eastAsia="zh-CN"/>
              </w:rPr>
            </w:pPr>
            <w:r>
              <w:rPr>
                <w:rFonts w:hint="eastAsia" w:ascii="Times New Roman" w:hAnsi="Times New Roman" w:eastAsia="仿宋_GB2312" w:cs="Times New Roman"/>
                <w:color w:val="000000"/>
                <w:sz w:val="21"/>
                <w:szCs w:val="21"/>
                <w:highlight w:val="none"/>
                <w:lang w:val="en-US" w:eastAsia="zh-CN"/>
              </w:rPr>
              <w:t>1</w:t>
            </w:r>
          </w:p>
        </w:tc>
        <w:tc>
          <w:tcPr>
            <w:tcW w:w="183" w:type="pct"/>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eastAsia" w:ascii="Times New Roman" w:hAnsi="Times New Roman" w:eastAsia="仿宋_GB2312" w:cs="Times New Roman"/>
                <w:color w:val="000000"/>
                <w:sz w:val="21"/>
                <w:szCs w:val="21"/>
                <w:highlight w:val="none"/>
                <w:lang w:val="en-US" w:eastAsia="zh-CN"/>
              </w:rPr>
            </w:pPr>
            <w:r>
              <w:rPr>
                <w:rFonts w:hint="eastAsia" w:ascii="Times New Roman" w:hAnsi="Times New Roman" w:eastAsia="仿宋_GB2312" w:cs="Times New Roman"/>
                <w:color w:val="000000"/>
                <w:sz w:val="21"/>
                <w:szCs w:val="21"/>
                <w:highlight w:val="none"/>
                <w:lang w:val="en-US" w:eastAsia="zh-CN"/>
              </w:rPr>
              <w:t>2</w:t>
            </w:r>
          </w:p>
        </w:tc>
        <w:tc>
          <w:tcPr>
            <w:tcW w:w="183" w:type="pct"/>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eastAsia" w:ascii="Times New Roman" w:hAnsi="Times New Roman" w:eastAsia="仿宋_GB2312" w:cs="Times New Roman"/>
                <w:color w:val="000000"/>
                <w:sz w:val="21"/>
                <w:szCs w:val="21"/>
                <w:highlight w:val="none"/>
                <w:lang w:val="en-US" w:eastAsia="zh-CN"/>
              </w:rPr>
            </w:pPr>
            <w:r>
              <w:rPr>
                <w:rFonts w:hint="eastAsia" w:ascii="Times New Roman" w:hAnsi="Times New Roman" w:eastAsia="仿宋_GB2312" w:cs="Times New Roman"/>
                <w:color w:val="000000"/>
                <w:sz w:val="21"/>
                <w:szCs w:val="21"/>
                <w:highlight w:val="none"/>
                <w:lang w:val="en-US" w:eastAsia="zh-CN"/>
              </w:rPr>
              <w:t>3</w:t>
            </w:r>
          </w:p>
        </w:tc>
        <w:tc>
          <w:tcPr>
            <w:tcW w:w="183" w:type="pct"/>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eastAsia" w:ascii="Times New Roman" w:hAnsi="Times New Roman" w:eastAsia="仿宋_GB2312" w:cs="Times New Roman"/>
                <w:color w:val="000000"/>
                <w:sz w:val="21"/>
                <w:szCs w:val="21"/>
                <w:highlight w:val="none"/>
                <w:lang w:val="en-US" w:eastAsia="zh-CN"/>
              </w:rPr>
            </w:pPr>
            <w:r>
              <w:rPr>
                <w:rFonts w:hint="eastAsia" w:ascii="Times New Roman" w:hAnsi="Times New Roman" w:eastAsia="仿宋_GB2312" w:cs="Times New Roman"/>
                <w:color w:val="000000"/>
                <w:sz w:val="21"/>
                <w:szCs w:val="21"/>
                <w:highlight w:val="none"/>
                <w:lang w:val="en-US" w:eastAsia="zh-CN"/>
              </w:rPr>
              <w:t>4</w:t>
            </w:r>
          </w:p>
        </w:tc>
        <w:tc>
          <w:tcPr>
            <w:tcW w:w="183" w:type="pct"/>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eastAsia" w:ascii="Times New Roman" w:hAnsi="Times New Roman" w:eastAsia="仿宋_GB2312" w:cs="Times New Roman"/>
                <w:color w:val="000000"/>
                <w:sz w:val="21"/>
                <w:szCs w:val="21"/>
                <w:highlight w:val="none"/>
                <w:lang w:val="en-US" w:eastAsia="zh-CN"/>
              </w:rPr>
            </w:pPr>
            <w:r>
              <w:rPr>
                <w:rFonts w:hint="eastAsia" w:ascii="Times New Roman" w:hAnsi="Times New Roman" w:eastAsia="仿宋_GB2312" w:cs="Times New Roman"/>
                <w:color w:val="000000"/>
                <w:sz w:val="21"/>
                <w:szCs w:val="21"/>
                <w:highlight w:val="none"/>
                <w:lang w:val="en-US" w:eastAsia="zh-CN"/>
              </w:rPr>
              <w:t>5</w:t>
            </w:r>
          </w:p>
        </w:tc>
        <w:tc>
          <w:tcPr>
            <w:tcW w:w="183" w:type="pct"/>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eastAsia" w:ascii="Times New Roman" w:hAnsi="Times New Roman" w:eastAsia="仿宋_GB2312" w:cs="Times New Roman"/>
                <w:color w:val="000000"/>
                <w:sz w:val="21"/>
                <w:szCs w:val="21"/>
                <w:highlight w:val="none"/>
                <w:lang w:val="en-US" w:eastAsia="zh-CN"/>
              </w:rPr>
            </w:pPr>
            <w:r>
              <w:rPr>
                <w:rFonts w:hint="eastAsia" w:ascii="Times New Roman" w:hAnsi="Times New Roman" w:eastAsia="仿宋_GB2312" w:cs="Times New Roman"/>
                <w:color w:val="000000"/>
                <w:sz w:val="21"/>
                <w:szCs w:val="21"/>
                <w:highlight w:val="none"/>
                <w:lang w:val="en-US" w:eastAsia="zh-CN"/>
              </w:rPr>
              <w:t>6</w:t>
            </w:r>
          </w:p>
        </w:tc>
        <w:tc>
          <w:tcPr>
            <w:tcW w:w="183" w:type="pct"/>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eastAsia" w:ascii="Times New Roman" w:hAnsi="Times New Roman" w:eastAsia="仿宋_GB2312" w:cs="Times New Roman"/>
                <w:color w:val="000000"/>
                <w:sz w:val="21"/>
                <w:szCs w:val="21"/>
                <w:highlight w:val="none"/>
                <w:lang w:val="en-US" w:eastAsia="zh-CN"/>
              </w:rPr>
            </w:pPr>
            <w:r>
              <w:rPr>
                <w:rFonts w:hint="eastAsia" w:ascii="Times New Roman" w:hAnsi="Times New Roman" w:eastAsia="仿宋_GB2312" w:cs="Times New Roman"/>
                <w:color w:val="000000"/>
                <w:sz w:val="21"/>
                <w:szCs w:val="21"/>
                <w:highlight w:val="none"/>
                <w:lang w:val="en-US" w:eastAsia="zh-CN"/>
              </w:rPr>
              <w:t>7</w:t>
            </w:r>
          </w:p>
        </w:tc>
        <w:tc>
          <w:tcPr>
            <w:tcW w:w="183" w:type="pct"/>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eastAsia" w:ascii="Times New Roman" w:hAnsi="Times New Roman" w:eastAsia="仿宋_GB2312" w:cs="Times New Roman"/>
                <w:color w:val="000000"/>
                <w:sz w:val="21"/>
                <w:szCs w:val="21"/>
                <w:highlight w:val="none"/>
                <w:lang w:val="en-US" w:eastAsia="zh-CN"/>
              </w:rPr>
            </w:pPr>
            <w:r>
              <w:rPr>
                <w:rFonts w:hint="eastAsia" w:ascii="Times New Roman" w:hAnsi="Times New Roman" w:eastAsia="仿宋_GB2312" w:cs="Times New Roman"/>
                <w:color w:val="000000"/>
                <w:sz w:val="21"/>
                <w:szCs w:val="21"/>
                <w:highlight w:val="none"/>
                <w:lang w:val="en-US" w:eastAsia="zh-CN"/>
              </w:rPr>
              <w:t>8</w:t>
            </w:r>
          </w:p>
        </w:tc>
        <w:tc>
          <w:tcPr>
            <w:tcW w:w="183" w:type="pct"/>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eastAsia" w:ascii="Times New Roman" w:hAnsi="Times New Roman" w:eastAsia="仿宋_GB2312" w:cs="Times New Roman"/>
                <w:color w:val="000000"/>
                <w:sz w:val="21"/>
                <w:szCs w:val="21"/>
                <w:highlight w:val="none"/>
                <w:lang w:val="en-US" w:eastAsia="zh-CN"/>
              </w:rPr>
            </w:pPr>
            <w:r>
              <w:rPr>
                <w:rFonts w:hint="eastAsia" w:ascii="Times New Roman" w:hAnsi="Times New Roman" w:eastAsia="仿宋_GB2312" w:cs="Times New Roman"/>
                <w:color w:val="000000"/>
                <w:sz w:val="21"/>
                <w:szCs w:val="21"/>
                <w:highlight w:val="none"/>
                <w:lang w:val="en-US" w:eastAsia="zh-CN"/>
              </w:rPr>
              <w:t>9</w:t>
            </w:r>
          </w:p>
        </w:tc>
        <w:tc>
          <w:tcPr>
            <w:tcW w:w="194" w:type="pct"/>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val="en-US" w:eastAsia="zh-CN"/>
              </w:rPr>
            </w:pPr>
            <w:r>
              <w:rPr>
                <w:rFonts w:hint="eastAsia" w:ascii="Times New Roman" w:hAnsi="Times New Roman" w:eastAsia="仿宋_GB2312" w:cs="Times New Roman"/>
                <w:color w:val="000000"/>
                <w:sz w:val="21"/>
                <w:szCs w:val="21"/>
                <w:highlight w:val="none"/>
                <w:lang w:val="en-US" w:eastAsia="zh-CN"/>
              </w:rPr>
              <w:t>10</w:t>
            </w:r>
          </w:p>
        </w:tc>
        <w:tc>
          <w:tcPr>
            <w:tcW w:w="191" w:type="pct"/>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val="en-US" w:eastAsia="zh-CN"/>
              </w:rPr>
            </w:pPr>
            <w:r>
              <w:rPr>
                <w:rFonts w:hint="eastAsia" w:ascii="Times New Roman" w:hAnsi="Times New Roman" w:eastAsia="仿宋_GB2312" w:cs="Times New Roman"/>
                <w:color w:val="000000"/>
                <w:sz w:val="21"/>
                <w:szCs w:val="21"/>
                <w:highlight w:val="none"/>
                <w:lang w:val="en-US" w:eastAsia="zh-CN"/>
              </w:rPr>
              <w:t>11</w:t>
            </w:r>
          </w:p>
        </w:tc>
        <w:tc>
          <w:tcPr>
            <w:tcW w:w="206" w:type="pct"/>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val="en-US" w:eastAsia="zh-CN"/>
              </w:rPr>
            </w:pPr>
            <w:r>
              <w:rPr>
                <w:rFonts w:hint="eastAsia" w:ascii="Times New Roman" w:hAnsi="Times New Roman" w:eastAsia="仿宋_GB2312" w:cs="Times New Roman"/>
                <w:color w:val="000000"/>
                <w:sz w:val="21"/>
                <w:szCs w:val="21"/>
                <w:highlight w:val="none"/>
                <w:lang w:val="en-US" w:eastAsia="zh-CN"/>
              </w:rPr>
              <w:t>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482" w:type="pct"/>
            <w:vMerge w:val="restart"/>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lang w:bidi="ar"/>
              </w:rPr>
              <w:t>工程建设区</w:t>
            </w:r>
          </w:p>
        </w:tc>
        <w:tc>
          <w:tcPr>
            <w:tcW w:w="1138" w:type="pct"/>
            <w:gridSpan w:val="2"/>
            <w:vMerge w:val="restart"/>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Style w:val="561"/>
                <w:rFonts w:hint="default" w:ascii="Times New Roman" w:hAnsi="Times New Roman" w:cs="Times New Roman"/>
                <w:sz w:val="21"/>
                <w:szCs w:val="21"/>
                <w:highlight w:val="none"/>
                <w:lang w:bidi="ar"/>
              </w:rPr>
            </w:pPr>
            <w:r>
              <w:rPr>
                <w:rFonts w:hint="default" w:ascii="Times New Roman" w:hAnsi="Times New Roman" w:eastAsia="仿宋_GB2312" w:cs="Times New Roman"/>
                <w:color w:val="000000"/>
                <w:sz w:val="21"/>
                <w:szCs w:val="21"/>
                <w:highlight w:val="none"/>
                <w:lang w:bidi="ar"/>
              </w:rPr>
              <w:t>主体工程</w:t>
            </w:r>
          </w:p>
        </w:tc>
        <w:tc>
          <w:tcPr>
            <w:tcW w:w="183" w:type="pct"/>
            <w:tcBorders>
              <w:bottom w:val="single" w:color="4F81BD" w:themeColor="accent1"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cs="Times New Roman"/>
                <w:sz w:val="21"/>
                <w:szCs w:val="21"/>
                <w:highlight w:val="none"/>
              </w:rPr>
            </w:pPr>
          </w:p>
        </w:tc>
        <w:tc>
          <w:tcPr>
            <w:tcW w:w="183" w:type="pct"/>
            <w:tcBorders>
              <w:bottom w:val="single" w:color="4F81BD" w:themeColor="accent1"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cs="Times New Roman"/>
                <w:sz w:val="21"/>
                <w:szCs w:val="21"/>
                <w:highlight w:val="none"/>
              </w:rPr>
            </w:pPr>
          </w:p>
        </w:tc>
        <w:tc>
          <w:tcPr>
            <w:tcW w:w="183" w:type="pct"/>
            <w:tcBorders>
              <w:bottom w:val="single" w:color="4F81BD" w:themeColor="accent1"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cs="Times New Roman"/>
                <w:sz w:val="21"/>
                <w:szCs w:val="21"/>
                <w:highlight w:val="none"/>
              </w:rPr>
            </w:pPr>
          </w:p>
        </w:tc>
        <w:tc>
          <w:tcPr>
            <w:tcW w:w="194" w:type="pct"/>
            <w:tcBorders>
              <w:bottom w:val="single" w:color="4F81BD" w:themeColor="accent1"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cs="Times New Roman"/>
                <w:sz w:val="21"/>
                <w:szCs w:val="21"/>
                <w:highlight w:val="none"/>
              </w:rPr>
            </w:pPr>
          </w:p>
        </w:tc>
        <w:tc>
          <w:tcPr>
            <w:tcW w:w="190" w:type="pct"/>
            <w:tcBorders>
              <w:bottom w:val="single" w:color="4F81BD" w:themeColor="accent1"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94" w:type="pct"/>
            <w:tcBorders>
              <w:bottom w:val="single" w:color="4F81BD" w:themeColor="accent1"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84" w:type="pct"/>
            <w:tcBorders>
              <w:bottom w:val="single" w:color="4F81BD" w:themeColor="accent1"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83" w:type="pct"/>
            <w:tcBorders>
              <w:bottom w:val="single" w:color="4F81BD" w:themeColor="accent1"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83" w:type="pct"/>
            <w:tcBorders>
              <w:bottom w:val="single" w:color="4F81BD" w:themeColor="accent1"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83" w:type="pct"/>
            <w:tcBorders>
              <w:bottom w:val="single" w:color="4F81BD" w:themeColor="accent1"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83" w:type="pct"/>
            <w:tcBorders>
              <w:bottom w:val="single" w:color="4F81BD" w:themeColor="accent1"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83" w:type="pct"/>
            <w:tcBorders>
              <w:bottom w:val="single" w:color="4F81BD" w:themeColor="accent1"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83" w:type="pct"/>
            <w:tcBorders>
              <w:bottom w:val="single" w:color="4F81BD" w:themeColor="accent1"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83" w:type="pct"/>
            <w:tcBorders>
              <w:bottom w:val="single" w:color="4F81BD" w:themeColor="accent1"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bidi="ar"/>
              </w:rPr>
            </w:pPr>
          </w:p>
        </w:tc>
        <w:tc>
          <w:tcPr>
            <w:tcW w:w="183" w:type="pct"/>
            <w:tcBorders>
              <w:bottom w:val="single" w:color="4F81BD" w:themeColor="accent1"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94" w:type="pct"/>
            <w:tcBorders>
              <w:bottom w:val="single" w:color="4F81BD" w:themeColor="accent1"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91" w:type="pct"/>
            <w:tcBorders>
              <w:bottom w:val="single" w:color="4F81BD" w:themeColor="accent1"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206" w:type="pct"/>
            <w:tcBorders>
              <w:bottom w:val="single" w:color="4F81BD" w:themeColor="accent1"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482" w:type="pct"/>
            <w:vMerge w:val="continue"/>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bidi="ar"/>
              </w:rPr>
            </w:pPr>
          </w:p>
        </w:tc>
        <w:tc>
          <w:tcPr>
            <w:tcW w:w="1138" w:type="pct"/>
            <w:gridSpan w:val="2"/>
            <w:vMerge w:val="continue"/>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bidi="ar"/>
              </w:rPr>
            </w:pPr>
          </w:p>
        </w:tc>
        <w:tc>
          <w:tcPr>
            <w:tcW w:w="183" w:type="pct"/>
            <w:tcBorders>
              <w:top w:val="single" w:color="4F81BD" w:themeColor="accent1"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cs="Times New Roman"/>
                <w:sz w:val="21"/>
                <w:szCs w:val="21"/>
                <w:highlight w:val="none"/>
              </w:rPr>
            </w:pPr>
          </w:p>
        </w:tc>
        <w:tc>
          <w:tcPr>
            <w:tcW w:w="183" w:type="pct"/>
            <w:tcBorders>
              <w:top w:val="single" w:color="4F81BD" w:themeColor="accent1"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cs="Times New Roman"/>
                <w:sz w:val="21"/>
                <w:szCs w:val="21"/>
                <w:highlight w:val="none"/>
              </w:rPr>
            </w:pPr>
          </w:p>
        </w:tc>
        <w:tc>
          <w:tcPr>
            <w:tcW w:w="183" w:type="pct"/>
            <w:tcBorders>
              <w:top w:val="single" w:color="4F81BD" w:themeColor="accent1"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cs="Times New Roman"/>
                <w:sz w:val="21"/>
                <w:szCs w:val="21"/>
                <w:highlight w:val="none"/>
              </w:rPr>
            </w:pPr>
          </w:p>
        </w:tc>
        <w:tc>
          <w:tcPr>
            <w:tcW w:w="194" w:type="pct"/>
            <w:tcBorders>
              <w:top w:val="single" w:color="4F81BD" w:themeColor="accent1"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cs="Times New Roman"/>
                <w:sz w:val="21"/>
                <w:szCs w:val="21"/>
                <w:highlight w:val="none"/>
              </w:rPr>
            </w:pPr>
          </w:p>
        </w:tc>
        <w:tc>
          <w:tcPr>
            <w:tcW w:w="190" w:type="pct"/>
            <w:tcBorders>
              <w:top w:val="single" w:color="4F81BD" w:themeColor="accent1"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94" w:type="pct"/>
            <w:tcBorders>
              <w:top w:val="single" w:color="4F81BD" w:themeColor="accent1"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84" w:type="pct"/>
            <w:tcBorders>
              <w:top w:val="single" w:color="4F81BD" w:themeColor="accent1"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83" w:type="pct"/>
            <w:tcBorders>
              <w:top w:val="single" w:color="4F81BD" w:themeColor="accent1"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83" w:type="pct"/>
            <w:tcBorders>
              <w:top w:val="single" w:color="4F81BD" w:themeColor="accent1"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83" w:type="pct"/>
            <w:tcBorders>
              <w:top w:val="single" w:color="4F81BD" w:themeColor="accent1" w:sz="12" w:space="0"/>
              <w:bottom w:val="single" w:color="000000" w:themeColor="text1"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83" w:type="pct"/>
            <w:tcBorders>
              <w:top w:val="single" w:color="4F81BD" w:themeColor="accent1" w:sz="12" w:space="0"/>
              <w:bottom w:val="single" w:color="000000" w:themeColor="text1"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83" w:type="pct"/>
            <w:tcBorders>
              <w:top w:val="single" w:color="4F81BD" w:themeColor="accent1" w:sz="12" w:space="0"/>
              <w:bottom w:val="single" w:color="000000" w:themeColor="text1"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83" w:type="pct"/>
            <w:tcBorders>
              <w:top w:val="single" w:color="4F81BD" w:themeColor="accent1" w:sz="12" w:space="0"/>
              <w:bottom w:val="single" w:color="000000" w:themeColor="text1"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83" w:type="pct"/>
            <w:tcBorders>
              <w:top w:val="single" w:color="4F81BD" w:themeColor="accent1" w:sz="12" w:space="0"/>
              <w:bottom w:val="single" w:color="000000" w:themeColor="text1" w:sz="4"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bidi="ar"/>
              </w:rPr>
            </w:pPr>
          </w:p>
        </w:tc>
        <w:tc>
          <w:tcPr>
            <w:tcW w:w="183" w:type="pct"/>
            <w:tcBorders>
              <w:top w:val="single" w:color="4F81BD" w:themeColor="accent1" w:sz="12" w:space="0"/>
              <w:bottom w:val="single" w:color="000000" w:themeColor="text1" w:sz="4"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94" w:type="pct"/>
            <w:tcBorders>
              <w:top w:val="single" w:color="4F81BD" w:themeColor="accent1" w:sz="12" w:space="0"/>
              <w:bottom w:val="single" w:color="000000" w:themeColor="text1" w:sz="4"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91" w:type="pct"/>
            <w:tcBorders>
              <w:top w:val="single" w:color="4F81BD" w:themeColor="accent1"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206" w:type="pct"/>
            <w:tcBorders>
              <w:top w:val="single" w:color="4F81BD" w:themeColor="accent1"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482" w:type="pct"/>
            <w:vMerge w:val="continue"/>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409" w:type="pct"/>
            <w:vMerge w:val="restart"/>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bidi="ar"/>
              </w:rPr>
            </w:pPr>
            <w:r>
              <w:rPr>
                <w:rFonts w:hint="default" w:ascii="Times New Roman" w:hAnsi="Times New Roman" w:eastAsia="仿宋_GB2312" w:cs="Times New Roman"/>
                <w:color w:val="000000"/>
                <w:sz w:val="21"/>
                <w:szCs w:val="21"/>
                <w:highlight w:val="none"/>
                <w:lang w:bidi="ar"/>
              </w:rPr>
              <w:t>工程措施</w:t>
            </w:r>
          </w:p>
        </w:tc>
        <w:tc>
          <w:tcPr>
            <w:tcW w:w="729" w:type="pct"/>
            <w:vMerge w:val="restart"/>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i w:val="0"/>
                <w:iCs w:val="0"/>
                <w:color w:val="000000"/>
                <w:kern w:val="2"/>
                <w:sz w:val="21"/>
                <w:szCs w:val="21"/>
                <w:highlight w:val="none"/>
                <w:u w:val="none"/>
                <w:lang w:val="en-US" w:eastAsia="zh-CN" w:bidi="ar"/>
              </w:rPr>
            </w:pPr>
            <w:r>
              <w:rPr>
                <w:rStyle w:val="561"/>
                <w:rFonts w:hint="eastAsia" w:ascii="Times New Roman" w:hAnsi="Times New Roman" w:eastAsia="仿宋_GB2312" w:cs="Times New Roman"/>
                <w:sz w:val="21"/>
                <w:szCs w:val="21"/>
                <w:highlight w:val="none"/>
                <w:lang w:val="en-US" w:eastAsia="zh-CN" w:bidi="ar"/>
              </w:rPr>
              <w:t>雨水管线、雨水口</w:t>
            </w:r>
          </w:p>
        </w:tc>
        <w:tc>
          <w:tcPr>
            <w:tcW w:w="183" w:type="pct"/>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83" w:type="pct"/>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83" w:type="pct"/>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94" w:type="pct"/>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90" w:type="pct"/>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94" w:type="pct"/>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84" w:type="pct"/>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83" w:type="pct"/>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83" w:type="pct"/>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83" w:type="pct"/>
            <w:tcBorders>
              <w:top w:val="single" w:color="000000" w:themeColor="text1" w:sz="6" w:space="0"/>
              <w:bottom w:val="dashed" w:color="4BACC6" w:themeColor="accent5" w:sz="12" w:space="0"/>
              <w:right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83" w:type="pct"/>
            <w:tcBorders>
              <w:top w:val="single" w:color="000000" w:themeColor="text1" w:sz="6" w:space="0"/>
              <w:left w:val="nil"/>
              <w:bottom w:val="dashed" w:color="4BACC6" w:themeColor="accent5" w:sz="12" w:space="0"/>
              <w:right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83" w:type="pct"/>
            <w:tcBorders>
              <w:top w:val="single" w:color="000000" w:themeColor="text1" w:sz="6" w:space="0"/>
              <w:left w:val="nil"/>
              <w:bottom w:val="dashed" w:color="4BACC6" w:themeColor="accent5" w:sz="12" w:space="0"/>
              <w:right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83" w:type="pct"/>
            <w:tcBorders>
              <w:top w:val="single" w:color="000000" w:themeColor="text1" w:sz="6" w:space="0"/>
              <w:left w:val="nil"/>
              <w:bottom w:val="dashed" w:color="4BACC6" w:themeColor="accent5" w:sz="12" w:space="0"/>
              <w:right w:val="single" w:color="000000" w:themeColor="text1" w:sz="4"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83" w:type="pct"/>
            <w:tcBorders>
              <w:top w:val="single" w:color="000000" w:themeColor="text1" w:sz="4" w:space="0"/>
              <w:left w:val="single" w:color="000000" w:themeColor="text1" w:sz="4" w:space="0"/>
              <w:bottom w:val="nil"/>
              <w:right w:val="single" w:color="000000" w:themeColor="text1" w:sz="4"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
              </w:rPr>
            </w:pPr>
          </w:p>
        </w:tc>
        <w:tc>
          <w:tcPr>
            <w:tcW w:w="183" w:type="pct"/>
            <w:tcBorders>
              <w:top w:val="single" w:color="000000" w:themeColor="text1" w:sz="4" w:space="0"/>
              <w:left w:val="single" w:color="000000" w:themeColor="text1" w:sz="4" w:space="0"/>
              <w:bottom w:val="nil"/>
              <w:right w:val="single" w:color="000000" w:themeColor="text1" w:sz="4"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94" w:type="pct"/>
            <w:tcBorders>
              <w:top w:val="single" w:color="000000" w:themeColor="text1" w:sz="4" w:space="0"/>
              <w:left w:val="single" w:color="000000" w:themeColor="text1" w:sz="4" w:space="0"/>
              <w:bottom w:val="nil"/>
              <w:right w:val="single" w:color="auto"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91" w:type="pct"/>
            <w:tcBorders>
              <w:left w:val="single" w:color="auto" w:sz="6" w:space="0"/>
              <w:bottom w:val="nil"/>
              <w:right w:val="single" w:color="auto"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206" w:type="pct"/>
            <w:tcBorders>
              <w:left w:val="single" w:color="auto" w:sz="6" w:space="0"/>
              <w:bottom w:val="nil"/>
              <w:right w:val="single" w:color="auto"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482" w:type="pct"/>
            <w:vMerge w:val="continue"/>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409" w:type="pct"/>
            <w:vMerge w:val="continue"/>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bidi="ar"/>
              </w:rPr>
            </w:pPr>
          </w:p>
        </w:tc>
        <w:tc>
          <w:tcPr>
            <w:tcW w:w="729" w:type="pct"/>
            <w:vMerge w:val="continue"/>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Style w:val="561"/>
                <w:rFonts w:hint="default" w:ascii="Times New Roman" w:hAnsi="Times New Roman" w:cs="Times New Roman"/>
                <w:sz w:val="21"/>
                <w:szCs w:val="21"/>
                <w:highlight w:val="none"/>
                <w:lang w:bidi="ar"/>
              </w:rPr>
            </w:pPr>
          </w:p>
        </w:tc>
        <w:tc>
          <w:tcPr>
            <w:tcW w:w="183" w:type="pct"/>
            <w:tcBorders>
              <w:top w:val="nil"/>
              <w:bottom w:val="single" w:color="auto"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83" w:type="pct"/>
            <w:tcBorders>
              <w:top w:val="nil"/>
              <w:bottom w:val="single" w:color="auto"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83" w:type="pct"/>
            <w:tcBorders>
              <w:top w:val="nil"/>
              <w:bottom w:val="single" w:color="auto"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94" w:type="pct"/>
            <w:tcBorders>
              <w:top w:val="nil"/>
              <w:bottom w:val="single" w:color="auto"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90" w:type="pct"/>
            <w:tcBorders>
              <w:top w:val="nil"/>
              <w:bottom w:val="single" w:color="auto"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94" w:type="pct"/>
            <w:tcBorders>
              <w:top w:val="nil"/>
              <w:bottom w:val="single" w:color="auto"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84" w:type="pct"/>
            <w:tcBorders>
              <w:top w:val="nil"/>
              <w:bottom w:val="single" w:color="auto"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83" w:type="pct"/>
            <w:tcBorders>
              <w:top w:val="nil"/>
              <w:bottom w:val="single" w:color="auto"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83" w:type="pct"/>
            <w:tcBorders>
              <w:top w:val="nil"/>
              <w:bottom w:val="single" w:color="auto"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83" w:type="pct"/>
            <w:tcBorders>
              <w:top w:val="dashed" w:color="4BACC6" w:themeColor="accent5" w:sz="12" w:space="0"/>
              <w:bottom w:val="single" w:color="auto" w:sz="6" w:space="0"/>
              <w:right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83" w:type="pct"/>
            <w:tcBorders>
              <w:top w:val="dashed" w:color="4BACC6" w:themeColor="accent5" w:sz="12" w:space="0"/>
              <w:left w:val="nil"/>
              <w:bottom w:val="single" w:color="auto" w:sz="6" w:space="0"/>
              <w:right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83" w:type="pct"/>
            <w:tcBorders>
              <w:top w:val="dashed" w:color="4BACC6" w:themeColor="accent5" w:sz="12" w:space="0"/>
              <w:left w:val="nil"/>
              <w:bottom w:val="single" w:color="auto" w:sz="6" w:space="0"/>
              <w:right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1"/>
                <w:szCs w:val="21"/>
                <w:highlight w:val="none"/>
              </w:rPr>
            </w:pPr>
          </w:p>
        </w:tc>
        <w:tc>
          <w:tcPr>
            <w:tcW w:w="183" w:type="pct"/>
            <w:tcBorders>
              <w:top w:val="dashed" w:color="4BACC6" w:themeColor="accent5" w:sz="12" w:space="0"/>
              <w:left w:val="nil"/>
              <w:bottom w:val="single" w:color="auto" w:sz="6" w:space="0"/>
              <w:right w:val="single" w:color="000000" w:themeColor="text1" w:sz="4"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83" w:type="pct"/>
            <w:tcBorders>
              <w:top w:val="nil"/>
              <w:left w:val="single" w:color="000000" w:themeColor="text1" w:sz="4" w:space="0"/>
              <w:right w:val="single" w:color="000000" w:themeColor="text1" w:sz="4"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
              </w:rPr>
            </w:pPr>
          </w:p>
        </w:tc>
        <w:tc>
          <w:tcPr>
            <w:tcW w:w="183" w:type="pct"/>
            <w:tcBorders>
              <w:top w:val="nil"/>
              <w:left w:val="single" w:color="000000" w:themeColor="text1" w:sz="4" w:space="0"/>
              <w:right w:val="single" w:color="000000" w:themeColor="text1" w:sz="4"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94" w:type="pct"/>
            <w:tcBorders>
              <w:top w:val="nil"/>
              <w:left w:val="single" w:color="000000" w:themeColor="text1" w:sz="4" w:space="0"/>
              <w:right w:val="single" w:color="auto"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91" w:type="pct"/>
            <w:tcBorders>
              <w:top w:val="nil"/>
              <w:left w:val="single" w:color="auto" w:sz="6" w:space="0"/>
              <w:right w:val="single" w:color="auto"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206" w:type="pct"/>
            <w:tcBorders>
              <w:top w:val="nil"/>
              <w:left w:val="single" w:color="auto" w:sz="6" w:space="0"/>
              <w:right w:val="single" w:color="auto" w:sz="6"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482" w:type="pct"/>
            <w:vMerge w:val="continue"/>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bidi="ar"/>
              </w:rPr>
            </w:pPr>
          </w:p>
        </w:tc>
        <w:tc>
          <w:tcPr>
            <w:tcW w:w="409" w:type="pct"/>
            <w:vMerge w:val="continue"/>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bidi="ar"/>
              </w:rPr>
            </w:pPr>
          </w:p>
        </w:tc>
        <w:tc>
          <w:tcPr>
            <w:tcW w:w="729" w:type="pct"/>
            <w:vMerge w:val="restart"/>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Style w:val="561"/>
                <w:rFonts w:hint="default" w:ascii="Times New Roman" w:hAnsi="Times New Roman" w:cs="Times New Roman"/>
                <w:sz w:val="21"/>
                <w:szCs w:val="21"/>
                <w:highlight w:val="none"/>
                <w:lang w:bidi="ar"/>
              </w:rPr>
            </w:pPr>
            <w:r>
              <w:rPr>
                <w:rStyle w:val="561"/>
                <w:rFonts w:hint="default" w:ascii="Times New Roman" w:hAnsi="Times New Roman" w:cs="Times New Roman"/>
                <w:sz w:val="21"/>
                <w:szCs w:val="21"/>
                <w:highlight w:val="none"/>
                <w:lang w:bidi="ar"/>
              </w:rPr>
              <w:t>全面整地</w:t>
            </w:r>
          </w:p>
        </w:tc>
        <w:tc>
          <w:tcPr>
            <w:tcW w:w="183" w:type="pct"/>
            <w:tcBorders>
              <w:top w:val="single" w:color="auto" w:sz="6" w:space="0"/>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83" w:type="pct"/>
            <w:tcBorders>
              <w:top w:val="single" w:color="auto" w:sz="6" w:space="0"/>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83" w:type="pct"/>
            <w:tcBorders>
              <w:top w:val="single" w:color="auto" w:sz="6" w:space="0"/>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94" w:type="pct"/>
            <w:tcBorders>
              <w:top w:val="single" w:color="auto" w:sz="6" w:space="0"/>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90" w:type="pct"/>
            <w:tcBorders>
              <w:top w:val="single" w:color="auto" w:sz="6" w:space="0"/>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94" w:type="pct"/>
            <w:tcBorders>
              <w:top w:val="single" w:color="auto" w:sz="6" w:space="0"/>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84" w:type="pct"/>
            <w:tcBorders>
              <w:top w:val="single" w:color="auto" w:sz="6" w:space="0"/>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83" w:type="pct"/>
            <w:tcBorders>
              <w:top w:val="single" w:color="auto" w:sz="6" w:space="0"/>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83" w:type="pct"/>
            <w:tcBorders>
              <w:top w:val="single" w:color="auto" w:sz="6" w:space="0"/>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83" w:type="pct"/>
            <w:tcBorders>
              <w:top w:val="single" w:color="auto" w:sz="6" w:space="0"/>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83" w:type="pct"/>
            <w:tcBorders>
              <w:top w:val="single" w:color="auto" w:sz="6" w:space="0"/>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83" w:type="pct"/>
            <w:tcBorders>
              <w:top w:val="single" w:color="auto" w:sz="6" w:space="0"/>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83" w:type="pct"/>
            <w:tcBorders>
              <w:top w:val="single" w:color="auto" w:sz="6" w:space="0"/>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83" w:type="pct"/>
            <w:tcBorders>
              <w:bottom w:val="dashed" w:color="4BACC6" w:themeColor="accent5"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bidi="ar"/>
              </w:rPr>
            </w:pPr>
          </w:p>
        </w:tc>
        <w:tc>
          <w:tcPr>
            <w:tcW w:w="183" w:type="pct"/>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94" w:type="pct"/>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91" w:type="pct"/>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206" w:type="pct"/>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482" w:type="pct"/>
            <w:vMerge w:val="continue"/>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bidi="ar"/>
              </w:rPr>
            </w:pPr>
          </w:p>
        </w:tc>
        <w:tc>
          <w:tcPr>
            <w:tcW w:w="409" w:type="pct"/>
            <w:vMerge w:val="continue"/>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bidi="ar"/>
              </w:rPr>
            </w:pPr>
          </w:p>
        </w:tc>
        <w:tc>
          <w:tcPr>
            <w:tcW w:w="729" w:type="pct"/>
            <w:vMerge w:val="continue"/>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Style w:val="561"/>
                <w:rFonts w:hint="default" w:ascii="Times New Roman" w:hAnsi="Times New Roman" w:cs="Times New Roman"/>
                <w:sz w:val="21"/>
                <w:szCs w:val="21"/>
                <w:highlight w:val="none"/>
                <w:lang w:bidi="ar"/>
              </w:rPr>
            </w:pPr>
          </w:p>
        </w:tc>
        <w:tc>
          <w:tcPr>
            <w:tcW w:w="183" w:type="pct"/>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83" w:type="pct"/>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83" w:type="pct"/>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94" w:type="pct"/>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90" w:type="pct"/>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94" w:type="pct"/>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84" w:type="pct"/>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83" w:type="pct"/>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83" w:type="pct"/>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83" w:type="pct"/>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83" w:type="pct"/>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83" w:type="pct"/>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83" w:type="pct"/>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83" w:type="pct"/>
            <w:tcBorders>
              <w:top w:val="dashed" w:color="4BACC6" w:themeColor="accent5"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1"/>
                <w:szCs w:val="21"/>
                <w:highlight w:val="none"/>
              </w:rPr>
            </w:pPr>
          </w:p>
        </w:tc>
        <w:tc>
          <w:tcPr>
            <w:tcW w:w="183" w:type="pct"/>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94" w:type="pct"/>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91" w:type="pct"/>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206" w:type="pct"/>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482" w:type="pct"/>
            <w:vMerge w:val="continue"/>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bidi="ar"/>
              </w:rPr>
            </w:pPr>
          </w:p>
        </w:tc>
        <w:tc>
          <w:tcPr>
            <w:tcW w:w="409" w:type="pct"/>
            <w:vMerge w:val="continue"/>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bidi="ar"/>
              </w:rPr>
            </w:pPr>
          </w:p>
        </w:tc>
        <w:tc>
          <w:tcPr>
            <w:tcW w:w="729" w:type="pct"/>
            <w:vMerge w:val="restart"/>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Style w:val="561"/>
                <w:rFonts w:hint="default" w:ascii="Times New Roman" w:hAnsi="Times New Roman" w:cs="Times New Roman"/>
                <w:sz w:val="21"/>
                <w:szCs w:val="21"/>
                <w:highlight w:val="none"/>
                <w:lang w:bidi="ar"/>
              </w:rPr>
            </w:pPr>
            <w:r>
              <w:rPr>
                <w:rStyle w:val="561"/>
                <w:rFonts w:hint="default" w:ascii="Times New Roman" w:hAnsi="Times New Roman" w:cs="Times New Roman"/>
                <w:sz w:val="21"/>
                <w:szCs w:val="21"/>
                <w:highlight w:val="none"/>
                <w:lang w:bidi="ar"/>
              </w:rPr>
              <w:t>绿化用土回覆</w:t>
            </w:r>
          </w:p>
        </w:tc>
        <w:tc>
          <w:tcPr>
            <w:tcW w:w="183" w:type="pct"/>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83" w:type="pct"/>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83" w:type="pct"/>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94" w:type="pct"/>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90" w:type="pct"/>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94" w:type="pct"/>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84" w:type="pct"/>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83" w:type="pct"/>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83" w:type="pct"/>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83" w:type="pct"/>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83" w:type="pct"/>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83" w:type="pct"/>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83" w:type="pct"/>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83" w:type="pct"/>
            <w:tcBorders>
              <w:bottom w:val="dashed" w:color="4BACC6" w:themeColor="accent5"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bidi="ar"/>
              </w:rPr>
            </w:pPr>
          </w:p>
        </w:tc>
        <w:tc>
          <w:tcPr>
            <w:tcW w:w="183" w:type="pct"/>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94" w:type="pct"/>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91" w:type="pct"/>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206" w:type="pct"/>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482" w:type="pct"/>
            <w:vMerge w:val="continue"/>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bidi="ar"/>
              </w:rPr>
            </w:pPr>
          </w:p>
        </w:tc>
        <w:tc>
          <w:tcPr>
            <w:tcW w:w="409" w:type="pct"/>
            <w:vMerge w:val="continue"/>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bidi="ar"/>
              </w:rPr>
            </w:pPr>
          </w:p>
        </w:tc>
        <w:tc>
          <w:tcPr>
            <w:tcW w:w="729" w:type="pct"/>
            <w:vMerge w:val="continue"/>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Style w:val="561"/>
                <w:rFonts w:hint="default" w:ascii="Times New Roman" w:hAnsi="Times New Roman" w:cs="Times New Roman"/>
                <w:sz w:val="21"/>
                <w:szCs w:val="21"/>
                <w:highlight w:val="none"/>
                <w:lang w:bidi="ar"/>
              </w:rPr>
            </w:pPr>
          </w:p>
        </w:tc>
        <w:tc>
          <w:tcPr>
            <w:tcW w:w="183" w:type="pct"/>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83" w:type="pct"/>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83" w:type="pct"/>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94" w:type="pct"/>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90" w:type="pct"/>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94" w:type="pct"/>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84" w:type="pct"/>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83" w:type="pct"/>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83" w:type="pct"/>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83" w:type="pct"/>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83" w:type="pct"/>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83" w:type="pct"/>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83" w:type="pct"/>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83" w:type="pct"/>
            <w:tcBorders>
              <w:top w:val="dashed" w:color="4BACC6" w:themeColor="accent5"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1"/>
                <w:szCs w:val="21"/>
                <w:highlight w:val="none"/>
              </w:rPr>
            </w:pPr>
          </w:p>
        </w:tc>
        <w:tc>
          <w:tcPr>
            <w:tcW w:w="183" w:type="pct"/>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94" w:type="pct"/>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91" w:type="pct"/>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206" w:type="pct"/>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482" w:type="pct"/>
            <w:vMerge w:val="continue"/>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bidi="ar"/>
              </w:rPr>
            </w:pPr>
          </w:p>
        </w:tc>
        <w:tc>
          <w:tcPr>
            <w:tcW w:w="409" w:type="pct"/>
            <w:vMerge w:val="restart"/>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bidi="ar"/>
              </w:rPr>
            </w:pPr>
            <w:r>
              <w:rPr>
                <w:rFonts w:hint="default" w:ascii="Times New Roman" w:hAnsi="Times New Roman" w:eastAsia="仿宋_GB2312" w:cs="Times New Roman"/>
                <w:color w:val="000000"/>
                <w:sz w:val="21"/>
                <w:szCs w:val="21"/>
                <w:highlight w:val="none"/>
                <w:lang w:bidi="ar"/>
              </w:rPr>
              <w:t>植物措施</w:t>
            </w:r>
          </w:p>
        </w:tc>
        <w:tc>
          <w:tcPr>
            <w:tcW w:w="729" w:type="pct"/>
            <w:vMerge w:val="restart"/>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Style w:val="561"/>
                <w:rFonts w:hint="default" w:ascii="Times New Roman" w:hAnsi="Times New Roman" w:cs="Times New Roman"/>
                <w:sz w:val="21"/>
                <w:szCs w:val="21"/>
                <w:highlight w:val="none"/>
                <w:lang w:bidi="ar"/>
              </w:rPr>
            </w:pPr>
            <w:r>
              <w:rPr>
                <w:rStyle w:val="561"/>
                <w:rFonts w:hint="default" w:ascii="Times New Roman" w:hAnsi="Times New Roman" w:cs="Times New Roman"/>
                <w:sz w:val="21"/>
                <w:szCs w:val="21"/>
                <w:highlight w:val="none"/>
                <w:lang w:bidi="ar"/>
              </w:rPr>
              <w:t>绿化</w:t>
            </w:r>
          </w:p>
        </w:tc>
        <w:tc>
          <w:tcPr>
            <w:tcW w:w="183" w:type="pct"/>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83" w:type="pct"/>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83" w:type="pct"/>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94" w:type="pct"/>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90" w:type="pct"/>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94" w:type="pct"/>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84" w:type="pct"/>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83" w:type="pct"/>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83" w:type="pct"/>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83" w:type="pct"/>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83" w:type="pct"/>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1"/>
                <w:szCs w:val="21"/>
                <w:highlight w:val="none"/>
              </w:rPr>
            </w:pPr>
          </w:p>
        </w:tc>
        <w:tc>
          <w:tcPr>
            <w:tcW w:w="183" w:type="pct"/>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83" w:type="pct"/>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83" w:type="pct"/>
            <w:tcBorders>
              <w:bottom w:val="dotDotDash" w:color="00B050" w:sz="18"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bidi="ar"/>
              </w:rPr>
            </w:pPr>
          </w:p>
        </w:tc>
        <w:tc>
          <w:tcPr>
            <w:tcW w:w="183" w:type="pct"/>
            <w:tcBorders>
              <w:bottom w:val="dotDotDash" w:color="00B050" w:sz="18"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94" w:type="pct"/>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91" w:type="pct"/>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206" w:type="pct"/>
            <w:tcBorders>
              <w:bottom w:val="nil"/>
              <w:right w:val="single" w:color="auto"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482" w:type="pct"/>
            <w:vMerge w:val="continue"/>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bidi="ar"/>
              </w:rPr>
            </w:pPr>
          </w:p>
        </w:tc>
        <w:tc>
          <w:tcPr>
            <w:tcW w:w="409" w:type="pct"/>
            <w:vMerge w:val="continue"/>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bidi="ar"/>
              </w:rPr>
            </w:pPr>
          </w:p>
        </w:tc>
        <w:tc>
          <w:tcPr>
            <w:tcW w:w="729" w:type="pct"/>
            <w:vMerge w:val="continue"/>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Style w:val="561"/>
                <w:rFonts w:hint="default" w:ascii="Times New Roman" w:hAnsi="Times New Roman" w:cs="Times New Roman"/>
                <w:sz w:val="21"/>
                <w:szCs w:val="21"/>
                <w:highlight w:val="none"/>
                <w:lang w:bidi="ar"/>
              </w:rPr>
            </w:pPr>
          </w:p>
        </w:tc>
        <w:tc>
          <w:tcPr>
            <w:tcW w:w="183" w:type="pct"/>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83" w:type="pct"/>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83" w:type="pct"/>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94" w:type="pct"/>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90" w:type="pct"/>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94" w:type="pct"/>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84" w:type="pct"/>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83" w:type="pct"/>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83" w:type="pct"/>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83" w:type="pct"/>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83" w:type="pct"/>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1"/>
                <w:szCs w:val="21"/>
                <w:highlight w:val="none"/>
              </w:rPr>
            </w:pPr>
          </w:p>
        </w:tc>
        <w:tc>
          <w:tcPr>
            <w:tcW w:w="183" w:type="pct"/>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83" w:type="pct"/>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83" w:type="pct"/>
            <w:tcBorders>
              <w:top w:val="dotDotDash" w:color="00B050" w:sz="18"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1"/>
                <w:szCs w:val="21"/>
                <w:highlight w:val="none"/>
              </w:rPr>
            </w:pPr>
          </w:p>
        </w:tc>
        <w:tc>
          <w:tcPr>
            <w:tcW w:w="183" w:type="pct"/>
            <w:tcBorders>
              <w:top w:val="dotDotDash" w:color="00B050" w:sz="18"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94" w:type="pct"/>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91" w:type="pct"/>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206" w:type="pct"/>
            <w:tcBorders>
              <w:top w:val="nil"/>
              <w:right w:val="single" w:color="auto" w:sz="12"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1" w:hRule="atLeast"/>
          <w:jc w:val="center"/>
        </w:trPr>
        <w:tc>
          <w:tcPr>
            <w:tcW w:w="482" w:type="pct"/>
            <w:vMerge w:val="continue"/>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409" w:type="pct"/>
            <w:vMerge w:val="restart"/>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lang w:bidi="ar"/>
              </w:rPr>
              <w:t>临时措施</w:t>
            </w:r>
          </w:p>
        </w:tc>
        <w:tc>
          <w:tcPr>
            <w:tcW w:w="729" w:type="pct"/>
            <w:vMerge w:val="restart"/>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spacing w:val="6"/>
                <w:sz w:val="21"/>
                <w:szCs w:val="21"/>
                <w:lang w:val="en-US" w:eastAsia="zh-CN"/>
              </w:rPr>
              <w:t>密目网苫盖</w:t>
            </w:r>
          </w:p>
        </w:tc>
        <w:tc>
          <w:tcPr>
            <w:tcW w:w="183" w:type="pct"/>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1"/>
                <w:szCs w:val="21"/>
                <w:highlight w:val="none"/>
              </w:rPr>
            </w:pPr>
          </w:p>
        </w:tc>
        <w:tc>
          <w:tcPr>
            <w:tcW w:w="183" w:type="pct"/>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1"/>
                <w:szCs w:val="21"/>
                <w:highlight w:val="none"/>
              </w:rPr>
            </w:pPr>
          </w:p>
        </w:tc>
        <w:tc>
          <w:tcPr>
            <w:tcW w:w="183" w:type="pct"/>
            <w:tcBorders>
              <w:bottom w:val="double" w:color="F79646" w:themeColor="accent6" w:sz="4"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1"/>
                <w:szCs w:val="21"/>
                <w:highlight w:val="none"/>
              </w:rPr>
            </w:pPr>
          </w:p>
        </w:tc>
        <w:tc>
          <w:tcPr>
            <w:tcW w:w="194" w:type="pct"/>
            <w:tcBorders>
              <w:bottom w:val="double" w:color="F79646" w:themeColor="accent6" w:sz="4"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1"/>
                <w:szCs w:val="21"/>
                <w:highlight w:val="none"/>
              </w:rPr>
            </w:pPr>
          </w:p>
        </w:tc>
        <w:tc>
          <w:tcPr>
            <w:tcW w:w="190" w:type="pct"/>
            <w:tcBorders>
              <w:bottom w:val="double" w:color="F79646" w:themeColor="accent6" w:sz="4"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1"/>
                <w:szCs w:val="21"/>
                <w:highlight w:val="none"/>
              </w:rPr>
            </w:pPr>
          </w:p>
        </w:tc>
        <w:tc>
          <w:tcPr>
            <w:tcW w:w="194" w:type="pct"/>
            <w:tcBorders>
              <w:bottom w:val="double" w:color="F79646" w:themeColor="accent6" w:sz="4"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84" w:type="pct"/>
            <w:tcBorders>
              <w:bottom w:val="double" w:color="F79646" w:themeColor="accent6" w:sz="4"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83" w:type="pct"/>
            <w:tcBorders>
              <w:bottom w:val="double" w:color="F79646" w:themeColor="accent6" w:sz="4"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83" w:type="pct"/>
            <w:tcBorders>
              <w:bottom w:val="double" w:color="F79646" w:themeColor="accent6" w:sz="4"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83" w:type="pct"/>
            <w:tcBorders>
              <w:bottom w:val="double" w:color="F79646" w:themeColor="accent6" w:sz="4"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83" w:type="pct"/>
            <w:tcBorders>
              <w:bottom w:val="double" w:color="F79646" w:themeColor="accent6" w:sz="4"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83" w:type="pct"/>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83" w:type="pct"/>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83" w:type="pct"/>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83" w:type="pct"/>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94" w:type="pct"/>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91" w:type="pct"/>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206" w:type="pct"/>
            <w:tcBorders>
              <w:bottom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482" w:type="pct"/>
            <w:vMerge w:val="continue"/>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409" w:type="pct"/>
            <w:vMerge w:val="continue"/>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bidi="ar"/>
              </w:rPr>
            </w:pPr>
          </w:p>
        </w:tc>
        <w:tc>
          <w:tcPr>
            <w:tcW w:w="729" w:type="pct"/>
            <w:vMerge w:val="continue"/>
            <w:tcBorders>
              <w:tl2br w:val="nil"/>
              <w:tr2bl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83" w:type="pct"/>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1"/>
                <w:szCs w:val="21"/>
                <w:highlight w:val="none"/>
              </w:rPr>
            </w:pPr>
          </w:p>
        </w:tc>
        <w:tc>
          <w:tcPr>
            <w:tcW w:w="183" w:type="pct"/>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1"/>
                <w:szCs w:val="21"/>
                <w:highlight w:val="none"/>
              </w:rPr>
            </w:pPr>
          </w:p>
        </w:tc>
        <w:tc>
          <w:tcPr>
            <w:tcW w:w="183" w:type="pct"/>
            <w:tcBorders>
              <w:top w:val="double" w:color="F79646" w:themeColor="accent6" w:sz="4"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1"/>
                <w:szCs w:val="21"/>
                <w:highlight w:val="none"/>
              </w:rPr>
            </w:pPr>
          </w:p>
        </w:tc>
        <w:tc>
          <w:tcPr>
            <w:tcW w:w="194" w:type="pct"/>
            <w:tcBorders>
              <w:top w:val="double" w:color="F79646" w:themeColor="accent6" w:sz="4"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1"/>
                <w:szCs w:val="21"/>
                <w:highlight w:val="none"/>
              </w:rPr>
            </w:pPr>
          </w:p>
        </w:tc>
        <w:tc>
          <w:tcPr>
            <w:tcW w:w="190" w:type="pct"/>
            <w:tcBorders>
              <w:top w:val="double" w:color="F79646" w:themeColor="accent6" w:sz="4"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1"/>
                <w:szCs w:val="21"/>
                <w:highlight w:val="none"/>
              </w:rPr>
            </w:pPr>
          </w:p>
        </w:tc>
        <w:tc>
          <w:tcPr>
            <w:tcW w:w="194" w:type="pct"/>
            <w:tcBorders>
              <w:top w:val="double" w:color="F79646" w:themeColor="accent6" w:sz="4"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84" w:type="pct"/>
            <w:tcBorders>
              <w:top w:val="double" w:color="F79646" w:themeColor="accent6" w:sz="4"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83" w:type="pct"/>
            <w:tcBorders>
              <w:top w:val="double" w:color="F79646" w:themeColor="accent6" w:sz="4"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83" w:type="pct"/>
            <w:tcBorders>
              <w:top w:val="double" w:color="F79646" w:themeColor="accent6" w:sz="4"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83" w:type="pct"/>
            <w:tcBorders>
              <w:top w:val="double" w:color="F79646" w:themeColor="accent6" w:sz="4"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83" w:type="pct"/>
            <w:tcBorders>
              <w:top w:val="double" w:color="F79646" w:themeColor="accent6" w:sz="4" w:space="0"/>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83" w:type="pct"/>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83" w:type="pct"/>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83" w:type="pct"/>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83" w:type="pct"/>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94" w:type="pct"/>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91" w:type="pct"/>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206" w:type="pct"/>
            <w:tcBorders>
              <w:top w:val="nil"/>
            </w:tcBorders>
            <w:noWrap w:val="0"/>
            <w:vAlign w:val="center"/>
          </w:tcPr>
          <w:p>
            <w:pPr>
              <w:pStyle w:val="169"/>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r>
    </w:tbl>
    <w:p>
      <w:pPr>
        <w:pageBreakBefore w:val="0"/>
        <w:kinsoku/>
        <w:wordWrap/>
        <w:bidi w:val="0"/>
        <w:rPr>
          <w:rFonts w:hint="default" w:ascii="Times New Roman" w:hAnsi="Times New Roman" w:eastAsia="仿宋_GB2312" w:cs="Times New Roman"/>
          <w:szCs w:val="21"/>
          <w:highlight w:val="none"/>
        </w:rPr>
      </w:pPr>
    </w:p>
    <w:p>
      <w:pPr>
        <w:pageBreakBefore w:val="0"/>
        <w:kinsoku/>
        <w:wordWrap/>
        <w:bidi w:val="0"/>
        <w:rPr>
          <w:rFonts w:hint="default" w:ascii="Times New Roman" w:hAnsi="Times New Roman" w:eastAsia="仿宋_GB2312" w:cs="Times New Roman"/>
          <w:szCs w:val="21"/>
          <w:highlight w:val="none"/>
        </w:rPr>
      </w:pPr>
    </w:p>
    <w:tbl>
      <w:tblPr>
        <w:tblStyle w:val="8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88"/>
        <w:gridCol w:w="1288"/>
        <w:gridCol w:w="1288"/>
        <w:gridCol w:w="1288"/>
        <w:gridCol w:w="1288"/>
        <w:gridCol w:w="1289"/>
        <w:gridCol w:w="1289"/>
        <w:gridCol w:w="1289"/>
        <w:gridCol w:w="1289"/>
        <w:gridCol w:w="1289"/>
        <w:gridCol w:w="128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88" w:type="dxa"/>
            <w:vMerge w:val="restart"/>
            <w:vAlign w:val="center"/>
          </w:tcPr>
          <w:p>
            <w:pPr>
              <w:pageBreakBefore w:val="0"/>
              <w:kinsoku/>
              <w:wordWrap/>
              <w:bidi w:val="0"/>
              <w:jc w:val="center"/>
              <w:rPr>
                <w:rFonts w:hint="default" w:ascii="Times New Roman" w:hAnsi="Times New Roman" w:eastAsia="仿宋_GB2312" w:cs="Times New Roman"/>
                <w:highlight w:val="none"/>
                <w:vertAlign w:val="baseline"/>
              </w:rPr>
            </w:pPr>
            <w:r>
              <w:rPr>
                <w:rFonts w:hint="default" w:ascii="Times New Roman" w:hAnsi="Times New Roman" w:eastAsia="仿宋_GB2312" w:cs="Times New Roman"/>
                <w:szCs w:val="21"/>
                <w:highlight w:val="none"/>
              </w:rPr>
              <w:t>主体工程</w:t>
            </w:r>
          </w:p>
        </w:tc>
        <w:tc>
          <w:tcPr>
            <w:tcW w:w="1288" w:type="dxa"/>
            <w:tcBorders>
              <w:bottom w:val="single" w:color="4F81BD" w:themeColor="accent1" w:sz="12" w:space="0"/>
            </w:tcBorders>
            <w:vAlign w:val="center"/>
          </w:tcPr>
          <w:p>
            <w:pPr>
              <w:pageBreakBefore w:val="0"/>
              <w:kinsoku/>
              <w:wordWrap/>
              <w:bidi w:val="0"/>
              <w:jc w:val="center"/>
              <w:rPr>
                <w:rFonts w:hint="default" w:ascii="Times New Roman" w:hAnsi="Times New Roman" w:eastAsia="仿宋_GB2312" w:cs="Times New Roman"/>
                <w:highlight w:val="none"/>
                <w:vertAlign w:val="baseline"/>
              </w:rPr>
            </w:pPr>
          </w:p>
        </w:tc>
        <w:tc>
          <w:tcPr>
            <w:tcW w:w="1288" w:type="dxa"/>
            <w:vAlign w:val="center"/>
          </w:tcPr>
          <w:p>
            <w:pPr>
              <w:pageBreakBefore w:val="0"/>
              <w:kinsoku/>
              <w:wordWrap/>
              <w:bidi w:val="0"/>
              <w:jc w:val="center"/>
              <w:rPr>
                <w:rFonts w:hint="default" w:ascii="Times New Roman" w:hAnsi="Times New Roman" w:eastAsia="仿宋_GB2312" w:cs="Times New Roman"/>
                <w:highlight w:val="none"/>
                <w:vertAlign w:val="baseline"/>
              </w:rPr>
            </w:pPr>
          </w:p>
        </w:tc>
        <w:tc>
          <w:tcPr>
            <w:tcW w:w="1288" w:type="dxa"/>
            <w:vMerge w:val="restart"/>
            <w:vAlign w:val="center"/>
          </w:tcPr>
          <w:p>
            <w:pPr>
              <w:pageBreakBefore w:val="0"/>
              <w:kinsoku/>
              <w:wordWrap/>
              <w:bidi w:val="0"/>
              <w:jc w:val="center"/>
              <w:rPr>
                <w:rFonts w:hint="default" w:ascii="Times New Roman" w:hAnsi="Times New Roman" w:eastAsia="仿宋_GB2312" w:cs="Times New Roman"/>
                <w:highlight w:val="none"/>
                <w:vertAlign w:val="baseline"/>
              </w:rPr>
            </w:pPr>
            <w:r>
              <w:rPr>
                <w:rFonts w:hint="default" w:ascii="Times New Roman" w:hAnsi="Times New Roman" w:eastAsia="仿宋_GB2312" w:cs="Times New Roman"/>
                <w:szCs w:val="21"/>
                <w:highlight w:val="none"/>
              </w:rPr>
              <w:t>工程措施</w:t>
            </w:r>
          </w:p>
        </w:tc>
        <w:tc>
          <w:tcPr>
            <w:tcW w:w="1288" w:type="dxa"/>
            <w:tcBorders>
              <w:bottom w:val="dashed" w:color="4BACC6" w:themeColor="accent5" w:sz="12" w:space="0"/>
            </w:tcBorders>
            <w:vAlign w:val="center"/>
          </w:tcPr>
          <w:p>
            <w:pPr>
              <w:pageBreakBefore w:val="0"/>
              <w:kinsoku/>
              <w:wordWrap/>
              <w:bidi w:val="0"/>
              <w:jc w:val="center"/>
              <w:rPr>
                <w:rFonts w:hint="default" w:ascii="Times New Roman" w:hAnsi="Times New Roman" w:eastAsia="仿宋_GB2312" w:cs="Times New Roman"/>
                <w:highlight w:val="none"/>
                <w:vertAlign w:val="baseline"/>
              </w:rPr>
            </w:pPr>
          </w:p>
        </w:tc>
        <w:tc>
          <w:tcPr>
            <w:tcW w:w="1289" w:type="dxa"/>
            <w:vAlign w:val="center"/>
          </w:tcPr>
          <w:p>
            <w:pPr>
              <w:pageBreakBefore w:val="0"/>
              <w:kinsoku/>
              <w:wordWrap/>
              <w:bidi w:val="0"/>
              <w:jc w:val="center"/>
              <w:rPr>
                <w:rFonts w:hint="default" w:ascii="Times New Roman" w:hAnsi="Times New Roman" w:eastAsia="仿宋_GB2312" w:cs="Times New Roman"/>
                <w:highlight w:val="none"/>
                <w:vertAlign w:val="baseline"/>
              </w:rPr>
            </w:pPr>
          </w:p>
        </w:tc>
        <w:tc>
          <w:tcPr>
            <w:tcW w:w="1289" w:type="dxa"/>
            <w:vMerge w:val="restart"/>
            <w:vAlign w:val="center"/>
          </w:tcPr>
          <w:p>
            <w:pPr>
              <w:pageBreakBefore w:val="0"/>
              <w:kinsoku/>
              <w:wordWrap/>
              <w:bidi w:val="0"/>
              <w:jc w:val="center"/>
              <w:rPr>
                <w:rFonts w:hint="default" w:ascii="Times New Roman" w:hAnsi="Times New Roman" w:eastAsia="仿宋_GB2312" w:cs="Times New Roman"/>
                <w:highlight w:val="none"/>
                <w:vertAlign w:val="baseline"/>
              </w:rPr>
            </w:pPr>
            <w:r>
              <w:rPr>
                <w:rFonts w:hint="default" w:ascii="Times New Roman" w:hAnsi="Times New Roman" w:eastAsia="仿宋_GB2312" w:cs="Times New Roman"/>
                <w:szCs w:val="21"/>
                <w:highlight w:val="none"/>
              </w:rPr>
              <w:t>植物措施</w:t>
            </w:r>
          </w:p>
        </w:tc>
        <w:tc>
          <w:tcPr>
            <w:tcW w:w="1289" w:type="dxa"/>
            <w:tcBorders>
              <w:bottom w:val="dotDash" w:color="92D050" w:sz="18" w:space="0"/>
            </w:tcBorders>
            <w:vAlign w:val="center"/>
          </w:tcPr>
          <w:p>
            <w:pPr>
              <w:pageBreakBefore w:val="0"/>
              <w:kinsoku/>
              <w:wordWrap/>
              <w:bidi w:val="0"/>
              <w:jc w:val="center"/>
              <w:rPr>
                <w:rFonts w:hint="default" w:ascii="Times New Roman" w:hAnsi="Times New Roman" w:eastAsia="仿宋_GB2312" w:cs="Times New Roman"/>
                <w:highlight w:val="none"/>
                <w:vertAlign w:val="baseline"/>
              </w:rPr>
            </w:pPr>
          </w:p>
        </w:tc>
        <w:tc>
          <w:tcPr>
            <w:tcW w:w="1289" w:type="dxa"/>
            <w:vAlign w:val="center"/>
          </w:tcPr>
          <w:p>
            <w:pPr>
              <w:pageBreakBefore w:val="0"/>
              <w:kinsoku/>
              <w:wordWrap/>
              <w:bidi w:val="0"/>
              <w:jc w:val="center"/>
              <w:rPr>
                <w:rFonts w:hint="default" w:ascii="Times New Roman" w:hAnsi="Times New Roman" w:eastAsia="仿宋_GB2312" w:cs="Times New Roman"/>
                <w:highlight w:val="none"/>
                <w:vertAlign w:val="baseline"/>
              </w:rPr>
            </w:pPr>
          </w:p>
        </w:tc>
        <w:tc>
          <w:tcPr>
            <w:tcW w:w="1289" w:type="dxa"/>
            <w:vMerge w:val="restart"/>
            <w:vAlign w:val="center"/>
          </w:tcPr>
          <w:p>
            <w:pPr>
              <w:pageBreakBefore w:val="0"/>
              <w:kinsoku/>
              <w:wordWrap/>
              <w:bidi w:val="0"/>
              <w:jc w:val="center"/>
              <w:rPr>
                <w:rFonts w:hint="default" w:ascii="Times New Roman" w:hAnsi="Times New Roman" w:eastAsia="仿宋_GB2312" w:cs="Times New Roman"/>
                <w:highlight w:val="none"/>
                <w:vertAlign w:val="baseline"/>
              </w:rPr>
            </w:pPr>
            <w:r>
              <w:rPr>
                <w:rFonts w:hint="default" w:ascii="Times New Roman" w:hAnsi="Times New Roman" w:eastAsia="仿宋_GB2312" w:cs="Times New Roman"/>
                <w:szCs w:val="21"/>
                <w:highlight w:val="none"/>
              </w:rPr>
              <w:t>临时措施</w:t>
            </w:r>
          </w:p>
        </w:tc>
        <w:tc>
          <w:tcPr>
            <w:tcW w:w="1289" w:type="dxa"/>
            <w:tcBorders>
              <w:bottom w:val="double" w:color="F79646" w:themeColor="accent6" w:sz="6" w:space="0"/>
            </w:tcBorders>
            <w:vAlign w:val="center"/>
          </w:tcPr>
          <w:p>
            <w:pPr>
              <w:pageBreakBefore w:val="0"/>
              <w:kinsoku/>
              <w:wordWrap/>
              <w:bidi w:val="0"/>
              <w:jc w:val="center"/>
              <w:rPr>
                <w:rFonts w:hint="default" w:ascii="Times New Roman" w:hAnsi="Times New Roman" w:eastAsia="仿宋_GB2312" w:cs="Times New Roman"/>
                <w:highlight w:val="none"/>
                <w:vertAlign w:val="baseli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88" w:type="dxa"/>
            <w:vMerge w:val="continue"/>
            <w:vAlign w:val="center"/>
          </w:tcPr>
          <w:p>
            <w:pPr>
              <w:pageBreakBefore w:val="0"/>
              <w:kinsoku/>
              <w:wordWrap/>
              <w:bidi w:val="0"/>
              <w:jc w:val="center"/>
              <w:rPr>
                <w:rFonts w:hint="default" w:ascii="Times New Roman" w:hAnsi="Times New Roman" w:eastAsia="仿宋_GB2312" w:cs="Times New Roman"/>
                <w:highlight w:val="none"/>
                <w:vertAlign w:val="baseline"/>
              </w:rPr>
            </w:pPr>
          </w:p>
        </w:tc>
        <w:tc>
          <w:tcPr>
            <w:tcW w:w="1288" w:type="dxa"/>
            <w:tcBorders>
              <w:top w:val="single" w:color="4F81BD" w:themeColor="accent1" w:sz="12" w:space="0"/>
            </w:tcBorders>
            <w:vAlign w:val="center"/>
          </w:tcPr>
          <w:p>
            <w:pPr>
              <w:pageBreakBefore w:val="0"/>
              <w:kinsoku/>
              <w:wordWrap/>
              <w:bidi w:val="0"/>
              <w:jc w:val="center"/>
              <w:rPr>
                <w:rFonts w:hint="default" w:ascii="Times New Roman" w:hAnsi="Times New Roman" w:eastAsia="仿宋_GB2312" w:cs="Times New Roman"/>
                <w:highlight w:val="none"/>
                <w:vertAlign w:val="baseline"/>
              </w:rPr>
            </w:pPr>
          </w:p>
        </w:tc>
        <w:tc>
          <w:tcPr>
            <w:tcW w:w="1288" w:type="dxa"/>
            <w:vAlign w:val="center"/>
          </w:tcPr>
          <w:p>
            <w:pPr>
              <w:pageBreakBefore w:val="0"/>
              <w:kinsoku/>
              <w:wordWrap/>
              <w:bidi w:val="0"/>
              <w:jc w:val="center"/>
              <w:rPr>
                <w:rFonts w:hint="default" w:ascii="Times New Roman" w:hAnsi="Times New Roman" w:eastAsia="仿宋_GB2312" w:cs="Times New Roman"/>
                <w:highlight w:val="none"/>
                <w:vertAlign w:val="baseline"/>
              </w:rPr>
            </w:pPr>
          </w:p>
        </w:tc>
        <w:tc>
          <w:tcPr>
            <w:tcW w:w="1288" w:type="dxa"/>
            <w:vMerge w:val="continue"/>
            <w:vAlign w:val="center"/>
          </w:tcPr>
          <w:p>
            <w:pPr>
              <w:pageBreakBefore w:val="0"/>
              <w:kinsoku/>
              <w:wordWrap/>
              <w:bidi w:val="0"/>
              <w:jc w:val="center"/>
              <w:rPr>
                <w:rFonts w:hint="default" w:ascii="Times New Roman" w:hAnsi="Times New Roman" w:eastAsia="仿宋_GB2312" w:cs="Times New Roman"/>
                <w:highlight w:val="none"/>
                <w:vertAlign w:val="baseline"/>
              </w:rPr>
            </w:pPr>
          </w:p>
        </w:tc>
        <w:tc>
          <w:tcPr>
            <w:tcW w:w="1288" w:type="dxa"/>
            <w:tcBorders>
              <w:top w:val="dashed" w:color="4BACC6" w:themeColor="accent5" w:sz="12" w:space="0"/>
            </w:tcBorders>
            <w:vAlign w:val="center"/>
          </w:tcPr>
          <w:p>
            <w:pPr>
              <w:pageBreakBefore w:val="0"/>
              <w:kinsoku/>
              <w:wordWrap/>
              <w:bidi w:val="0"/>
              <w:jc w:val="center"/>
              <w:rPr>
                <w:rFonts w:hint="default" w:ascii="Times New Roman" w:hAnsi="Times New Roman" w:eastAsia="仿宋_GB2312" w:cs="Times New Roman"/>
                <w:highlight w:val="none"/>
                <w:vertAlign w:val="baseline"/>
              </w:rPr>
            </w:pPr>
          </w:p>
        </w:tc>
        <w:tc>
          <w:tcPr>
            <w:tcW w:w="1289" w:type="dxa"/>
            <w:vAlign w:val="center"/>
          </w:tcPr>
          <w:p>
            <w:pPr>
              <w:pageBreakBefore w:val="0"/>
              <w:kinsoku/>
              <w:wordWrap/>
              <w:bidi w:val="0"/>
              <w:jc w:val="center"/>
              <w:rPr>
                <w:rFonts w:hint="default" w:ascii="Times New Roman" w:hAnsi="Times New Roman" w:eastAsia="仿宋_GB2312" w:cs="Times New Roman"/>
                <w:highlight w:val="none"/>
                <w:vertAlign w:val="baseline"/>
              </w:rPr>
            </w:pPr>
          </w:p>
        </w:tc>
        <w:tc>
          <w:tcPr>
            <w:tcW w:w="1289" w:type="dxa"/>
            <w:vMerge w:val="continue"/>
            <w:vAlign w:val="center"/>
          </w:tcPr>
          <w:p>
            <w:pPr>
              <w:pageBreakBefore w:val="0"/>
              <w:kinsoku/>
              <w:wordWrap/>
              <w:bidi w:val="0"/>
              <w:jc w:val="center"/>
              <w:rPr>
                <w:rFonts w:hint="default" w:ascii="Times New Roman" w:hAnsi="Times New Roman" w:eastAsia="仿宋_GB2312" w:cs="Times New Roman"/>
                <w:highlight w:val="none"/>
                <w:vertAlign w:val="baseline"/>
              </w:rPr>
            </w:pPr>
          </w:p>
        </w:tc>
        <w:tc>
          <w:tcPr>
            <w:tcW w:w="1289" w:type="dxa"/>
            <w:tcBorders>
              <w:top w:val="dotDash" w:color="92D050" w:sz="18" w:space="0"/>
            </w:tcBorders>
            <w:vAlign w:val="center"/>
          </w:tcPr>
          <w:p>
            <w:pPr>
              <w:pageBreakBefore w:val="0"/>
              <w:kinsoku/>
              <w:wordWrap/>
              <w:bidi w:val="0"/>
              <w:jc w:val="center"/>
              <w:rPr>
                <w:rFonts w:hint="default" w:ascii="Times New Roman" w:hAnsi="Times New Roman" w:eastAsia="仿宋_GB2312" w:cs="Times New Roman"/>
                <w:highlight w:val="none"/>
                <w:vertAlign w:val="baseline"/>
              </w:rPr>
            </w:pPr>
          </w:p>
        </w:tc>
        <w:tc>
          <w:tcPr>
            <w:tcW w:w="1289" w:type="dxa"/>
            <w:vAlign w:val="center"/>
          </w:tcPr>
          <w:p>
            <w:pPr>
              <w:pageBreakBefore w:val="0"/>
              <w:kinsoku/>
              <w:wordWrap/>
              <w:bidi w:val="0"/>
              <w:jc w:val="center"/>
              <w:rPr>
                <w:rFonts w:hint="default" w:ascii="Times New Roman" w:hAnsi="Times New Roman" w:eastAsia="仿宋_GB2312" w:cs="Times New Roman"/>
                <w:highlight w:val="none"/>
                <w:vertAlign w:val="baseline"/>
              </w:rPr>
            </w:pPr>
          </w:p>
        </w:tc>
        <w:tc>
          <w:tcPr>
            <w:tcW w:w="1289" w:type="dxa"/>
            <w:vMerge w:val="continue"/>
            <w:vAlign w:val="center"/>
          </w:tcPr>
          <w:p>
            <w:pPr>
              <w:pageBreakBefore w:val="0"/>
              <w:kinsoku/>
              <w:wordWrap/>
              <w:bidi w:val="0"/>
              <w:jc w:val="center"/>
              <w:rPr>
                <w:rFonts w:hint="default" w:ascii="Times New Roman" w:hAnsi="Times New Roman" w:eastAsia="仿宋_GB2312" w:cs="Times New Roman"/>
                <w:highlight w:val="none"/>
                <w:vertAlign w:val="baseline"/>
              </w:rPr>
            </w:pPr>
          </w:p>
        </w:tc>
        <w:tc>
          <w:tcPr>
            <w:tcW w:w="1289" w:type="dxa"/>
            <w:tcBorders>
              <w:top w:val="double" w:color="F79646" w:themeColor="accent6" w:sz="6" w:space="0"/>
            </w:tcBorders>
            <w:vAlign w:val="center"/>
          </w:tcPr>
          <w:p>
            <w:pPr>
              <w:pageBreakBefore w:val="0"/>
              <w:kinsoku/>
              <w:wordWrap/>
              <w:bidi w:val="0"/>
              <w:jc w:val="center"/>
              <w:rPr>
                <w:rFonts w:hint="default" w:ascii="Times New Roman" w:hAnsi="Times New Roman" w:eastAsia="仿宋_GB2312" w:cs="Times New Roman"/>
                <w:highlight w:val="none"/>
                <w:vertAlign w:val="baseline"/>
              </w:rPr>
            </w:pPr>
          </w:p>
        </w:tc>
      </w:tr>
    </w:tbl>
    <w:p>
      <w:pPr>
        <w:pStyle w:val="169"/>
        <w:pageBreakBefore w:val="0"/>
        <w:kinsoku/>
        <w:wordWrap/>
        <w:bidi w:val="0"/>
        <w:jc w:val="both"/>
        <w:rPr>
          <w:rFonts w:hint="default" w:ascii="Times New Roman" w:hAnsi="Times New Roman" w:eastAsia="仿宋_GB2312" w:cs="Times New Roman"/>
          <w:highlight w:val="none"/>
        </w:rPr>
      </w:pPr>
    </w:p>
    <w:p>
      <w:pPr>
        <w:pageBreakBefore w:val="0"/>
        <w:kinsoku/>
        <w:wordWrap/>
        <w:bidi w:val="0"/>
        <w:rPr>
          <w:rFonts w:hint="default" w:ascii="Times New Roman" w:hAnsi="Times New Roman" w:eastAsia="仿宋_GB2312" w:cs="Times New Roman"/>
          <w:highlight w:val="none"/>
        </w:rPr>
      </w:pPr>
    </w:p>
    <w:p>
      <w:pPr>
        <w:pStyle w:val="153"/>
        <w:pageBreakBefore w:val="0"/>
        <w:kinsoku/>
        <w:wordWrap/>
        <w:bidi w:val="0"/>
        <w:rPr>
          <w:rFonts w:hint="default" w:ascii="Times New Roman" w:hAnsi="Times New Roman" w:cs="Times New Roman"/>
        </w:rPr>
        <w:sectPr>
          <w:pgSz w:w="16838" w:h="11906" w:orient="landscape"/>
          <w:pgMar w:top="1440" w:right="1440" w:bottom="144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4"/>
        <w:bidi w:val="0"/>
        <w:rPr>
          <w:rFonts w:hint="default" w:ascii="Times New Roman" w:hAnsi="Times New Roman" w:cs="Times New Roman"/>
        </w:rPr>
      </w:pPr>
      <w:bookmarkStart w:id="388" w:name="_Toc28421"/>
      <w:bookmarkStart w:id="389" w:name="_Toc14361"/>
      <w:bookmarkStart w:id="390" w:name="_Toc23941"/>
      <w:r>
        <w:rPr>
          <w:rFonts w:hint="default" w:ascii="Times New Roman" w:hAnsi="Times New Roman" w:cs="Times New Roman"/>
        </w:rPr>
        <w:t>6水土保持监测</w:t>
      </w:r>
      <w:bookmarkEnd w:id="388"/>
      <w:bookmarkEnd w:id="389"/>
      <w:bookmarkEnd w:id="390"/>
    </w:p>
    <w:p>
      <w:pPr>
        <w:pStyle w:val="5"/>
        <w:bidi w:val="0"/>
        <w:rPr>
          <w:rFonts w:hint="default" w:ascii="Times New Roman" w:hAnsi="Times New Roman" w:cs="Times New Roman"/>
        </w:rPr>
      </w:pPr>
      <w:bookmarkStart w:id="391" w:name="_6.1__监测依据"/>
      <w:bookmarkEnd w:id="391"/>
      <w:bookmarkStart w:id="392" w:name="_Toc24992"/>
      <w:bookmarkStart w:id="393" w:name="_Toc319652091"/>
      <w:bookmarkStart w:id="394" w:name="_Toc8494"/>
      <w:bookmarkStart w:id="395" w:name="_Toc16938"/>
      <w:r>
        <w:rPr>
          <w:rFonts w:hint="default" w:ascii="Times New Roman" w:hAnsi="Times New Roman" w:cs="Times New Roman"/>
        </w:rPr>
        <w:t>6.1范围和时段</w:t>
      </w:r>
      <w:bookmarkEnd w:id="392"/>
      <w:bookmarkEnd w:id="393"/>
      <w:bookmarkEnd w:id="394"/>
      <w:bookmarkEnd w:id="395"/>
    </w:p>
    <w:p>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6.1.1监测范围</w:t>
      </w:r>
    </w:p>
    <w:p>
      <w:pPr>
        <w:pageBreakBefore w:val="0"/>
        <w:kinsoku/>
        <w:wordWrap/>
        <w:bidi w:val="0"/>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szCs w:val="24"/>
        </w:rPr>
        <w:t>根据《生产建设项目水土保持技术标准》</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GB</w:t>
      </w:r>
      <w:r>
        <w:rPr>
          <w:rFonts w:hint="default" w:ascii="Times New Roman" w:hAnsi="Times New Roman" w:eastAsia="仿宋_GB2312" w:cs="Times New Roman"/>
          <w:sz w:val="24"/>
          <w:szCs w:val="24"/>
          <w:lang w:val="en-US" w:eastAsia="zh-CN"/>
        </w:rPr>
        <w:t xml:space="preserve"> </w:t>
      </w:r>
      <w:r>
        <w:rPr>
          <w:rFonts w:hint="default" w:ascii="Times New Roman" w:hAnsi="Times New Roman" w:eastAsia="仿宋_GB2312" w:cs="Times New Roman"/>
          <w:sz w:val="24"/>
          <w:szCs w:val="24"/>
        </w:rPr>
        <w:t>50433-2018</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、《生产建设项目水土保持监测与评价标准》</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GB/T 51240-2018</w:t>
      </w:r>
      <w:r>
        <w:rPr>
          <w:rFonts w:hint="default" w:ascii="Times New Roman" w:hAnsi="Times New Roman" w:eastAsia="仿宋_GB2312" w:cs="Times New Roman"/>
          <w:sz w:val="24"/>
          <w:szCs w:val="24"/>
          <w:lang w:eastAsia="zh-CN"/>
        </w:rPr>
        <w:t>）</w:t>
      </w:r>
      <w:r>
        <w:rPr>
          <w:rFonts w:hint="eastAsia" w:eastAsia="仿宋_GB2312" w:cs="Times New Roman"/>
          <w:sz w:val="24"/>
          <w:szCs w:val="24"/>
          <w:lang w:val="en-US" w:eastAsia="zh-CN"/>
        </w:rPr>
        <w:t>等有关规定</w:t>
      </w:r>
      <w:r>
        <w:rPr>
          <w:rFonts w:hint="default" w:ascii="Times New Roman" w:hAnsi="Times New Roman" w:eastAsia="仿宋_GB2312" w:cs="Times New Roman"/>
          <w:sz w:val="24"/>
          <w:szCs w:val="24"/>
        </w:rPr>
        <w:t>，</w:t>
      </w:r>
      <w:r>
        <w:rPr>
          <w:rFonts w:hint="eastAsia" w:eastAsia="仿宋_GB2312" w:cs="Times New Roman"/>
          <w:sz w:val="24"/>
          <w:szCs w:val="24"/>
          <w:lang w:val="en-US" w:eastAsia="zh-CN"/>
        </w:rPr>
        <w:t>水土保持</w:t>
      </w:r>
      <w:r>
        <w:rPr>
          <w:rFonts w:hint="default" w:ascii="Times New Roman" w:hAnsi="Times New Roman" w:eastAsia="仿宋_GB2312" w:cs="Times New Roman"/>
          <w:sz w:val="24"/>
          <w:szCs w:val="24"/>
        </w:rPr>
        <w:t>监测范围</w:t>
      </w:r>
      <w:r>
        <w:rPr>
          <w:rFonts w:hint="eastAsia" w:eastAsia="仿宋_GB2312" w:cs="Times New Roman"/>
          <w:sz w:val="24"/>
          <w:szCs w:val="24"/>
          <w:lang w:val="en-US" w:eastAsia="zh-CN"/>
        </w:rPr>
        <w:t>应</w:t>
      </w:r>
      <w:r>
        <w:rPr>
          <w:rFonts w:hint="default" w:ascii="Times New Roman" w:hAnsi="Times New Roman" w:eastAsia="仿宋_GB2312" w:cs="Times New Roman"/>
          <w:sz w:val="24"/>
          <w:szCs w:val="24"/>
        </w:rPr>
        <w:t>为</w:t>
      </w:r>
      <w:r>
        <w:rPr>
          <w:rFonts w:hint="eastAsia" w:eastAsia="仿宋_GB2312" w:cs="Times New Roman"/>
          <w:sz w:val="24"/>
          <w:szCs w:val="24"/>
          <w:lang w:val="en-US" w:eastAsia="zh-CN"/>
        </w:rPr>
        <w:t>水行政主管部门行政许可决定书明确的</w:t>
      </w:r>
      <w:r>
        <w:rPr>
          <w:rFonts w:hint="default" w:ascii="Times New Roman" w:hAnsi="Times New Roman" w:eastAsia="仿宋_GB2312" w:cs="Times New Roman"/>
          <w:sz w:val="24"/>
          <w:szCs w:val="24"/>
        </w:rPr>
        <w:t>水土流失防治责任范围</w:t>
      </w:r>
      <w:r>
        <w:rPr>
          <w:rFonts w:hint="eastAsia" w:eastAsia="仿宋_GB2312" w:cs="Times New Roman"/>
          <w:sz w:val="24"/>
          <w:szCs w:val="24"/>
          <w:lang w:eastAsia="zh-CN"/>
        </w:rPr>
        <w:t>。</w:t>
      </w:r>
      <w:r>
        <w:rPr>
          <w:rFonts w:hint="default" w:ascii="Times New Roman" w:hAnsi="Times New Roman" w:eastAsia="仿宋_GB2312" w:cs="Times New Roman"/>
          <w:sz w:val="24"/>
          <w:szCs w:val="24"/>
          <w:lang w:val="en-US" w:eastAsia="zh-CN"/>
        </w:rPr>
        <w:t>长春国际物流经济开发区新兴建材产业园区建设</w:t>
      </w:r>
      <w:r>
        <w:rPr>
          <w:rFonts w:hint="default" w:ascii="Times New Roman" w:hAnsi="Times New Roman" w:eastAsia="仿宋_GB2312" w:cs="Times New Roman"/>
          <w:color w:val="auto"/>
          <w:sz w:val="24"/>
          <w:szCs w:val="24"/>
          <w:lang w:eastAsia="zh-CN"/>
        </w:rPr>
        <w:t>项目</w:t>
      </w:r>
      <w:r>
        <w:rPr>
          <w:rFonts w:hint="eastAsia" w:eastAsia="仿宋_GB2312" w:cs="Times New Roman"/>
          <w:sz w:val="24"/>
          <w:szCs w:val="24"/>
          <w:highlight w:val="none"/>
          <w:lang w:val="en-US" w:eastAsia="zh-CN"/>
        </w:rPr>
        <w:t>B地块</w:t>
      </w:r>
      <w:r>
        <w:rPr>
          <w:rFonts w:hint="default" w:ascii="Times New Roman" w:hAnsi="Times New Roman" w:eastAsia="仿宋_GB2312" w:cs="Times New Roman"/>
          <w:sz w:val="24"/>
          <w:szCs w:val="24"/>
          <w:highlight w:val="none"/>
          <w:lang w:val="en-US" w:eastAsia="zh-CN"/>
        </w:rPr>
        <w:t>占地面积为</w:t>
      </w:r>
      <w:r>
        <w:rPr>
          <w:rFonts w:hint="eastAsia" w:eastAsia="仿宋_GB2312" w:cs="Times New Roman"/>
          <w:sz w:val="24"/>
          <w:szCs w:val="24"/>
          <w:highlight w:val="none"/>
          <w:lang w:val="en-US" w:eastAsia="zh-CN"/>
        </w:rPr>
        <w:t>19.98</w:t>
      </w:r>
      <w:r>
        <w:rPr>
          <w:rFonts w:hint="default" w:ascii="Times New Roman" w:hAnsi="Times New Roman" w:eastAsia="仿宋_GB2312" w:cs="Times New Roman"/>
          <w:sz w:val="24"/>
          <w:szCs w:val="24"/>
          <w:highlight w:val="none"/>
        </w:rPr>
        <w:t>hm²</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rPr>
        <w:t>确定</w:t>
      </w:r>
      <w:r>
        <w:rPr>
          <w:rFonts w:hint="default" w:ascii="Times New Roman" w:hAnsi="Times New Roman" w:eastAsia="仿宋_GB2312" w:cs="Times New Roman"/>
          <w:sz w:val="24"/>
          <w:szCs w:val="24"/>
          <w:lang w:eastAsia="zh-CN"/>
        </w:rPr>
        <w:t>本期项目</w:t>
      </w:r>
      <w:r>
        <w:rPr>
          <w:rFonts w:hint="default" w:ascii="Times New Roman" w:hAnsi="Times New Roman" w:eastAsia="仿宋_GB2312" w:cs="Times New Roman"/>
          <w:sz w:val="24"/>
          <w:szCs w:val="24"/>
        </w:rPr>
        <w:t>监测范围面积</w:t>
      </w:r>
      <w:r>
        <w:rPr>
          <w:rFonts w:hint="eastAsia" w:eastAsia="仿宋_GB2312" w:cs="Times New Roman"/>
          <w:sz w:val="24"/>
          <w:szCs w:val="24"/>
          <w:lang w:val="en-US" w:eastAsia="zh-CN"/>
        </w:rPr>
        <w:t>19.98</w:t>
      </w:r>
      <w:r>
        <w:rPr>
          <w:rFonts w:hint="default" w:ascii="Times New Roman" w:hAnsi="Times New Roman" w:eastAsia="仿宋_GB2312" w:cs="Times New Roman"/>
          <w:sz w:val="24"/>
          <w:szCs w:val="24"/>
        </w:rPr>
        <w:t>hm²</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color w:val="auto"/>
          <w:sz w:val="24"/>
        </w:rPr>
        <w:t>据工程建设过程中所造成的水土流失数量、分布及治理措施，将工程</w:t>
      </w:r>
      <w:r>
        <w:rPr>
          <w:rFonts w:hint="default" w:ascii="Times New Roman" w:hAnsi="Times New Roman" w:eastAsia="仿宋_GB2312" w:cs="Times New Roman"/>
          <w:color w:val="auto"/>
          <w:sz w:val="24"/>
          <w:lang w:eastAsia="zh-CN"/>
        </w:rPr>
        <w:t>建设区</w:t>
      </w:r>
      <w:r>
        <w:rPr>
          <w:rFonts w:hint="default" w:ascii="Times New Roman" w:hAnsi="Times New Roman" w:eastAsia="仿宋_GB2312" w:cs="Times New Roman"/>
          <w:color w:val="auto"/>
          <w:sz w:val="24"/>
          <w:lang w:val="en-US" w:eastAsia="zh-CN"/>
        </w:rPr>
        <w:t>作为重点</w:t>
      </w:r>
      <w:r>
        <w:rPr>
          <w:rFonts w:hint="default" w:ascii="Times New Roman" w:hAnsi="Times New Roman" w:eastAsia="仿宋_GB2312" w:cs="Times New Roman"/>
          <w:color w:val="auto"/>
          <w:sz w:val="24"/>
        </w:rPr>
        <w:t>监测</w:t>
      </w:r>
      <w:r>
        <w:rPr>
          <w:rFonts w:hint="default" w:ascii="Times New Roman" w:hAnsi="Times New Roman" w:eastAsia="仿宋_GB2312" w:cs="Times New Roman"/>
          <w:color w:val="auto"/>
          <w:sz w:val="24"/>
          <w:lang w:eastAsia="zh-CN"/>
        </w:rPr>
        <w:t>区域</w:t>
      </w:r>
      <w:r>
        <w:rPr>
          <w:rFonts w:hint="default" w:ascii="Times New Roman" w:hAnsi="Times New Roman" w:eastAsia="仿宋_GB2312" w:cs="Times New Roman"/>
          <w:color w:val="auto"/>
          <w:sz w:val="24"/>
        </w:rPr>
        <w:t>。</w:t>
      </w:r>
    </w:p>
    <w:p>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6.1.2监测时段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szCs w:val="24"/>
        </w:rPr>
      </w:pPr>
      <w:bookmarkStart w:id="396" w:name="_Toc319652092"/>
      <w:r>
        <w:rPr>
          <w:rFonts w:hint="default" w:ascii="Times New Roman" w:hAnsi="Times New Roman" w:eastAsia="仿宋_GB2312" w:cs="Times New Roman"/>
          <w:color w:val="auto"/>
          <w:sz w:val="24"/>
          <w:szCs w:val="24"/>
        </w:rPr>
        <w:t>根据</w:t>
      </w:r>
      <w:r>
        <w:rPr>
          <w:rFonts w:hint="default" w:ascii="Times New Roman" w:hAnsi="Times New Roman" w:eastAsia="仿宋_GB2312" w:cs="Times New Roman"/>
          <w:bCs/>
          <w:iCs/>
          <w:color w:val="auto"/>
          <w:sz w:val="24"/>
          <w:szCs w:val="24"/>
        </w:rPr>
        <w:t>《生产建设项目水土保持技术标准》（GB50433-2018）、《水土保持监测技术规程》（SL277-2002）、《生产建设项目水土保持监测与评价标准》GB/T51240-2018）</w:t>
      </w:r>
      <w:r>
        <w:rPr>
          <w:rFonts w:hint="eastAsia" w:eastAsia="仿宋_GB2312" w:cs="Times New Roman"/>
          <w:bCs/>
          <w:iCs/>
          <w:color w:val="auto"/>
          <w:sz w:val="24"/>
          <w:szCs w:val="24"/>
          <w:lang w:val="en-US" w:eastAsia="zh-CN"/>
        </w:rPr>
        <w:t>和</w:t>
      </w:r>
      <w:r>
        <w:rPr>
          <w:rFonts w:hint="default" w:ascii="Times New Roman" w:hAnsi="Times New Roman" w:eastAsia="仿宋_GB2312" w:cs="Times New Roman"/>
          <w:color w:val="auto"/>
          <w:sz w:val="24"/>
          <w:szCs w:val="24"/>
        </w:rPr>
        <w:t>《水利部办公厅关于进一步加强生产建设项目水土保持监测工作的通知》（办水保</w:t>
      </w:r>
      <w:r>
        <w:rPr>
          <w:rFonts w:hint="default" w:ascii="Times New Roman" w:hAnsi="Times New Roman" w:cs="Times New Roman"/>
          <w:color w:val="auto"/>
          <w:sz w:val="24"/>
          <w:szCs w:val="24"/>
        </w:rPr>
        <w:t>﹝</w:t>
      </w:r>
      <w:r>
        <w:rPr>
          <w:rFonts w:hint="default" w:ascii="Times New Roman" w:hAnsi="Times New Roman" w:eastAsia="仿宋_GB2312" w:cs="Times New Roman"/>
          <w:color w:val="auto"/>
          <w:sz w:val="24"/>
          <w:szCs w:val="24"/>
        </w:rPr>
        <w:t>2020</w:t>
      </w:r>
      <w:r>
        <w:rPr>
          <w:rFonts w:hint="default" w:ascii="Times New Roman" w:hAnsi="Times New Roman" w:cs="Times New Roman"/>
          <w:color w:val="auto"/>
          <w:sz w:val="24"/>
          <w:szCs w:val="24"/>
        </w:rPr>
        <w:t>﹞</w:t>
      </w:r>
      <w:r>
        <w:rPr>
          <w:rFonts w:hint="default" w:ascii="Times New Roman" w:hAnsi="Times New Roman" w:eastAsia="仿宋_GB2312" w:cs="Times New Roman"/>
          <w:color w:val="auto"/>
          <w:sz w:val="24"/>
          <w:szCs w:val="24"/>
        </w:rPr>
        <w:t>161号）</w:t>
      </w:r>
      <w:r>
        <w:rPr>
          <w:rFonts w:hint="eastAsia" w:eastAsia="仿宋_GB2312" w:cs="Times New Roman"/>
          <w:color w:val="auto"/>
          <w:sz w:val="24"/>
          <w:szCs w:val="24"/>
          <w:lang w:val="en-US" w:eastAsia="zh-CN"/>
        </w:rPr>
        <w:t>等相关规定</w:t>
      </w:r>
      <w:r>
        <w:rPr>
          <w:rFonts w:hint="default" w:ascii="Times New Roman" w:hAnsi="Times New Roman" w:eastAsia="仿宋_GB2312" w:cs="Times New Roman"/>
          <w:color w:val="auto"/>
          <w:sz w:val="24"/>
          <w:szCs w:val="24"/>
        </w:rPr>
        <w:t>，该项工程为建设类项目，结合建设工期和工程特点，确定该项工程水土保持监测时段为施工准备期前开始至设计水平年。根据水土流失预测结果，水土流失监测集中在项目施工期。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eastAsia="仿宋_GB2312" w:cs="Times New Roman"/>
          <w:sz w:val="24"/>
          <w:szCs w:val="24"/>
          <w:lang w:val="en-US" w:eastAsia="zh-CN"/>
        </w:rPr>
        <w:t>本期项目</w:t>
      </w:r>
      <w:r>
        <w:rPr>
          <w:rFonts w:hint="eastAsia" w:eastAsia="仿宋_GB2312" w:cs="Times New Roman"/>
          <w:sz w:val="24"/>
          <w:szCs w:val="24"/>
          <w:lang w:val="en-US" w:eastAsia="zh-CN"/>
        </w:rPr>
        <w:t>计划</w:t>
      </w:r>
      <w:r>
        <w:rPr>
          <w:rFonts w:hint="default" w:ascii="Times New Roman" w:hAnsi="Times New Roman" w:eastAsia="仿宋_GB2312" w:cs="Times New Roman"/>
          <w:sz w:val="24"/>
          <w:szCs w:val="24"/>
        </w:rPr>
        <w:t>于</w:t>
      </w:r>
      <w:r>
        <w:rPr>
          <w:rFonts w:hint="eastAsia" w:eastAsia="仿宋_GB2312" w:cs="Times New Roman"/>
          <w:sz w:val="24"/>
          <w:szCs w:val="24"/>
          <w:lang w:eastAsia="zh-CN"/>
        </w:rPr>
        <w:t>2023年7月</w:t>
      </w:r>
      <w:r>
        <w:rPr>
          <w:rFonts w:hint="default" w:ascii="Times New Roman" w:hAnsi="Times New Roman" w:eastAsia="仿宋_GB2312" w:cs="Times New Roman"/>
          <w:sz w:val="24"/>
          <w:szCs w:val="24"/>
        </w:rPr>
        <w:t>开工</w:t>
      </w:r>
      <w:r>
        <w:rPr>
          <w:rFonts w:hint="default" w:ascii="Times New Roman" w:hAnsi="Times New Roman" w:eastAsia="仿宋_GB2312" w:cs="Times New Roman"/>
          <w:sz w:val="24"/>
          <w:szCs w:val="24"/>
          <w:lang w:val="en-US" w:eastAsia="zh-CN"/>
        </w:rPr>
        <w:t>建设</w:t>
      </w:r>
      <w:r>
        <w:rPr>
          <w:rFonts w:hint="default" w:ascii="Times New Roman" w:hAnsi="Times New Roman" w:eastAsia="仿宋_GB2312" w:cs="Times New Roman"/>
          <w:sz w:val="24"/>
          <w:szCs w:val="24"/>
        </w:rPr>
        <w:t>，</w:t>
      </w:r>
      <w:r>
        <w:rPr>
          <w:rFonts w:hint="eastAsia" w:eastAsia="仿宋_GB2312" w:cs="Times New Roman"/>
          <w:sz w:val="24"/>
          <w:szCs w:val="24"/>
          <w:lang w:val="en-US" w:eastAsia="zh-CN"/>
        </w:rPr>
        <w:t>计划</w:t>
      </w:r>
      <w:r>
        <w:rPr>
          <w:rFonts w:hint="default" w:ascii="Times New Roman" w:hAnsi="Times New Roman" w:eastAsia="仿宋_GB2312" w:cs="Times New Roman"/>
          <w:sz w:val="24"/>
          <w:szCs w:val="24"/>
          <w:lang w:val="en-US" w:eastAsia="zh-CN"/>
        </w:rPr>
        <w:t>于</w:t>
      </w:r>
      <w:r>
        <w:rPr>
          <w:rFonts w:hint="eastAsia" w:eastAsia="仿宋_GB2312" w:cs="Times New Roman"/>
          <w:sz w:val="24"/>
          <w:szCs w:val="24"/>
          <w:lang w:val="en-US" w:eastAsia="zh-CN"/>
        </w:rPr>
        <w:t>2024年12月</w:t>
      </w:r>
      <w:r>
        <w:rPr>
          <w:rFonts w:hint="default" w:ascii="Times New Roman" w:hAnsi="Times New Roman" w:eastAsia="仿宋_GB2312" w:cs="Times New Roman"/>
          <w:sz w:val="24"/>
          <w:szCs w:val="24"/>
          <w:lang w:val="en-US" w:eastAsia="zh-CN"/>
        </w:rPr>
        <w:t>完工，设计水平年为</w:t>
      </w:r>
      <w:r>
        <w:rPr>
          <w:rFonts w:hint="eastAsia" w:eastAsia="仿宋_GB2312" w:cs="Times New Roman"/>
          <w:sz w:val="24"/>
          <w:szCs w:val="24"/>
          <w:lang w:val="en-US" w:eastAsia="zh-CN"/>
        </w:rPr>
        <w:t>2025</w:t>
      </w:r>
      <w:r>
        <w:rPr>
          <w:rFonts w:hint="default" w:ascii="Times New Roman" w:hAnsi="Times New Roman" w:eastAsia="仿宋_GB2312" w:cs="Times New Roman"/>
          <w:sz w:val="24"/>
          <w:szCs w:val="24"/>
          <w:lang w:val="en-US" w:eastAsia="zh-CN"/>
        </w:rPr>
        <w:t>年。</w:t>
      </w:r>
      <w:r>
        <w:rPr>
          <w:rFonts w:hint="eastAsia" w:eastAsia="仿宋_GB2312" w:cs="Times New Roman"/>
          <w:sz w:val="24"/>
          <w:szCs w:val="24"/>
          <w:lang w:val="en-US" w:eastAsia="zh-CN"/>
        </w:rPr>
        <w:t>经咨询水行政主管部门，</w:t>
      </w:r>
      <w:r>
        <w:rPr>
          <w:rFonts w:hint="default" w:ascii="Times New Roman" w:hAnsi="Times New Roman" w:eastAsia="仿宋_GB2312" w:cs="Times New Roman"/>
          <w:sz w:val="24"/>
          <w:szCs w:val="24"/>
          <w:lang w:val="en-US" w:eastAsia="zh-CN"/>
        </w:rPr>
        <w:t>本方案确定项目</w:t>
      </w:r>
      <w:r>
        <w:rPr>
          <w:rFonts w:hint="default" w:ascii="Times New Roman" w:hAnsi="Times New Roman" w:eastAsia="仿宋_GB2312" w:cs="Times New Roman"/>
          <w:color w:val="auto"/>
          <w:sz w:val="24"/>
          <w:szCs w:val="24"/>
        </w:rPr>
        <w:t>总的监测时段为</w:t>
      </w:r>
      <w:r>
        <w:rPr>
          <w:rFonts w:hint="eastAsia" w:eastAsia="仿宋_GB2312" w:cs="Times New Roman"/>
          <w:sz w:val="24"/>
          <w:szCs w:val="24"/>
          <w:lang w:val="en-US" w:eastAsia="zh-CN"/>
        </w:rPr>
        <w:t>2023年7月</w:t>
      </w:r>
      <w:r>
        <w:rPr>
          <w:rFonts w:hint="default" w:ascii="Times New Roman" w:hAnsi="Times New Roman" w:eastAsia="仿宋_GB2312" w:cs="Times New Roman"/>
          <w:sz w:val="24"/>
          <w:szCs w:val="24"/>
          <w:lang w:val="en-US" w:eastAsia="zh-CN"/>
        </w:rPr>
        <w:t>-202</w:t>
      </w:r>
      <w:r>
        <w:rPr>
          <w:rFonts w:hint="eastAsia" w:eastAsia="仿宋_GB2312" w:cs="Times New Roman"/>
          <w:sz w:val="24"/>
          <w:szCs w:val="24"/>
          <w:lang w:val="en-US" w:eastAsia="zh-CN"/>
        </w:rPr>
        <w:t>5</w:t>
      </w:r>
      <w:r>
        <w:rPr>
          <w:rFonts w:hint="default" w:ascii="Times New Roman" w:hAnsi="Times New Roman" w:eastAsia="仿宋_GB2312" w:cs="Times New Roman"/>
          <w:sz w:val="24"/>
          <w:szCs w:val="24"/>
          <w:lang w:val="en-US" w:eastAsia="zh-CN"/>
        </w:rPr>
        <w:t>年12月。</w:t>
      </w:r>
    </w:p>
    <w:p>
      <w:pPr>
        <w:pStyle w:val="5"/>
        <w:bidi w:val="0"/>
        <w:rPr>
          <w:rFonts w:hint="default" w:ascii="Times New Roman" w:hAnsi="Times New Roman" w:cs="Times New Roman"/>
        </w:rPr>
      </w:pPr>
      <w:bookmarkStart w:id="397" w:name="_Toc18571"/>
      <w:bookmarkStart w:id="398" w:name="_Toc4690"/>
      <w:bookmarkStart w:id="399" w:name="_Toc24784"/>
      <w:r>
        <w:rPr>
          <w:rFonts w:hint="default" w:ascii="Times New Roman" w:hAnsi="Times New Roman" w:cs="Times New Roman"/>
        </w:rPr>
        <w:t>6.2内容和方法</w:t>
      </w:r>
      <w:bookmarkEnd w:id="396"/>
      <w:bookmarkEnd w:id="397"/>
      <w:bookmarkEnd w:id="398"/>
      <w:bookmarkEnd w:id="399"/>
    </w:p>
    <w:p>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6.2.1监测内容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color w:val="auto"/>
          <w:sz w:val="24"/>
        </w:rPr>
        <w:t>根据</w:t>
      </w:r>
      <w:r>
        <w:rPr>
          <w:rFonts w:hint="eastAsia" w:eastAsia="仿宋_GB2312" w:cs="Times New Roman"/>
          <w:color w:val="auto"/>
          <w:sz w:val="24"/>
          <w:lang w:val="en-US" w:eastAsia="zh-CN"/>
        </w:rPr>
        <w:t>水土保持技术标准规范、</w:t>
      </w:r>
      <w:r>
        <w:rPr>
          <w:rFonts w:hint="default" w:ascii="Times New Roman" w:hAnsi="Times New Roman" w:eastAsia="仿宋_GB2312" w:cs="Times New Roman"/>
          <w:color w:val="auto"/>
          <w:sz w:val="24"/>
        </w:rPr>
        <w:t>《水利部办公厅关于进一步加强生产建设项目水土保持监测工作的通知》（办水保</w:t>
      </w:r>
      <w:r>
        <w:rPr>
          <w:rFonts w:hint="default" w:ascii="Times New Roman" w:hAnsi="Times New Roman" w:cs="Times New Roman"/>
          <w:color w:val="auto"/>
          <w:sz w:val="24"/>
        </w:rPr>
        <w:t>﹝</w:t>
      </w:r>
      <w:r>
        <w:rPr>
          <w:rFonts w:hint="default" w:ascii="Times New Roman" w:hAnsi="Times New Roman" w:eastAsia="仿宋_GB2312" w:cs="Times New Roman"/>
          <w:color w:val="auto"/>
          <w:sz w:val="24"/>
        </w:rPr>
        <w:t>2020</w:t>
      </w:r>
      <w:r>
        <w:rPr>
          <w:rFonts w:hint="default" w:ascii="Times New Roman" w:hAnsi="Times New Roman" w:cs="Times New Roman"/>
          <w:color w:val="auto"/>
          <w:sz w:val="24"/>
        </w:rPr>
        <w:t>﹞</w:t>
      </w:r>
      <w:r>
        <w:rPr>
          <w:rFonts w:hint="default" w:ascii="Times New Roman" w:hAnsi="Times New Roman" w:eastAsia="仿宋_GB2312" w:cs="Times New Roman"/>
          <w:color w:val="auto"/>
          <w:sz w:val="24"/>
        </w:rPr>
        <w:t>161号）</w:t>
      </w:r>
      <w:r>
        <w:rPr>
          <w:rFonts w:hint="eastAsia" w:eastAsia="仿宋_GB2312" w:cs="Times New Roman"/>
          <w:color w:val="auto"/>
          <w:sz w:val="24"/>
          <w:lang w:val="en-US" w:eastAsia="zh-CN"/>
        </w:rPr>
        <w:t>以及</w:t>
      </w:r>
      <w:r>
        <w:rPr>
          <w:rFonts w:hint="default" w:ascii="Times New Roman" w:hAnsi="Times New Roman" w:eastAsia="仿宋_GB2312" w:cs="Times New Roman"/>
          <w:snapToGrid w:val="0"/>
          <w:color w:val="auto"/>
          <w:sz w:val="24"/>
          <w:szCs w:val="24"/>
        </w:rPr>
        <w:t>《生产建设项目水土保持方案管理办法》（水利部令第53号）</w:t>
      </w:r>
      <w:r>
        <w:rPr>
          <w:rFonts w:hint="eastAsia" w:eastAsia="仿宋_GB2312" w:cs="Times New Roman"/>
          <w:color w:val="auto"/>
          <w:sz w:val="24"/>
          <w:lang w:val="en-US" w:eastAsia="zh-CN"/>
        </w:rPr>
        <w:t>等有关规定</w:t>
      </w:r>
      <w:r>
        <w:rPr>
          <w:rFonts w:hint="default" w:ascii="Times New Roman" w:hAnsi="Times New Roman" w:eastAsia="仿宋_GB2312" w:cs="Times New Roman"/>
          <w:color w:val="auto"/>
          <w:sz w:val="24"/>
        </w:rPr>
        <w:t>，水土保持监测内容为</w:t>
      </w:r>
      <w:r>
        <w:rPr>
          <w:rFonts w:hint="default" w:ascii="Times New Roman" w:hAnsi="Times New Roman" w:eastAsia="仿宋_GB2312" w:cs="Times New Roman"/>
          <w:bCs/>
          <w:color w:val="auto"/>
          <w:sz w:val="24"/>
        </w:rPr>
        <w:t>水土流失自然影响因素监测、扰动土地情况监测、水土流失状况监测、水土流失防治成效和水土流失危害监测。具体监测内容如下：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（1）本底值监测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sz w:val="24"/>
          <w:highlight w:val="none"/>
          <w:lang w:val="en-US" w:eastAsia="zh-CN"/>
        </w:rPr>
      </w:pPr>
      <w:r>
        <w:rPr>
          <w:rFonts w:hint="eastAsia" w:eastAsia="仿宋_GB2312" w:cs="Times New Roman"/>
          <w:sz w:val="24"/>
          <w:highlight w:val="none"/>
          <w:lang w:val="en-US" w:eastAsia="zh-CN"/>
        </w:rPr>
        <w:t>项目应当按规定在施工准备期前进行本底值监测。</w:t>
      </w:r>
      <w:r>
        <w:rPr>
          <w:rFonts w:hint="default" w:ascii="Times New Roman" w:hAnsi="Times New Roman" w:eastAsia="仿宋_GB2312" w:cs="Times New Roman"/>
          <w:sz w:val="24"/>
          <w:highlight w:val="none"/>
        </w:rPr>
        <w:t>工程施工准备期前，结合项目区的实际情况，对水土保持监测范围的地形地貌、地面组成物质、植被、气象、水文、土地利用现状、水土保持措施与质量、水土流失状况等基本情况进行调查，掌握项目建设前水土流失背景状况。</w:t>
      </w:r>
      <w:r>
        <w:rPr>
          <w:rFonts w:hint="eastAsia" w:eastAsia="仿宋_GB2312" w:cs="Times New Roman"/>
          <w:sz w:val="24"/>
          <w:highlight w:val="none"/>
          <w:lang w:val="en-US" w:eastAsia="zh-CN"/>
        </w:rPr>
        <w:t>本项目为补充监测，</w:t>
      </w:r>
      <w:r>
        <w:rPr>
          <w:rFonts w:hint="eastAsia" w:eastAsia="仿宋_GB2312" w:cs="Times New Roman"/>
          <w:bCs/>
          <w:color w:val="auto"/>
          <w:kern w:val="0"/>
          <w:sz w:val="24"/>
          <w:lang w:val="en-US" w:eastAsia="zh-CN"/>
        </w:rPr>
        <w:t>主要采取</w:t>
      </w:r>
      <w:r>
        <w:rPr>
          <w:rFonts w:hint="default" w:ascii="Times New Roman" w:hAnsi="Times New Roman" w:eastAsia="仿宋_GB2312" w:cs="Times New Roman"/>
          <w:bCs/>
          <w:color w:val="auto"/>
          <w:kern w:val="0"/>
          <w:sz w:val="24"/>
        </w:rPr>
        <w:t>历史遥感影像分析、现场调查、资料查阅等方法，对未开展水土保持监测期间的水土流失及水土保持状况进行分析评价</w:t>
      </w:r>
      <w:r>
        <w:rPr>
          <w:rFonts w:hint="eastAsia" w:ascii="Times New Roman" w:hAnsi="Times New Roman" w:eastAsia="仿宋_GB2312" w:cs="Times New Roman"/>
          <w:bCs/>
          <w:color w:val="auto"/>
          <w:kern w:val="0"/>
          <w:sz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（2）水土流失影响因素监测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水土流失影响因素监测应包括：施工期间的气象水文、地形地貌、地表组成物质、植被等自然影响因素；项目建设对原地表、水土保持设施、植被的占压和损毁情况；项目征占地和水土流失防治责任范围变化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（3）扰动土地情况监测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重点监测项目建设对原地表、植被的占压和损毁情况，项目征占地和水土流失防治责任范围变化情况等。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（4）水土流失状况监测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水土流失状况监测应包括：水土流失类型、形式、面积、分布及强度；重点监测实际造成的水土流失面积、分布、土壤流失量及变化情况等。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（5）水土流失防治成效监测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水土流失防治成效监测应重点监测实际采取水土保持工程、植物和临时措施的位置、数量，以及实施水土保持措施前后的防治效果对比情况等。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（6）水土流失危害监测</w:t>
      </w:r>
    </w:p>
    <w:p>
      <w:pPr>
        <w:pStyle w:val="16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color w:val="0C0C0C"/>
          <w:kern w:val="0"/>
          <w:sz w:val="24"/>
          <w:szCs w:val="24"/>
          <w:highlight w:val="none"/>
        </w:rPr>
        <w:t>重点监测水土流失对主体工程、周边重要设施等造成的影响及危害等。主要包括：对主体工程造成危害的方式、数量和程度。</w:t>
      </w:r>
    </w:p>
    <w:p>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6.2.2监测方法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根据《水利部办公厅关于进一步加强生产建设项目水土保持监测工作的通知》（办水保﹝2020﹞161号），水土保持监测方法包括卫星遥感、无人机遥感、地面观测、实地调查量测、查阅资料等。监测方法采用无人机遥感监测、地面观测、实地调查量测相结合的监测方法。</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lang w:val="en-US" w:eastAsia="zh-CN"/>
        </w:rPr>
        <w:t>6.2.2.1实地调查量测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对主要水土流失因子、区段水土保持防治效益和基本状况、植物措施实施效果主要采用调查监测方法获取数据。防治责任范围内调查内容主要包括：</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（1）土地扰动面积和程度、水土流失面积变化情况、水土流失程度变化情况、水土流失治理面积、林草覆盖度采用设计资料分析，结合实地勘测及调查进行监测。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（2）对工程挖方、填方数量，挖深及堆放高度、临时堆土数量及堆放面积采用查阅设计文件的方法。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（3）水土流失防治措施数量和质量；林草措施成活率、保存率、生长情况及覆盖度；防护工程的稳定性、完好程度和运行情况、各项防治措施保土效果采用实地样方调查的方法进行监测。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（4）工程建设对项目区及周边地区可能造成的危害，对经济、社会发展的影响等评价采用实地调查法，并结合实地量测等方法进行。</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lang w:val="en-US" w:eastAsia="zh-CN"/>
        </w:rPr>
        <w:t>6.2.2.2定位监测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该项工程水土保持监测主要针对项目区水土流失量的变化、水土流失程度变化和拦渣保土量等指标进行定点、定位的地面观测。在监测点，根据监测内容及要求布设监测小区，定时观测和典型采样相结合，获取数据。用观测结果与同类型区平均流失量及允许流失量分析比较来验证水土保持工程布局及设计的合理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侵蚀沟法：重点监测边坡的水蚀量测，量测坡面形成初期的坡度、坡长、地面组成物质、容重等，典型场次降雨或多降雨后侵蚀沟的体积，计算得出沟蚀量。具体是在监测重点地段对选定坡面上的侵蚀沟数量、深度、长度进行量算。将小区沟蚀量加上面蚀量从而求得边坡的土壤水蚀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测钎法：在选定的坡面上，将φ0.5cm～φ1.0cm，长50cm～100cm的测钎按相距1m×1m纵横各3排垂直插入坡面，测钎顶端与坡面齐平，并在顶端上涂上红漆，编号记录。每次暴雨后和汛期终了、大风过后以及时段末，观测测钎顶端露出地面的高度，计算土壤侵蚀深度和土壤侵蚀量。</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lang w:val="en-US" w:eastAsia="zh-CN"/>
        </w:rPr>
        <w:t>6.2.2.3无人机遥感监测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通过无人机进行施工过程中遥感影像收集。遥感影像空间分辨率不低于2.5m。遥感监测内容应包括下列内容：土壤侵蚀因子：包括植被、地形和地面组成物质等影响土壤侵蚀的自然因子，以及修路等人为活动；土壤侵蚀状况：包括类型、强度、分布及其危害等；水土流失防治现状：包括水土保持措施的数量和质量。遥感监测应在施工前开展1次，施工期每年不少于1次，施工后监测一次。遥感监测精度应达到以下要求：遥感影像空间分辨率应不低于2.5m；遥感监测流程、质量要求、成果汇总等满足《水土保持遥感监测技术规范》（SL592—2012）要求；点型项目扰动面积监测精度不小于95%。最后，通过影像分析，确定项目区的扰动范围、工程措施和植被措施布置情况。</w:t>
      </w:r>
    </w:p>
    <w:p>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6.2.3监测频次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根据《生产建设项目水土保持监测与评价标准》（GB/T51240-2018），</w:t>
      </w:r>
      <w:r>
        <w:rPr>
          <w:rFonts w:hint="default" w:ascii="Times New Roman" w:hAnsi="Times New Roman" w:eastAsia="仿宋_GB2312" w:cs="Times New Roman"/>
          <w:sz w:val="24"/>
          <w:szCs w:val="24"/>
          <w:lang w:eastAsia="zh-CN"/>
        </w:rPr>
        <w:t>本期工程</w:t>
      </w:r>
      <w:r>
        <w:rPr>
          <w:rFonts w:hint="default" w:ascii="Times New Roman" w:hAnsi="Times New Roman" w:eastAsia="仿宋_GB2312" w:cs="Times New Roman"/>
          <w:sz w:val="24"/>
          <w:szCs w:val="24"/>
        </w:rPr>
        <w:t>水土保持监测主要采用实地调查量测、地面观测和遥感监测相结合的方法。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1</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水土流失影响因素监测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地形地貌状况整个监测期监测1次；地表物质施工准备期和设计水平年各监测1次；植被状况在施工准备期前测定1次；气象因子每月1次。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2</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扰动土地情况监测每月监测1次。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3</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水土流失状况监测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水土流失状况应至少每月监测1次，发生强降水等情况后及时加测，视施工情况加测。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4</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水土流失防治成效监测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水土流失防治成效每季度监测1次，其中临时措施至少每月监测1次。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5</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水土流失危害监测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水土流失危害事件发生后1周内完成监测工作。</w:t>
      </w:r>
    </w:p>
    <w:p>
      <w:pPr>
        <w:pStyle w:val="5"/>
        <w:bidi w:val="0"/>
        <w:rPr>
          <w:rFonts w:hint="default" w:ascii="Times New Roman" w:hAnsi="Times New Roman" w:cs="Times New Roman"/>
        </w:rPr>
      </w:pPr>
      <w:bookmarkStart w:id="400" w:name="_Toc5244"/>
      <w:bookmarkStart w:id="401" w:name="_Toc20865"/>
      <w:bookmarkStart w:id="402" w:name="_Toc28808"/>
      <w:r>
        <w:rPr>
          <w:rFonts w:hint="default" w:ascii="Times New Roman" w:hAnsi="Times New Roman" w:cs="Times New Roman"/>
        </w:rPr>
        <w:t>6.3点位布设</w:t>
      </w:r>
      <w:bookmarkEnd w:id="400"/>
      <w:bookmarkEnd w:id="401"/>
      <w:bookmarkEnd w:id="402"/>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bookmarkStart w:id="403" w:name="_Toc319652093"/>
      <w:bookmarkStart w:id="404" w:name="_Toc8112"/>
      <w:bookmarkStart w:id="405" w:name="_Toc32515"/>
      <w:r>
        <w:rPr>
          <w:rFonts w:hint="default" w:ascii="Times New Roman" w:hAnsi="Times New Roman" w:eastAsia="仿宋_GB2312" w:cs="Times New Roman"/>
          <w:sz w:val="24"/>
          <w:szCs w:val="24"/>
        </w:rPr>
        <w:t>水土保持监测范围为水土流失防治责任范围。各单元的水土流失量的监测采用地面观测法，施工期监测点布设主要考虑动土强度大，施工持续时间较长，但施工期当中有一个相对稳定、不受扰动的时段，有利于对施工产生的土壤侵蚀的监测；</w:t>
      </w:r>
      <w:r>
        <w:rPr>
          <w:rFonts w:hint="default" w:ascii="Times New Roman" w:hAnsi="Times New Roman" w:eastAsia="仿宋_GB2312" w:cs="Times New Roman"/>
          <w:bCs/>
          <w:color w:val="auto"/>
          <w:sz w:val="24"/>
          <w:szCs w:val="24"/>
          <w:lang w:eastAsia="zh-CN"/>
        </w:rPr>
        <w:t>本期项目</w:t>
      </w:r>
      <w:r>
        <w:rPr>
          <w:rFonts w:hint="default" w:ascii="Times New Roman" w:hAnsi="Times New Roman" w:eastAsia="仿宋_GB2312" w:cs="Times New Roman"/>
          <w:bCs/>
          <w:color w:val="auto"/>
          <w:sz w:val="24"/>
          <w:szCs w:val="24"/>
        </w:rPr>
        <w:t>布设</w:t>
      </w:r>
      <w:r>
        <w:rPr>
          <w:rFonts w:hint="default" w:ascii="Times New Roman" w:hAnsi="Times New Roman" w:eastAsia="仿宋_GB2312" w:cs="Times New Roman"/>
          <w:bCs/>
          <w:color w:val="auto"/>
          <w:sz w:val="24"/>
          <w:szCs w:val="24"/>
          <w:lang w:val="en-US" w:eastAsia="zh-CN"/>
        </w:rPr>
        <w:t>1</w:t>
      </w:r>
      <w:r>
        <w:rPr>
          <w:rFonts w:hint="default" w:ascii="Times New Roman" w:hAnsi="Times New Roman" w:eastAsia="仿宋_GB2312" w:cs="Times New Roman"/>
          <w:bCs/>
          <w:color w:val="auto"/>
          <w:sz w:val="24"/>
          <w:szCs w:val="24"/>
        </w:rPr>
        <w:t>个监测点，为项工程</w:t>
      </w:r>
      <w:r>
        <w:rPr>
          <w:rFonts w:hint="default" w:ascii="Times New Roman" w:hAnsi="Times New Roman" w:eastAsia="仿宋_GB2312" w:cs="Times New Roman"/>
          <w:bCs/>
          <w:color w:val="auto"/>
          <w:sz w:val="24"/>
          <w:szCs w:val="24"/>
          <w:lang w:val="en-US" w:eastAsia="zh-CN"/>
        </w:rPr>
        <w:t>建</w:t>
      </w:r>
      <w:r>
        <w:rPr>
          <w:rFonts w:hint="default" w:ascii="Times New Roman" w:hAnsi="Times New Roman" w:eastAsia="仿宋_GB2312" w:cs="Times New Roman"/>
          <w:color w:val="auto"/>
          <w:sz w:val="24"/>
        </w:rPr>
        <w:t>设区</w:t>
      </w:r>
      <w:r>
        <w:rPr>
          <w:rFonts w:hint="eastAsia" w:eastAsia="仿宋_GB2312" w:cs="Times New Roman"/>
          <w:color w:val="auto"/>
          <w:sz w:val="24"/>
          <w:lang w:val="en-US" w:eastAsia="zh-CN"/>
        </w:rPr>
        <w:t>临时堆土区</w:t>
      </w:r>
      <w:r>
        <w:rPr>
          <w:rFonts w:hint="default" w:ascii="Times New Roman" w:hAnsi="Times New Roman" w:eastAsia="仿宋_GB2312" w:cs="Times New Roman"/>
          <w:bCs/>
          <w:color w:val="auto"/>
          <w:sz w:val="24"/>
          <w:szCs w:val="24"/>
        </w:rPr>
        <w:t>。</w:t>
      </w:r>
    </w:p>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微软雅黑" w:cs="Times New Roman"/>
        </w:rPr>
      </w:pPr>
      <w:r>
        <w:rPr>
          <w:rFonts w:hint="default" w:ascii="Times New Roman" w:hAnsi="Times New Roman" w:eastAsia="微软雅黑" w:cs="Times New Roman"/>
        </w:rPr>
        <w:t>表6-</w:t>
      </w:r>
      <w:r>
        <w:rPr>
          <w:rFonts w:hint="default" w:ascii="Times New Roman" w:hAnsi="Times New Roman" w:eastAsia="微软雅黑" w:cs="Times New Roman"/>
          <w:lang w:val="en-US" w:eastAsia="zh-CN"/>
        </w:rPr>
        <w:t>1</w:t>
      </w:r>
      <w:r>
        <w:rPr>
          <w:rFonts w:hint="default" w:ascii="Times New Roman" w:hAnsi="Times New Roman" w:eastAsia="微软雅黑" w:cs="Times New Roman"/>
        </w:rPr>
        <w:t xml:space="preserve">  监测点位一览表</w:t>
      </w:r>
    </w:p>
    <w:tbl>
      <w:tblPr>
        <w:tblStyle w:val="556"/>
        <w:tblW w:w="4998" w:type="pct"/>
        <w:jc w:val="center"/>
        <w:tblBorders>
          <w:top w:val="double" w:color="000000" w:sz="4" w:space="0"/>
          <w:left w:val="none" w:color="auto" w:sz="0" w:space="0"/>
          <w:bottom w:val="double" w:color="000000" w:sz="4"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1266"/>
        <w:gridCol w:w="1083"/>
        <w:gridCol w:w="2606"/>
        <w:gridCol w:w="1709"/>
        <w:gridCol w:w="1741"/>
      </w:tblGrid>
      <w:tr>
        <w:tblPrEx>
          <w:tblBorders>
            <w:top w:val="double" w:color="000000" w:sz="4" w:space="0"/>
            <w:left w:val="none" w:color="auto" w:sz="0" w:space="0"/>
            <w:bottom w:val="double" w:color="000000" w:sz="4"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93" w:hRule="atLeast"/>
          <w:jc w:val="center"/>
        </w:trPr>
        <w:tc>
          <w:tcPr>
            <w:tcW w:w="75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0"/>
                <w:szCs w:val="20"/>
                <w:lang w:eastAsia="zh-CN"/>
              </w:rPr>
            </w:pPr>
            <w:r>
              <w:rPr>
                <w:rFonts w:hint="default" w:ascii="Times New Roman" w:hAnsi="Times New Roman" w:eastAsia="仿宋_GB2312" w:cs="Times New Roman"/>
                <w:spacing w:val="3"/>
                <w:sz w:val="20"/>
                <w:szCs w:val="20"/>
                <w:lang w:val="en-US" w:eastAsia="zh-CN"/>
              </w:rPr>
              <w:t>监测单元</w:t>
            </w:r>
          </w:p>
        </w:tc>
        <w:tc>
          <w:tcPr>
            <w:tcW w:w="64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pacing w:val="8"/>
                <w:sz w:val="20"/>
                <w:szCs w:val="20"/>
                <w:lang w:val="en-US" w:eastAsia="zh-CN"/>
              </w:rPr>
            </w:pPr>
            <w:r>
              <w:rPr>
                <w:rFonts w:hint="default" w:ascii="Times New Roman" w:hAnsi="Times New Roman" w:eastAsia="仿宋_GB2312" w:cs="Times New Roman"/>
                <w:spacing w:val="8"/>
                <w:sz w:val="20"/>
                <w:szCs w:val="20"/>
                <w:lang w:val="en-US" w:eastAsia="zh-CN"/>
              </w:rPr>
              <w:t>监测点数</w:t>
            </w:r>
          </w:p>
        </w:tc>
        <w:tc>
          <w:tcPr>
            <w:tcW w:w="15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kern w:val="2"/>
                <w:sz w:val="20"/>
                <w:szCs w:val="20"/>
                <w:lang w:val="en-US" w:eastAsia="zh-CN" w:bidi="ar-SA"/>
              </w:rPr>
            </w:pPr>
            <w:r>
              <w:rPr>
                <w:rFonts w:hint="default" w:ascii="Times New Roman" w:hAnsi="Times New Roman" w:eastAsia="仿宋_GB2312" w:cs="Times New Roman"/>
                <w:spacing w:val="8"/>
                <w:sz w:val="20"/>
                <w:szCs w:val="20"/>
                <w:lang w:val="en-US" w:eastAsia="zh-CN"/>
              </w:rPr>
              <w:t>监测内容</w:t>
            </w:r>
          </w:p>
        </w:tc>
        <w:tc>
          <w:tcPr>
            <w:tcW w:w="101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kern w:val="2"/>
                <w:sz w:val="20"/>
                <w:szCs w:val="20"/>
                <w:lang w:val="en-US" w:eastAsia="zh-CN" w:bidi="ar-SA"/>
              </w:rPr>
            </w:pPr>
            <w:r>
              <w:rPr>
                <w:rFonts w:hint="default" w:ascii="Times New Roman" w:hAnsi="Times New Roman" w:eastAsia="仿宋_GB2312" w:cs="Times New Roman"/>
                <w:spacing w:val="4"/>
                <w:sz w:val="20"/>
                <w:szCs w:val="20"/>
              </w:rPr>
              <w:t>位</w:t>
            </w:r>
            <w:r>
              <w:rPr>
                <w:rFonts w:hint="default" w:ascii="Times New Roman" w:hAnsi="Times New Roman" w:eastAsia="仿宋_GB2312" w:cs="Times New Roman"/>
                <w:spacing w:val="3"/>
                <w:sz w:val="20"/>
                <w:szCs w:val="20"/>
              </w:rPr>
              <w:t>置</w:t>
            </w:r>
          </w:p>
        </w:tc>
        <w:tc>
          <w:tcPr>
            <w:tcW w:w="103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kern w:val="2"/>
                <w:sz w:val="20"/>
                <w:szCs w:val="20"/>
                <w:lang w:val="en-US" w:eastAsia="zh-CN" w:bidi="ar-SA"/>
              </w:rPr>
            </w:pPr>
            <w:r>
              <w:rPr>
                <w:rFonts w:hint="default" w:ascii="Times New Roman" w:hAnsi="Times New Roman" w:eastAsia="仿宋_GB2312" w:cs="Times New Roman"/>
                <w:spacing w:val="8"/>
                <w:sz w:val="20"/>
                <w:szCs w:val="20"/>
              </w:rPr>
              <w:t>监</w:t>
            </w:r>
            <w:r>
              <w:rPr>
                <w:rFonts w:hint="default" w:ascii="Times New Roman" w:hAnsi="Times New Roman" w:eastAsia="仿宋_GB2312" w:cs="Times New Roman"/>
                <w:spacing w:val="5"/>
                <w:sz w:val="20"/>
                <w:szCs w:val="20"/>
              </w:rPr>
              <w:t>测方法</w:t>
            </w:r>
          </w:p>
        </w:tc>
      </w:tr>
      <w:tr>
        <w:tblPrEx>
          <w:tblBorders>
            <w:top w:val="double" w:color="000000" w:sz="4" w:space="0"/>
            <w:left w:val="none" w:color="auto" w:sz="0" w:space="0"/>
            <w:bottom w:val="double" w:color="000000" w:sz="4"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93" w:hRule="atLeast"/>
          <w:jc w:val="center"/>
        </w:trPr>
        <w:tc>
          <w:tcPr>
            <w:tcW w:w="75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9"/>
                <w:sz w:val="20"/>
                <w:szCs w:val="20"/>
              </w:rPr>
              <w:t>工</w:t>
            </w:r>
            <w:r>
              <w:rPr>
                <w:rFonts w:hint="default" w:ascii="Times New Roman" w:hAnsi="Times New Roman" w:eastAsia="仿宋_GB2312" w:cs="Times New Roman"/>
                <w:spacing w:val="6"/>
                <w:sz w:val="20"/>
                <w:szCs w:val="20"/>
              </w:rPr>
              <w:t>程建设区</w:t>
            </w:r>
          </w:p>
        </w:tc>
        <w:tc>
          <w:tcPr>
            <w:tcW w:w="64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pacing w:val="4"/>
                <w:kern w:val="2"/>
                <w:sz w:val="20"/>
                <w:szCs w:val="20"/>
                <w:lang w:val="en-US" w:eastAsia="zh-CN" w:bidi="ar-SA"/>
              </w:rPr>
            </w:pPr>
            <w:r>
              <w:rPr>
                <w:rFonts w:hint="default" w:ascii="Times New Roman" w:hAnsi="Times New Roman" w:eastAsia="仿宋_GB2312" w:cs="Times New Roman"/>
                <w:spacing w:val="4"/>
                <w:sz w:val="20"/>
                <w:szCs w:val="20"/>
                <w:lang w:val="en-US" w:eastAsia="zh-CN"/>
              </w:rPr>
              <w:t>1</w:t>
            </w:r>
          </w:p>
        </w:tc>
        <w:tc>
          <w:tcPr>
            <w:tcW w:w="1550" w:type="pct"/>
            <w:tcBorders>
              <w:tl2br w:val="nil"/>
              <w:tr2bl w:val="nil"/>
            </w:tcBorders>
            <w:vAlign w:val="center"/>
          </w:tcPr>
          <w:p>
            <w:pPr>
              <w:pStyle w:val="203"/>
              <w:pageBreakBefore w:val="0"/>
              <w:tabs>
                <w:tab w:val="left" w:pos="6510"/>
              </w:tabs>
              <w:kinsoku/>
              <w:wordWrap/>
              <w:autoSpaceDE w:val="0"/>
              <w:autoSpaceDN w:val="0"/>
              <w:bidi w:val="0"/>
              <w:adjustRightInd w:val="0"/>
              <w:snapToGrid w:val="0"/>
              <w:rPr>
                <w:rFonts w:hint="default" w:ascii="Times New Roman" w:hAnsi="Times New Roman" w:eastAsia="仿宋_GB2312" w:cs="Times New Roman"/>
                <w:kern w:val="2"/>
                <w:sz w:val="20"/>
                <w:szCs w:val="20"/>
                <w:lang w:val="en-US" w:eastAsia="zh-CN" w:bidi="ar-SA"/>
              </w:rPr>
            </w:pPr>
            <w:r>
              <w:rPr>
                <w:rFonts w:hint="default" w:ascii="Times New Roman" w:hAnsi="Times New Roman" w:eastAsia="仿宋_GB2312" w:cs="Times New Roman"/>
                <w:color w:val="auto"/>
                <w:sz w:val="20"/>
                <w:szCs w:val="20"/>
                <w:lang w:eastAsia="zh-CN"/>
              </w:rPr>
              <w:t>水</w:t>
            </w:r>
            <w:r>
              <w:rPr>
                <w:rFonts w:hint="default" w:ascii="Times New Roman" w:hAnsi="Times New Roman" w:eastAsia="仿宋_GB2312" w:cs="Times New Roman"/>
                <w:color w:val="auto"/>
                <w:sz w:val="20"/>
                <w:szCs w:val="20"/>
              </w:rPr>
              <w:t>土流失状况监测及水土流失防治效果监测</w:t>
            </w:r>
          </w:p>
        </w:tc>
        <w:tc>
          <w:tcPr>
            <w:tcW w:w="101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kern w:val="2"/>
                <w:sz w:val="20"/>
                <w:szCs w:val="20"/>
                <w:lang w:val="en-US" w:eastAsia="zh-CN" w:bidi="ar-SA"/>
              </w:rPr>
            </w:pPr>
            <w:r>
              <w:rPr>
                <w:rFonts w:hint="default" w:ascii="Times New Roman" w:hAnsi="Times New Roman" w:eastAsia="仿宋_GB2312" w:cs="Times New Roman"/>
                <w:spacing w:val="5"/>
                <w:sz w:val="20"/>
                <w:szCs w:val="20"/>
              </w:rPr>
              <w:t>绿化</w:t>
            </w:r>
            <w:r>
              <w:rPr>
                <w:rFonts w:hint="default" w:ascii="Times New Roman" w:hAnsi="Times New Roman" w:eastAsia="仿宋_GB2312" w:cs="Times New Roman"/>
                <w:spacing w:val="5"/>
                <w:sz w:val="20"/>
                <w:szCs w:val="20"/>
                <w:lang w:val="en-US" w:eastAsia="zh-CN"/>
              </w:rPr>
              <w:t>区域</w:t>
            </w:r>
          </w:p>
        </w:tc>
        <w:tc>
          <w:tcPr>
            <w:tcW w:w="103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kern w:val="2"/>
                <w:sz w:val="20"/>
                <w:szCs w:val="20"/>
                <w:lang w:val="en-US" w:eastAsia="zh-CN" w:bidi="ar-SA"/>
              </w:rPr>
            </w:pPr>
            <w:r>
              <w:rPr>
                <w:rFonts w:hint="default" w:ascii="Times New Roman" w:hAnsi="Times New Roman" w:eastAsia="仿宋_GB2312" w:cs="Times New Roman"/>
                <w:spacing w:val="3"/>
                <w:sz w:val="20"/>
                <w:szCs w:val="20"/>
              </w:rPr>
              <w:t>实地调查量测</w:t>
            </w:r>
            <w:r>
              <w:rPr>
                <w:rFonts w:hint="default" w:ascii="Times New Roman" w:hAnsi="Times New Roman" w:eastAsia="仿宋_GB2312" w:cs="Times New Roman"/>
                <w:spacing w:val="2"/>
                <w:sz w:val="20"/>
                <w:szCs w:val="20"/>
              </w:rPr>
              <w:t>、</w:t>
            </w:r>
            <w:r>
              <w:rPr>
                <w:rFonts w:hint="default" w:ascii="Times New Roman" w:hAnsi="Times New Roman" w:eastAsia="仿宋_GB2312" w:cs="Times New Roman"/>
                <w:spacing w:val="7"/>
                <w:sz w:val="20"/>
                <w:szCs w:val="20"/>
              </w:rPr>
              <w:t>地面观</w:t>
            </w:r>
            <w:r>
              <w:rPr>
                <w:rFonts w:hint="default" w:ascii="Times New Roman" w:hAnsi="Times New Roman" w:eastAsia="仿宋_GB2312" w:cs="Times New Roman"/>
                <w:spacing w:val="6"/>
                <w:sz w:val="20"/>
                <w:szCs w:val="20"/>
              </w:rPr>
              <w:t>测</w:t>
            </w:r>
          </w:p>
        </w:tc>
      </w:tr>
    </w:tbl>
    <w:p>
      <w:pPr>
        <w:pStyle w:val="5"/>
        <w:bidi w:val="0"/>
        <w:rPr>
          <w:rFonts w:hint="default" w:ascii="Times New Roman" w:hAnsi="Times New Roman" w:cs="Times New Roman"/>
        </w:rPr>
      </w:pPr>
      <w:bookmarkStart w:id="406" w:name="_Toc14384"/>
      <w:r>
        <w:rPr>
          <w:rFonts w:hint="default" w:ascii="Times New Roman" w:hAnsi="Times New Roman" w:cs="Times New Roman"/>
        </w:rPr>
        <w:t>6.4</w:t>
      </w:r>
      <w:bookmarkEnd w:id="403"/>
      <w:r>
        <w:rPr>
          <w:rFonts w:hint="default" w:ascii="Times New Roman" w:hAnsi="Times New Roman" w:cs="Times New Roman"/>
        </w:rPr>
        <w:t>实施条件和成果</w:t>
      </w:r>
      <w:bookmarkEnd w:id="404"/>
      <w:bookmarkEnd w:id="405"/>
      <w:bookmarkEnd w:id="406"/>
    </w:p>
    <w:p>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6.4.1监测设备</w:t>
      </w:r>
    </w:p>
    <w:p>
      <w:pPr>
        <w:pageBreakBefore w:val="0"/>
        <w:kinsoku/>
        <w:wordWrap/>
        <w:bidi w:val="0"/>
        <w:spacing w:line="360" w:lineRule="auto"/>
        <w:ind w:firstLine="480" w:firstLineChars="200"/>
        <w:rPr>
          <w:rFonts w:hint="default" w:ascii="Times New Roman" w:hAnsi="Times New Roman" w:cs="Times New Roman"/>
          <w:highlight w:val="none"/>
        </w:rPr>
      </w:pPr>
      <w:r>
        <w:rPr>
          <w:rFonts w:hint="default" w:ascii="Times New Roman" w:hAnsi="Times New Roman" w:eastAsia="仿宋_GB2312" w:cs="Times New Roman"/>
          <w:sz w:val="24"/>
          <w:highlight w:val="none"/>
        </w:rPr>
        <w:t>依据项目实施进度和项目的实际情况，在各个监测点设置临时监测场，便于进行定点观测。按监测内容和监测方法的要求。监测设施和设备见表6-</w:t>
      </w:r>
      <w:r>
        <w:rPr>
          <w:rFonts w:hint="default" w:ascii="Times New Roman" w:hAnsi="Times New Roman" w:eastAsia="仿宋_GB2312" w:cs="Times New Roman"/>
          <w:sz w:val="24"/>
          <w:highlight w:val="none"/>
          <w:lang w:val="en-US" w:eastAsia="zh-CN"/>
        </w:rPr>
        <w:t>2</w:t>
      </w:r>
      <w:r>
        <w:rPr>
          <w:rFonts w:hint="default" w:ascii="Times New Roman" w:hAnsi="Times New Roman" w:eastAsia="仿宋_GB2312" w:cs="Times New Roman"/>
          <w:sz w:val="24"/>
          <w:highlight w:val="none"/>
        </w:rPr>
        <w:t>。</w:t>
      </w:r>
    </w:p>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微软雅黑" w:cs="Times New Roman"/>
        </w:rPr>
      </w:pPr>
      <w:r>
        <w:rPr>
          <w:rFonts w:hint="default" w:ascii="Times New Roman" w:hAnsi="Times New Roman" w:eastAsia="微软雅黑" w:cs="Times New Roman"/>
        </w:rPr>
        <w:t>表6-</w:t>
      </w:r>
      <w:r>
        <w:rPr>
          <w:rFonts w:hint="default" w:ascii="Times New Roman" w:hAnsi="Times New Roman" w:eastAsia="微软雅黑" w:cs="Times New Roman"/>
          <w:lang w:val="en-US" w:eastAsia="zh-CN"/>
        </w:rPr>
        <w:t xml:space="preserve">2  </w:t>
      </w:r>
      <w:r>
        <w:rPr>
          <w:rFonts w:hint="default" w:ascii="Times New Roman" w:hAnsi="Times New Roman" w:eastAsia="微软雅黑" w:cs="Times New Roman"/>
        </w:rPr>
        <w:t>监测设施、设备及消耗性材料汇总表</w:t>
      </w:r>
    </w:p>
    <w:tbl>
      <w:tblPr>
        <w:tblStyle w:val="556"/>
        <w:tblW w:w="4998" w:type="pct"/>
        <w:jc w:val="center"/>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Layout w:type="autofit"/>
        <w:tblCellMar>
          <w:top w:w="0" w:type="dxa"/>
          <w:left w:w="0" w:type="dxa"/>
          <w:bottom w:w="0" w:type="dxa"/>
          <w:right w:w="0" w:type="dxa"/>
        </w:tblCellMar>
      </w:tblPr>
      <w:tblGrid>
        <w:gridCol w:w="1584"/>
        <w:gridCol w:w="3604"/>
        <w:gridCol w:w="1594"/>
        <w:gridCol w:w="1623"/>
      </w:tblGrid>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23" w:hRule="atLeast"/>
          <w:jc w:val="center"/>
        </w:trPr>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2"/>
                <w:sz w:val="21"/>
                <w:szCs w:val="21"/>
              </w:rPr>
              <w:t>序号</w:t>
            </w:r>
          </w:p>
        </w:tc>
        <w:tc>
          <w:tcPr>
            <w:tcW w:w="21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7"/>
                <w:sz w:val="21"/>
                <w:szCs w:val="21"/>
              </w:rPr>
              <w:t>监测设施与设备</w:t>
            </w:r>
          </w:p>
        </w:tc>
        <w:tc>
          <w:tcPr>
            <w:tcW w:w="9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1"/>
                <w:sz w:val="21"/>
                <w:szCs w:val="21"/>
              </w:rPr>
              <w:t>单</w:t>
            </w:r>
            <w:r>
              <w:rPr>
                <w:rFonts w:hint="default" w:ascii="Times New Roman" w:hAnsi="Times New Roman" w:eastAsia="仿宋_GB2312" w:cs="Times New Roman"/>
                <w:sz w:val="21"/>
                <w:szCs w:val="21"/>
              </w:rPr>
              <w:t>位</w:t>
            </w:r>
          </w:p>
        </w:tc>
        <w:tc>
          <w:tcPr>
            <w:tcW w:w="9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2"/>
                <w:sz w:val="21"/>
                <w:szCs w:val="21"/>
              </w:rPr>
              <w:t>数量</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23" w:hRule="atLeast"/>
          <w:jc w:val="center"/>
        </w:trPr>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101"/>
                <w:position w:val="1"/>
                <w:sz w:val="21"/>
                <w:szCs w:val="21"/>
              </w:rPr>
              <w:t>一</w:t>
            </w:r>
          </w:p>
        </w:tc>
        <w:tc>
          <w:tcPr>
            <w:tcW w:w="21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6"/>
                <w:sz w:val="21"/>
                <w:szCs w:val="21"/>
              </w:rPr>
              <w:t>消耗性材料</w:t>
            </w:r>
          </w:p>
        </w:tc>
        <w:tc>
          <w:tcPr>
            <w:tcW w:w="9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p>
        </w:tc>
        <w:tc>
          <w:tcPr>
            <w:tcW w:w="9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23" w:hRule="atLeast"/>
          <w:jc w:val="center"/>
        </w:trPr>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1</w:t>
            </w:r>
          </w:p>
        </w:tc>
        <w:tc>
          <w:tcPr>
            <w:tcW w:w="21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pacing w:val="8"/>
                <w:sz w:val="21"/>
                <w:szCs w:val="21"/>
              </w:rPr>
              <w:t>取</w:t>
            </w:r>
            <w:r>
              <w:rPr>
                <w:rFonts w:hint="default" w:ascii="Times New Roman" w:hAnsi="Times New Roman" w:eastAsia="仿宋_GB2312" w:cs="Times New Roman"/>
                <w:spacing w:val="7"/>
                <w:sz w:val="21"/>
                <w:szCs w:val="21"/>
              </w:rPr>
              <w:t>样玻璃仪器</w:t>
            </w:r>
          </w:p>
        </w:tc>
        <w:tc>
          <w:tcPr>
            <w:tcW w:w="9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个</w:t>
            </w:r>
          </w:p>
        </w:tc>
        <w:tc>
          <w:tcPr>
            <w:tcW w:w="9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pacing w:val="1"/>
                <w:sz w:val="21"/>
                <w:szCs w:val="21"/>
              </w:rPr>
              <w:t>3</w:t>
            </w:r>
            <w:r>
              <w:rPr>
                <w:rFonts w:hint="default" w:ascii="Times New Roman" w:hAnsi="Times New Roman" w:eastAsia="仿宋_GB2312" w:cs="Times New Roman"/>
                <w:sz w:val="21"/>
                <w:szCs w:val="21"/>
              </w:rPr>
              <w:t>0</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23" w:hRule="atLeast"/>
          <w:jc w:val="center"/>
        </w:trPr>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2</w:t>
            </w:r>
          </w:p>
        </w:tc>
        <w:tc>
          <w:tcPr>
            <w:tcW w:w="21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pacing w:val="6"/>
                <w:sz w:val="21"/>
                <w:szCs w:val="21"/>
                <w:lang w:val="en-US" w:eastAsia="zh-CN"/>
              </w:rPr>
            </w:pPr>
            <w:r>
              <w:rPr>
                <w:rFonts w:hint="default" w:ascii="Times New Roman" w:hAnsi="Times New Roman" w:eastAsia="仿宋_GB2312" w:cs="Times New Roman"/>
                <w:spacing w:val="6"/>
                <w:sz w:val="21"/>
                <w:szCs w:val="21"/>
                <w:lang w:val="en-US" w:eastAsia="zh-CN"/>
              </w:rPr>
              <w:t>蒸发皿</w:t>
            </w:r>
          </w:p>
        </w:tc>
        <w:tc>
          <w:tcPr>
            <w:tcW w:w="9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个</w:t>
            </w:r>
          </w:p>
        </w:tc>
        <w:tc>
          <w:tcPr>
            <w:tcW w:w="9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1</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23" w:hRule="atLeast"/>
          <w:jc w:val="center"/>
        </w:trPr>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3</w:t>
            </w:r>
          </w:p>
        </w:tc>
        <w:tc>
          <w:tcPr>
            <w:tcW w:w="21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pacing w:val="8"/>
                <w:sz w:val="21"/>
                <w:szCs w:val="21"/>
              </w:rPr>
              <w:t>取</w:t>
            </w:r>
            <w:r>
              <w:rPr>
                <w:rFonts w:hint="default" w:ascii="Times New Roman" w:hAnsi="Times New Roman" w:eastAsia="仿宋_GB2312" w:cs="Times New Roman"/>
                <w:spacing w:val="5"/>
                <w:sz w:val="21"/>
                <w:szCs w:val="21"/>
              </w:rPr>
              <w:t>样工具</w:t>
            </w:r>
          </w:p>
        </w:tc>
        <w:tc>
          <w:tcPr>
            <w:tcW w:w="9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套</w:t>
            </w:r>
          </w:p>
        </w:tc>
        <w:tc>
          <w:tcPr>
            <w:tcW w:w="9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1</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23" w:hRule="atLeast"/>
          <w:jc w:val="center"/>
        </w:trPr>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pacing w:val="1"/>
                <w:sz w:val="21"/>
                <w:szCs w:val="21"/>
              </w:rPr>
              <w:t>4</w:t>
            </w:r>
          </w:p>
        </w:tc>
        <w:tc>
          <w:tcPr>
            <w:tcW w:w="21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pacing w:val="6"/>
                <w:sz w:val="21"/>
                <w:szCs w:val="21"/>
                <w:lang w:val="en-US" w:eastAsia="zh-CN"/>
              </w:rPr>
            </w:pPr>
            <w:r>
              <w:rPr>
                <w:rFonts w:hint="default" w:ascii="Times New Roman" w:hAnsi="Times New Roman" w:eastAsia="仿宋_GB2312" w:cs="Times New Roman"/>
                <w:spacing w:val="6"/>
                <w:sz w:val="21"/>
                <w:szCs w:val="21"/>
                <w:lang w:val="en-US" w:eastAsia="zh-CN"/>
              </w:rPr>
              <w:t>围栏网</w:t>
            </w:r>
          </w:p>
        </w:tc>
        <w:tc>
          <w:tcPr>
            <w:tcW w:w="9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m</w:t>
            </w:r>
          </w:p>
        </w:tc>
        <w:tc>
          <w:tcPr>
            <w:tcW w:w="9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200</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23" w:hRule="atLeast"/>
          <w:jc w:val="center"/>
        </w:trPr>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5</w:t>
            </w:r>
          </w:p>
        </w:tc>
        <w:tc>
          <w:tcPr>
            <w:tcW w:w="21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标志绳</w:t>
            </w:r>
          </w:p>
        </w:tc>
        <w:tc>
          <w:tcPr>
            <w:tcW w:w="9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m</w:t>
            </w:r>
          </w:p>
        </w:tc>
        <w:tc>
          <w:tcPr>
            <w:tcW w:w="9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200</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23" w:hRule="atLeast"/>
          <w:jc w:val="center"/>
        </w:trPr>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6</w:t>
            </w:r>
          </w:p>
        </w:tc>
        <w:tc>
          <w:tcPr>
            <w:tcW w:w="21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pacing w:val="2"/>
                <w:sz w:val="21"/>
                <w:szCs w:val="21"/>
              </w:rPr>
              <w:t>测钎</w:t>
            </w:r>
          </w:p>
        </w:tc>
        <w:tc>
          <w:tcPr>
            <w:tcW w:w="9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个</w:t>
            </w:r>
          </w:p>
        </w:tc>
        <w:tc>
          <w:tcPr>
            <w:tcW w:w="9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eastAsia="zh-CN" w:bidi="ar-SA"/>
              </w:rPr>
            </w:pPr>
            <w:r>
              <w:rPr>
                <w:rFonts w:hint="default" w:eastAsia="仿宋_GB2312" w:cs="Times New Roman"/>
                <w:sz w:val="21"/>
                <w:szCs w:val="21"/>
                <w:lang w:eastAsia="zh-CN"/>
              </w:rPr>
              <w:t>10</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23" w:hRule="atLeast"/>
          <w:jc w:val="center"/>
        </w:trPr>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7</w:t>
            </w:r>
          </w:p>
        </w:tc>
        <w:tc>
          <w:tcPr>
            <w:tcW w:w="21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pacing w:val="6"/>
                <w:sz w:val="21"/>
                <w:szCs w:val="21"/>
              </w:rPr>
              <w:t>标志</w:t>
            </w:r>
            <w:r>
              <w:rPr>
                <w:rFonts w:hint="default" w:ascii="Times New Roman" w:hAnsi="Times New Roman" w:eastAsia="仿宋_GB2312" w:cs="Times New Roman"/>
                <w:spacing w:val="5"/>
                <w:sz w:val="21"/>
                <w:szCs w:val="21"/>
              </w:rPr>
              <w:t>牌</w:t>
            </w:r>
          </w:p>
        </w:tc>
        <w:tc>
          <w:tcPr>
            <w:tcW w:w="9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个</w:t>
            </w:r>
          </w:p>
        </w:tc>
        <w:tc>
          <w:tcPr>
            <w:tcW w:w="9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1</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23" w:hRule="atLeast"/>
          <w:jc w:val="center"/>
        </w:trPr>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8</w:t>
            </w:r>
          </w:p>
        </w:tc>
        <w:tc>
          <w:tcPr>
            <w:tcW w:w="21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pacing w:val="-3"/>
                <w:sz w:val="21"/>
                <w:szCs w:val="21"/>
              </w:rPr>
              <w:t>皮尺</w:t>
            </w:r>
          </w:p>
        </w:tc>
        <w:tc>
          <w:tcPr>
            <w:tcW w:w="9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lang w:val="en-US" w:eastAsia="zh-CN"/>
              </w:rPr>
              <w:t>把</w:t>
            </w:r>
          </w:p>
        </w:tc>
        <w:tc>
          <w:tcPr>
            <w:tcW w:w="9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pacing w:val="1"/>
                <w:sz w:val="21"/>
                <w:szCs w:val="21"/>
                <w:lang w:val="en-US" w:eastAsia="zh-CN"/>
              </w:rPr>
              <w:t>1</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23" w:hRule="atLeast"/>
          <w:jc w:val="center"/>
        </w:trPr>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9</w:t>
            </w:r>
          </w:p>
        </w:tc>
        <w:tc>
          <w:tcPr>
            <w:tcW w:w="21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钢卷尺</w:t>
            </w:r>
          </w:p>
        </w:tc>
        <w:tc>
          <w:tcPr>
            <w:tcW w:w="9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把</w:t>
            </w:r>
          </w:p>
        </w:tc>
        <w:tc>
          <w:tcPr>
            <w:tcW w:w="9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z w:val="21"/>
                <w:szCs w:val="21"/>
                <w:lang w:val="en-US"/>
              </w:rPr>
            </w:pPr>
            <w:r>
              <w:rPr>
                <w:rFonts w:hint="default" w:ascii="Times New Roman" w:hAnsi="Times New Roman" w:eastAsia="仿宋_GB2312" w:cs="Times New Roman"/>
                <w:spacing w:val="1"/>
                <w:sz w:val="21"/>
                <w:szCs w:val="21"/>
                <w:lang w:val="en-US" w:eastAsia="zh-CN"/>
              </w:rPr>
              <w:t>1</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23" w:hRule="atLeast"/>
          <w:jc w:val="center"/>
        </w:trPr>
        <w:tc>
          <w:tcPr>
            <w:tcW w:w="94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i w:val="0"/>
                <w:iCs w:val="0"/>
                <w:color w:val="auto"/>
                <w:kern w:val="0"/>
                <w:sz w:val="21"/>
                <w:szCs w:val="21"/>
                <w:u w:val="none"/>
                <w:lang w:val="en-US" w:eastAsia="zh-CN" w:bidi="ar"/>
              </w:rPr>
              <w:t>二</w:t>
            </w:r>
          </w:p>
        </w:tc>
        <w:tc>
          <w:tcPr>
            <w:tcW w:w="2143" w:type="pct"/>
            <w:tcBorders>
              <w:tl2br w:val="nil"/>
              <w:tr2bl w:val="nil"/>
            </w:tcBorders>
            <w:noWrap w:val="0"/>
            <w:vAlign w:val="center"/>
          </w:tcPr>
          <w:p>
            <w:pPr>
              <w:keepNext w:val="0"/>
              <w:keepLines w:val="0"/>
              <w:widowControl/>
              <w:suppressLineNumbers w:val="0"/>
              <w:autoSpaceDE w:val="0"/>
              <w:autoSpaceDN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0"/>
                <w:szCs w:val="20"/>
                <w:lang w:val="en-US" w:eastAsia="zh-CN" w:bidi="ar"/>
              </w:rPr>
              <w:t>监测设施和设备</w:t>
            </w:r>
            <w:r>
              <w:rPr>
                <w:rFonts w:hint="default" w:ascii="Times New Roman" w:hAnsi="Times New Roman" w:eastAsia="仿宋_GB2312" w:cs="Times New Roman"/>
                <w:i w:val="0"/>
                <w:iCs w:val="0"/>
                <w:color w:val="auto"/>
                <w:kern w:val="0"/>
                <w:sz w:val="21"/>
                <w:szCs w:val="21"/>
                <w:u w:val="none"/>
                <w:lang w:val="en-US" w:eastAsia="zh-CN" w:bidi="ar"/>
              </w:rPr>
              <w:t>（</w:t>
            </w:r>
            <w:r>
              <w:rPr>
                <w:rFonts w:hint="default" w:ascii="Times New Roman" w:hAnsi="Times New Roman" w:eastAsia="仿宋_GB2312" w:cs="Times New Roman"/>
                <w:color w:val="000000"/>
                <w:kern w:val="0"/>
                <w:sz w:val="20"/>
                <w:szCs w:val="20"/>
                <w:lang w:val="en-US" w:eastAsia="zh-CN" w:bidi="ar"/>
              </w:rPr>
              <w:t>按</w:t>
            </w:r>
            <w:r>
              <w:rPr>
                <w:rFonts w:hint="default" w:ascii="Times New Roman" w:hAnsi="Times New Roman" w:eastAsia="宋体" w:cs="Times New Roman"/>
                <w:color w:val="000000"/>
                <w:kern w:val="0"/>
                <w:sz w:val="20"/>
                <w:szCs w:val="20"/>
                <w:lang w:val="en-US" w:eastAsia="zh-CN" w:bidi="ar"/>
              </w:rPr>
              <w:t>20</w:t>
            </w:r>
            <w:r>
              <w:rPr>
                <w:rFonts w:hint="default" w:ascii="Times New Roman" w:hAnsi="Times New Roman" w:eastAsia="仿宋_GB2312" w:cs="Times New Roman"/>
                <w:color w:val="000000"/>
                <w:kern w:val="0"/>
                <w:sz w:val="20"/>
                <w:szCs w:val="20"/>
                <w:lang w:val="en-US" w:eastAsia="zh-CN" w:bidi="ar"/>
              </w:rPr>
              <w:t>％折</w:t>
            </w:r>
            <w:r>
              <w:rPr>
                <w:rFonts w:hint="default" w:ascii="Times New Roman" w:hAnsi="Times New Roman" w:eastAsia="仿宋_GB2312" w:cs="Times New Roman"/>
                <w:i w:val="0"/>
                <w:iCs w:val="0"/>
                <w:color w:val="auto"/>
                <w:kern w:val="0"/>
                <w:sz w:val="21"/>
                <w:szCs w:val="21"/>
                <w:u w:val="none"/>
                <w:lang w:val="en-US" w:eastAsia="zh-CN" w:bidi="ar"/>
              </w:rPr>
              <w:t>）</w:t>
            </w:r>
          </w:p>
        </w:tc>
        <w:tc>
          <w:tcPr>
            <w:tcW w:w="9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p>
        </w:tc>
        <w:tc>
          <w:tcPr>
            <w:tcW w:w="9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23" w:hRule="atLeast"/>
          <w:jc w:val="center"/>
        </w:trPr>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1</w:t>
            </w:r>
          </w:p>
        </w:tc>
        <w:tc>
          <w:tcPr>
            <w:tcW w:w="21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电子天平</w:t>
            </w:r>
          </w:p>
        </w:tc>
        <w:tc>
          <w:tcPr>
            <w:tcW w:w="9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台</w:t>
            </w:r>
          </w:p>
        </w:tc>
        <w:tc>
          <w:tcPr>
            <w:tcW w:w="9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1</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23" w:hRule="atLeast"/>
          <w:jc w:val="center"/>
        </w:trPr>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2</w:t>
            </w:r>
          </w:p>
        </w:tc>
        <w:tc>
          <w:tcPr>
            <w:tcW w:w="21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3"/>
                <w:sz w:val="21"/>
                <w:szCs w:val="21"/>
              </w:rPr>
              <w:t>比重计</w:t>
            </w:r>
          </w:p>
        </w:tc>
        <w:tc>
          <w:tcPr>
            <w:tcW w:w="9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个</w:t>
            </w:r>
          </w:p>
        </w:tc>
        <w:tc>
          <w:tcPr>
            <w:tcW w:w="9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1</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23" w:hRule="atLeast"/>
          <w:jc w:val="center"/>
        </w:trPr>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3</w:t>
            </w:r>
          </w:p>
        </w:tc>
        <w:tc>
          <w:tcPr>
            <w:tcW w:w="21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pacing w:val="2"/>
                <w:sz w:val="21"/>
                <w:szCs w:val="21"/>
              </w:rPr>
              <w:t>烘</w:t>
            </w:r>
            <w:r>
              <w:rPr>
                <w:rFonts w:hint="default" w:ascii="Times New Roman" w:hAnsi="Times New Roman" w:eastAsia="仿宋_GB2312" w:cs="Times New Roman"/>
                <w:spacing w:val="1"/>
                <w:sz w:val="21"/>
                <w:szCs w:val="21"/>
              </w:rPr>
              <w:t>箱</w:t>
            </w:r>
          </w:p>
        </w:tc>
        <w:tc>
          <w:tcPr>
            <w:tcW w:w="9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台</w:t>
            </w:r>
          </w:p>
        </w:tc>
        <w:tc>
          <w:tcPr>
            <w:tcW w:w="9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1</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23" w:hRule="atLeast"/>
          <w:jc w:val="center"/>
        </w:trPr>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pacing w:val="1"/>
                <w:sz w:val="21"/>
                <w:szCs w:val="21"/>
              </w:rPr>
              <w:t>4</w:t>
            </w:r>
          </w:p>
        </w:tc>
        <w:tc>
          <w:tcPr>
            <w:tcW w:w="21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pacing w:val="5"/>
                <w:kern w:val="2"/>
                <w:sz w:val="21"/>
                <w:szCs w:val="21"/>
                <w:lang w:val="en-US" w:eastAsia="zh-CN" w:bidi="ar-SA"/>
              </w:rPr>
            </w:pPr>
            <w:r>
              <w:rPr>
                <w:rFonts w:hint="default" w:ascii="Times New Roman" w:hAnsi="Times New Roman" w:eastAsia="仿宋_GB2312" w:cs="Times New Roman"/>
                <w:spacing w:val="5"/>
                <w:sz w:val="21"/>
                <w:szCs w:val="21"/>
                <w:lang w:val="en-US" w:eastAsia="zh-CN"/>
              </w:rPr>
              <w:t>土壤水分快速测定仪</w:t>
            </w:r>
          </w:p>
        </w:tc>
        <w:tc>
          <w:tcPr>
            <w:tcW w:w="9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台</w:t>
            </w:r>
          </w:p>
        </w:tc>
        <w:tc>
          <w:tcPr>
            <w:tcW w:w="9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lang w:val="en-US" w:eastAsia="zh-CN"/>
              </w:rPr>
              <w:t>2</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23" w:hRule="atLeast"/>
          <w:jc w:val="center"/>
        </w:trPr>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5</w:t>
            </w:r>
          </w:p>
        </w:tc>
        <w:tc>
          <w:tcPr>
            <w:tcW w:w="2143" w:type="pct"/>
            <w:tcBorders>
              <w:tl2br w:val="nil"/>
              <w:tr2bl w:val="nil"/>
            </w:tcBorders>
            <w:noWrap w:val="0"/>
            <w:vAlign w:val="center"/>
          </w:tcPr>
          <w:p>
            <w:pPr>
              <w:keepNext w:val="0"/>
              <w:keepLines w:val="0"/>
              <w:widowControl/>
              <w:suppressLineNumbers w:val="0"/>
              <w:autoSpaceDE w:val="0"/>
              <w:autoSpaceDN w:val="0"/>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color w:val="000000"/>
                <w:kern w:val="0"/>
                <w:sz w:val="20"/>
                <w:szCs w:val="20"/>
                <w:lang w:val="en-US" w:eastAsia="zh-CN" w:bidi="ar"/>
              </w:rPr>
              <w:t>植被高度观测仪（测高仪）</w:t>
            </w:r>
          </w:p>
        </w:tc>
        <w:tc>
          <w:tcPr>
            <w:tcW w:w="9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台</w:t>
            </w:r>
          </w:p>
        </w:tc>
        <w:tc>
          <w:tcPr>
            <w:tcW w:w="9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1</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23" w:hRule="atLeast"/>
          <w:jc w:val="center"/>
        </w:trPr>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6</w:t>
            </w:r>
          </w:p>
        </w:tc>
        <w:tc>
          <w:tcPr>
            <w:tcW w:w="21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pacing w:val="5"/>
                <w:sz w:val="21"/>
                <w:szCs w:val="21"/>
                <w:lang w:val="en-US" w:eastAsia="zh-CN"/>
              </w:rPr>
              <w:t>坡度仪</w:t>
            </w:r>
          </w:p>
        </w:tc>
        <w:tc>
          <w:tcPr>
            <w:tcW w:w="9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个</w:t>
            </w:r>
          </w:p>
        </w:tc>
        <w:tc>
          <w:tcPr>
            <w:tcW w:w="9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1</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23" w:hRule="atLeast"/>
          <w:jc w:val="center"/>
        </w:trPr>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7</w:t>
            </w:r>
          </w:p>
        </w:tc>
        <w:tc>
          <w:tcPr>
            <w:tcW w:w="21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GPS</w:t>
            </w:r>
            <w:r>
              <w:rPr>
                <w:rFonts w:hint="default" w:ascii="Times New Roman" w:hAnsi="Times New Roman" w:eastAsia="仿宋_GB2312" w:cs="Times New Roman"/>
                <w:spacing w:val="10"/>
                <w:sz w:val="21"/>
                <w:szCs w:val="21"/>
              </w:rPr>
              <w:t>定位仪</w:t>
            </w:r>
          </w:p>
        </w:tc>
        <w:tc>
          <w:tcPr>
            <w:tcW w:w="9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套</w:t>
            </w:r>
          </w:p>
        </w:tc>
        <w:tc>
          <w:tcPr>
            <w:tcW w:w="9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1</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23" w:hRule="atLeast"/>
          <w:jc w:val="center"/>
        </w:trPr>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8</w:t>
            </w:r>
          </w:p>
        </w:tc>
        <w:tc>
          <w:tcPr>
            <w:tcW w:w="21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无人机</w:t>
            </w:r>
          </w:p>
        </w:tc>
        <w:tc>
          <w:tcPr>
            <w:tcW w:w="9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个</w:t>
            </w:r>
          </w:p>
        </w:tc>
        <w:tc>
          <w:tcPr>
            <w:tcW w:w="9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1</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90" w:hRule="atLeast"/>
          <w:jc w:val="center"/>
        </w:trPr>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9</w:t>
            </w:r>
          </w:p>
        </w:tc>
        <w:tc>
          <w:tcPr>
            <w:tcW w:w="2143" w:type="pct"/>
            <w:tcBorders>
              <w:tl2br w:val="nil"/>
              <w:tr2bl w:val="nil"/>
            </w:tcBorders>
            <w:noWrap w:val="0"/>
            <w:vAlign w:val="center"/>
          </w:tcPr>
          <w:p>
            <w:pPr>
              <w:keepNext w:val="0"/>
              <w:keepLines w:val="0"/>
              <w:widowControl/>
              <w:suppressLineNumbers w:val="0"/>
              <w:autoSpaceDE w:val="0"/>
              <w:autoSpaceDN w:val="0"/>
              <w:jc w:val="center"/>
              <w:rPr>
                <w:rFonts w:hint="default" w:ascii="Times New Roman" w:hAnsi="Times New Roman" w:eastAsia="仿宋_GB2312" w:cs="Times New Roman"/>
                <w:spacing w:val="5"/>
                <w:sz w:val="21"/>
                <w:szCs w:val="21"/>
                <w:lang w:val="en-US" w:eastAsia="zh-CN"/>
              </w:rPr>
            </w:pPr>
            <w:r>
              <w:rPr>
                <w:rFonts w:hint="default" w:ascii="Times New Roman" w:hAnsi="Times New Roman" w:eastAsia="仿宋_GB2312" w:cs="Times New Roman"/>
                <w:color w:val="000000"/>
                <w:kern w:val="0"/>
                <w:sz w:val="20"/>
                <w:szCs w:val="20"/>
                <w:lang w:val="en-US" w:eastAsia="zh-CN" w:bidi="ar"/>
              </w:rPr>
              <w:t>风向风速自测仪</w:t>
            </w:r>
          </w:p>
        </w:tc>
        <w:tc>
          <w:tcPr>
            <w:tcW w:w="9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台</w:t>
            </w:r>
          </w:p>
        </w:tc>
        <w:tc>
          <w:tcPr>
            <w:tcW w:w="9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1</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23" w:hRule="atLeast"/>
          <w:jc w:val="center"/>
        </w:trPr>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z w:val="21"/>
                <w:szCs w:val="21"/>
                <w:lang w:val="en-US" w:eastAsia="zh-CN"/>
              </w:rPr>
              <w:t>1</w:t>
            </w:r>
            <w:r>
              <w:rPr>
                <w:rFonts w:hint="default" w:eastAsia="仿宋_GB2312" w:cs="Times New Roman"/>
                <w:sz w:val="21"/>
                <w:szCs w:val="21"/>
                <w:lang w:eastAsia="zh-CN"/>
              </w:rPr>
              <w:t>0</w:t>
            </w:r>
          </w:p>
        </w:tc>
        <w:tc>
          <w:tcPr>
            <w:tcW w:w="2143" w:type="pct"/>
            <w:tcBorders>
              <w:tl2br w:val="nil"/>
              <w:tr2bl w:val="nil"/>
            </w:tcBorders>
            <w:noWrap w:val="0"/>
            <w:vAlign w:val="center"/>
          </w:tcPr>
          <w:p>
            <w:pPr>
              <w:keepNext w:val="0"/>
              <w:keepLines w:val="0"/>
              <w:widowControl/>
              <w:suppressLineNumbers w:val="0"/>
              <w:autoSpaceDE w:val="0"/>
              <w:autoSpaceDN w:val="0"/>
              <w:jc w:val="center"/>
              <w:rPr>
                <w:rFonts w:hint="default" w:ascii="Times New Roman" w:hAnsi="Times New Roman" w:eastAsia="仿宋_GB2312" w:cs="Times New Roman"/>
                <w:color w:val="000000"/>
                <w:kern w:val="0"/>
                <w:sz w:val="20"/>
                <w:szCs w:val="20"/>
                <w:lang w:val="en-US" w:eastAsia="zh-CN" w:bidi="ar"/>
              </w:rPr>
            </w:pPr>
            <w:r>
              <w:rPr>
                <w:rFonts w:hint="default" w:ascii="Times New Roman" w:hAnsi="Times New Roman" w:eastAsia="仿宋_GB2312" w:cs="Times New Roman"/>
                <w:color w:val="000000"/>
                <w:kern w:val="0"/>
                <w:sz w:val="20"/>
                <w:szCs w:val="20"/>
                <w:lang w:val="en-US" w:eastAsia="zh-CN" w:bidi="ar"/>
              </w:rPr>
              <w:t>径流泥沙自测仪</w:t>
            </w:r>
          </w:p>
        </w:tc>
        <w:tc>
          <w:tcPr>
            <w:tcW w:w="9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台</w:t>
            </w:r>
          </w:p>
        </w:tc>
        <w:tc>
          <w:tcPr>
            <w:tcW w:w="9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1</w:t>
            </w:r>
          </w:p>
        </w:tc>
      </w:tr>
    </w:tbl>
    <w:p>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6.4.2监测人员配置及人工</w:t>
      </w:r>
    </w:p>
    <w:p>
      <w:pPr>
        <w:pageBreakBefore w:val="0"/>
        <w:kinsoku/>
        <w:wordWrap/>
        <w:bidi w:val="0"/>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水土保持监测人工包括外业和内业两部分人工。外业内容包括水土保持定位监测勘察、自然状况及生态环境变化调查、水土保持防护效果调查；内业内容包括编制监测实施方案、化验分析、编制监测季度报告表、编制监测总结报告、图件绘制等。监测人员按3人配置，其中总监测工程师1名、监测工程师1名、监测员1名。各项工作内容所需人工及计算方法见表6-</w:t>
      </w:r>
      <w:r>
        <w:rPr>
          <w:rFonts w:hint="default" w:ascii="Times New Roman" w:hAnsi="Times New Roman" w:eastAsia="仿宋_GB2312" w:cs="Times New Roman"/>
          <w:sz w:val="24"/>
          <w:highlight w:val="none"/>
          <w:lang w:val="en-US" w:eastAsia="zh-CN"/>
        </w:rPr>
        <w:t>3</w:t>
      </w:r>
      <w:r>
        <w:rPr>
          <w:rFonts w:hint="default" w:ascii="Times New Roman" w:hAnsi="Times New Roman" w:eastAsia="仿宋_GB2312" w:cs="Times New Roman"/>
          <w:sz w:val="24"/>
          <w:highlight w:val="none"/>
        </w:rPr>
        <w:t>。</w:t>
      </w:r>
    </w:p>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微软雅黑" w:cs="Times New Roman"/>
          <w:highlight w:val="none"/>
        </w:rPr>
      </w:pPr>
      <w:r>
        <w:rPr>
          <w:rFonts w:hint="default" w:ascii="Times New Roman" w:hAnsi="Times New Roman" w:eastAsia="微软雅黑" w:cs="Times New Roman"/>
          <w:highlight w:val="none"/>
        </w:rPr>
        <w:t>表6-</w:t>
      </w:r>
      <w:r>
        <w:rPr>
          <w:rFonts w:hint="default" w:ascii="Times New Roman" w:hAnsi="Times New Roman" w:eastAsia="微软雅黑" w:cs="Times New Roman"/>
          <w:highlight w:val="none"/>
          <w:lang w:val="en-US" w:eastAsia="zh-CN"/>
        </w:rPr>
        <w:t xml:space="preserve">3  </w:t>
      </w:r>
      <w:r>
        <w:rPr>
          <w:rFonts w:hint="default" w:ascii="Times New Roman" w:hAnsi="Times New Roman" w:eastAsia="微软雅黑" w:cs="Times New Roman"/>
          <w:highlight w:val="none"/>
        </w:rPr>
        <w:t>水土保持监测人工汇总表</w:t>
      </w:r>
    </w:p>
    <w:tbl>
      <w:tblPr>
        <w:tblStyle w:val="556"/>
        <w:tblW w:w="5023" w:type="pct"/>
        <w:jc w:val="center"/>
        <w:tblBorders>
          <w:top w:val="double" w:color="000000" w:sz="4" w:space="0"/>
          <w:left w:val="none" w:color="auto" w:sz="0" w:space="0"/>
          <w:bottom w:val="double" w:color="000000" w:sz="4"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899"/>
        <w:gridCol w:w="3485"/>
        <w:gridCol w:w="1155"/>
        <w:gridCol w:w="2908"/>
      </w:tblGrid>
      <w:tr>
        <w:tblPrEx>
          <w:tblBorders>
            <w:top w:val="double" w:color="000000" w:sz="4" w:space="0"/>
            <w:left w:val="none" w:color="auto" w:sz="0" w:space="0"/>
            <w:bottom w:val="double" w:color="000000" w:sz="4"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2"/>
                <w:sz w:val="21"/>
                <w:szCs w:val="21"/>
              </w:rPr>
              <w:t>序号</w:t>
            </w:r>
          </w:p>
        </w:tc>
        <w:tc>
          <w:tcPr>
            <w:tcW w:w="3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8"/>
                <w:sz w:val="21"/>
                <w:szCs w:val="21"/>
              </w:rPr>
              <w:t>项</w:t>
            </w:r>
            <w:r>
              <w:rPr>
                <w:rFonts w:hint="default" w:ascii="Times New Roman" w:hAnsi="Times New Roman" w:eastAsia="仿宋_GB2312" w:cs="Times New Roman"/>
                <w:spacing w:val="5"/>
                <w:sz w:val="21"/>
                <w:szCs w:val="21"/>
              </w:rPr>
              <w:t>目名称</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6"/>
                <w:position w:val="3"/>
                <w:sz w:val="21"/>
                <w:szCs w:val="21"/>
              </w:rPr>
              <w:t>人</w:t>
            </w:r>
            <w:r>
              <w:rPr>
                <w:rFonts w:hint="default" w:ascii="Times New Roman" w:hAnsi="Times New Roman" w:eastAsia="仿宋_GB2312" w:cs="Times New Roman"/>
                <w:spacing w:val="4"/>
                <w:position w:val="3"/>
                <w:sz w:val="21"/>
                <w:szCs w:val="21"/>
              </w:rPr>
              <w:t>工(工日)</w:t>
            </w:r>
          </w:p>
        </w:tc>
        <w:tc>
          <w:tcPr>
            <w:tcW w:w="29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6"/>
                <w:sz w:val="21"/>
                <w:szCs w:val="21"/>
              </w:rPr>
              <w:t>计算方</w:t>
            </w:r>
            <w:r>
              <w:rPr>
                <w:rFonts w:hint="default" w:ascii="Times New Roman" w:hAnsi="Times New Roman" w:eastAsia="仿宋_GB2312" w:cs="Times New Roman"/>
                <w:spacing w:val="5"/>
                <w:sz w:val="21"/>
                <w:szCs w:val="21"/>
              </w:rPr>
              <w:t>法</w:t>
            </w:r>
          </w:p>
        </w:tc>
      </w:tr>
      <w:tr>
        <w:tblPrEx>
          <w:tblBorders>
            <w:top w:val="double" w:color="000000" w:sz="4" w:space="0"/>
            <w:left w:val="none" w:color="auto" w:sz="0" w:space="0"/>
            <w:bottom w:val="double" w:color="000000" w:sz="4"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101"/>
                <w:position w:val="1"/>
                <w:sz w:val="21"/>
                <w:szCs w:val="21"/>
              </w:rPr>
              <w:t>一</w:t>
            </w:r>
          </w:p>
        </w:tc>
        <w:tc>
          <w:tcPr>
            <w:tcW w:w="3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6"/>
                <w:sz w:val="21"/>
                <w:szCs w:val="21"/>
              </w:rPr>
              <w:t>外</w:t>
            </w:r>
            <w:r>
              <w:rPr>
                <w:rFonts w:hint="default" w:ascii="Times New Roman" w:hAnsi="Times New Roman" w:eastAsia="仿宋_GB2312" w:cs="Times New Roman"/>
                <w:spacing w:val="5"/>
                <w:sz w:val="21"/>
                <w:szCs w:val="21"/>
              </w:rPr>
              <w:t>业工作</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lang w:val="en-US" w:eastAsia="zh-CN"/>
              </w:rPr>
            </w:pPr>
            <w:r>
              <w:rPr>
                <w:rFonts w:hint="eastAsia" w:eastAsia="仿宋_GB2312" w:cs="Times New Roman"/>
                <w:spacing w:val="-3"/>
                <w:sz w:val="21"/>
                <w:szCs w:val="21"/>
                <w:lang w:val="en-US" w:eastAsia="zh-CN"/>
              </w:rPr>
              <w:t>186</w:t>
            </w:r>
          </w:p>
        </w:tc>
        <w:tc>
          <w:tcPr>
            <w:tcW w:w="29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p>
        </w:tc>
      </w:tr>
      <w:tr>
        <w:tblPrEx>
          <w:tblBorders>
            <w:top w:val="double" w:color="000000" w:sz="4" w:space="0"/>
            <w:left w:val="none" w:color="auto" w:sz="0" w:space="0"/>
            <w:bottom w:val="double" w:color="000000" w:sz="4"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1</w:t>
            </w:r>
          </w:p>
        </w:tc>
        <w:tc>
          <w:tcPr>
            <w:tcW w:w="3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6"/>
                <w:sz w:val="21"/>
                <w:szCs w:val="21"/>
              </w:rPr>
              <w:t>背</w:t>
            </w:r>
            <w:r>
              <w:rPr>
                <w:rFonts w:hint="default" w:ascii="Times New Roman" w:hAnsi="Times New Roman" w:eastAsia="仿宋_GB2312" w:cs="Times New Roman"/>
                <w:spacing w:val="5"/>
                <w:sz w:val="21"/>
                <w:szCs w:val="21"/>
              </w:rPr>
              <w:t>景值监测</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z w:val="21"/>
                <w:szCs w:val="21"/>
                <w:lang w:val="en-US" w:eastAsia="zh-CN"/>
              </w:rPr>
              <w:t>6</w:t>
            </w:r>
          </w:p>
        </w:tc>
        <w:tc>
          <w:tcPr>
            <w:tcW w:w="29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10"/>
                <w:position w:val="1"/>
                <w:sz w:val="21"/>
                <w:szCs w:val="21"/>
              </w:rPr>
              <w:t>3</w:t>
            </w:r>
            <w:r>
              <w:rPr>
                <w:rFonts w:hint="default" w:ascii="Times New Roman" w:hAnsi="Times New Roman" w:eastAsia="仿宋_GB2312" w:cs="Times New Roman"/>
                <w:spacing w:val="5"/>
                <w:position w:val="1"/>
                <w:sz w:val="21"/>
                <w:szCs w:val="21"/>
              </w:rPr>
              <w:t>人×</w:t>
            </w:r>
            <w:r>
              <w:rPr>
                <w:rFonts w:hint="default" w:ascii="Times New Roman" w:hAnsi="Times New Roman" w:eastAsia="仿宋_GB2312" w:cs="Times New Roman"/>
                <w:spacing w:val="5"/>
                <w:position w:val="1"/>
                <w:sz w:val="21"/>
                <w:szCs w:val="21"/>
                <w:lang w:val="en-US" w:eastAsia="zh-CN"/>
              </w:rPr>
              <w:t>2</w:t>
            </w:r>
            <w:r>
              <w:rPr>
                <w:rFonts w:hint="default" w:ascii="Times New Roman" w:hAnsi="Times New Roman" w:eastAsia="仿宋_GB2312" w:cs="Times New Roman"/>
                <w:spacing w:val="5"/>
                <w:position w:val="1"/>
                <w:sz w:val="21"/>
                <w:szCs w:val="21"/>
              </w:rPr>
              <w:t>天/次×1次</w:t>
            </w:r>
          </w:p>
        </w:tc>
      </w:tr>
      <w:tr>
        <w:tblPrEx>
          <w:tblBorders>
            <w:top w:val="double" w:color="000000" w:sz="4" w:space="0"/>
            <w:left w:val="none" w:color="auto" w:sz="0" w:space="0"/>
            <w:bottom w:val="double" w:color="000000" w:sz="4"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2</w:t>
            </w:r>
          </w:p>
        </w:tc>
        <w:tc>
          <w:tcPr>
            <w:tcW w:w="3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8"/>
                <w:sz w:val="21"/>
                <w:szCs w:val="21"/>
              </w:rPr>
              <w:t>水土流失定位监测</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lang w:val="en-US" w:eastAsia="zh-CN"/>
              </w:rPr>
            </w:pPr>
            <w:r>
              <w:rPr>
                <w:rFonts w:hint="eastAsia" w:eastAsia="仿宋_GB2312" w:cs="Times New Roman"/>
                <w:spacing w:val="3"/>
                <w:sz w:val="21"/>
                <w:szCs w:val="21"/>
                <w:lang w:val="en-US" w:eastAsia="zh-CN"/>
              </w:rPr>
              <w:t>90</w:t>
            </w:r>
          </w:p>
        </w:tc>
        <w:tc>
          <w:tcPr>
            <w:tcW w:w="29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pacing w:val="6"/>
                <w:position w:val="1"/>
                <w:sz w:val="21"/>
                <w:szCs w:val="21"/>
                <w:lang w:val="en-US" w:eastAsia="zh-CN"/>
              </w:rPr>
              <w:t>3</w:t>
            </w:r>
            <w:r>
              <w:rPr>
                <w:rFonts w:hint="default" w:ascii="Times New Roman" w:hAnsi="Times New Roman" w:eastAsia="仿宋_GB2312" w:cs="Times New Roman"/>
                <w:spacing w:val="6"/>
                <w:position w:val="1"/>
                <w:sz w:val="21"/>
                <w:szCs w:val="21"/>
              </w:rPr>
              <w:t>人×</w:t>
            </w:r>
            <w:r>
              <w:rPr>
                <w:rFonts w:hint="eastAsia" w:eastAsia="仿宋_GB2312" w:cs="Times New Roman"/>
                <w:spacing w:val="6"/>
                <w:position w:val="1"/>
                <w:sz w:val="21"/>
                <w:szCs w:val="21"/>
                <w:lang w:val="en-US" w:eastAsia="zh-CN"/>
              </w:rPr>
              <w:t>1</w:t>
            </w:r>
            <w:r>
              <w:rPr>
                <w:rFonts w:hint="default" w:ascii="Times New Roman" w:hAnsi="Times New Roman" w:eastAsia="仿宋_GB2312" w:cs="Times New Roman"/>
                <w:spacing w:val="6"/>
                <w:position w:val="1"/>
                <w:sz w:val="21"/>
                <w:szCs w:val="21"/>
              </w:rPr>
              <w:t>天/次×</w:t>
            </w:r>
            <w:r>
              <w:rPr>
                <w:rFonts w:hint="default" w:ascii="Times New Roman" w:hAnsi="Times New Roman" w:eastAsia="仿宋_GB2312" w:cs="Times New Roman"/>
                <w:spacing w:val="6"/>
                <w:position w:val="1"/>
                <w:sz w:val="21"/>
                <w:szCs w:val="21"/>
                <w:lang w:val="en-US" w:eastAsia="zh-CN"/>
              </w:rPr>
              <w:t>12次/年</w:t>
            </w:r>
            <w:r>
              <w:rPr>
                <w:rFonts w:hint="default" w:ascii="Times New Roman" w:hAnsi="Times New Roman" w:eastAsia="仿宋_GB2312" w:cs="Times New Roman"/>
                <w:spacing w:val="6"/>
                <w:position w:val="1"/>
                <w:sz w:val="21"/>
                <w:szCs w:val="21"/>
              </w:rPr>
              <w:t>×</w:t>
            </w:r>
            <w:r>
              <w:rPr>
                <w:rFonts w:hint="eastAsia" w:eastAsia="仿宋_GB2312" w:cs="Times New Roman"/>
                <w:spacing w:val="6"/>
                <w:position w:val="1"/>
                <w:sz w:val="21"/>
                <w:szCs w:val="21"/>
                <w:lang w:val="en-US" w:eastAsia="zh-CN"/>
              </w:rPr>
              <w:t>2.5</w:t>
            </w:r>
            <w:r>
              <w:rPr>
                <w:rFonts w:hint="default" w:ascii="Times New Roman" w:hAnsi="Times New Roman" w:eastAsia="仿宋_GB2312" w:cs="Times New Roman"/>
                <w:spacing w:val="6"/>
                <w:position w:val="1"/>
                <w:sz w:val="21"/>
                <w:szCs w:val="21"/>
                <w:lang w:val="en-US" w:eastAsia="zh-CN"/>
              </w:rPr>
              <w:t>年</w:t>
            </w:r>
          </w:p>
        </w:tc>
      </w:tr>
      <w:tr>
        <w:tblPrEx>
          <w:tblBorders>
            <w:top w:val="double" w:color="000000" w:sz="4" w:space="0"/>
            <w:left w:val="none" w:color="auto" w:sz="0" w:space="0"/>
            <w:bottom w:val="double" w:color="000000" w:sz="4"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3</w:t>
            </w:r>
          </w:p>
        </w:tc>
        <w:tc>
          <w:tcPr>
            <w:tcW w:w="3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9"/>
                <w:sz w:val="21"/>
                <w:szCs w:val="21"/>
              </w:rPr>
              <w:t>自</w:t>
            </w:r>
            <w:r>
              <w:rPr>
                <w:rFonts w:hint="default" w:ascii="Times New Roman" w:hAnsi="Times New Roman" w:eastAsia="仿宋_GB2312" w:cs="Times New Roman"/>
                <w:spacing w:val="5"/>
                <w:sz w:val="21"/>
                <w:szCs w:val="21"/>
              </w:rPr>
              <w:t>然状况生态环境变化调查</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lang w:val="en-US" w:eastAsia="zh-CN"/>
              </w:rPr>
            </w:pPr>
            <w:r>
              <w:rPr>
                <w:rFonts w:hint="eastAsia" w:eastAsia="仿宋_GB2312" w:cs="Times New Roman"/>
                <w:spacing w:val="3"/>
                <w:sz w:val="21"/>
                <w:szCs w:val="21"/>
                <w:lang w:val="en-US" w:eastAsia="zh-CN"/>
              </w:rPr>
              <w:t>45</w:t>
            </w:r>
          </w:p>
        </w:tc>
        <w:tc>
          <w:tcPr>
            <w:tcW w:w="29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6"/>
                <w:position w:val="1"/>
                <w:sz w:val="21"/>
                <w:szCs w:val="21"/>
                <w:lang w:val="en-US" w:eastAsia="zh-CN"/>
              </w:rPr>
              <w:t>3</w:t>
            </w:r>
            <w:r>
              <w:rPr>
                <w:rFonts w:hint="default" w:ascii="Times New Roman" w:hAnsi="Times New Roman" w:eastAsia="仿宋_GB2312" w:cs="Times New Roman"/>
                <w:spacing w:val="6"/>
                <w:position w:val="1"/>
                <w:sz w:val="21"/>
                <w:szCs w:val="21"/>
              </w:rPr>
              <w:t>人×</w:t>
            </w:r>
            <w:r>
              <w:rPr>
                <w:rFonts w:hint="eastAsia" w:eastAsia="仿宋_GB2312" w:cs="Times New Roman"/>
                <w:spacing w:val="6"/>
                <w:position w:val="1"/>
                <w:sz w:val="21"/>
                <w:szCs w:val="21"/>
                <w:lang w:val="en-US" w:eastAsia="zh-CN"/>
              </w:rPr>
              <w:t>1</w:t>
            </w:r>
            <w:r>
              <w:rPr>
                <w:rFonts w:hint="default" w:ascii="Times New Roman" w:hAnsi="Times New Roman" w:eastAsia="仿宋_GB2312" w:cs="Times New Roman"/>
                <w:spacing w:val="6"/>
                <w:position w:val="1"/>
                <w:sz w:val="21"/>
                <w:szCs w:val="21"/>
              </w:rPr>
              <w:t>天/次×</w:t>
            </w:r>
            <w:r>
              <w:rPr>
                <w:rFonts w:hint="eastAsia" w:eastAsia="仿宋_GB2312" w:cs="Times New Roman"/>
                <w:spacing w:val="6"/>
                <w:position w:val="1"/>
                <w:sz w:val="21"/>
                <w:szCs w:val="21"/>
                <w:lang w:val="en-US" w:eastAsia="zh-CN"/>
              </w:rPr>
              <w:t>6</w:t>
            </w:r>
            <w:r>
              <w:rPr>
                <w:rFonts w:hint="default" w:ascii="Times New Roman" w:hAnsi="Times New Roman" w:eastAsia="仿宋_GB2312" w:cs="Times New Roman"/>
                <w:spacing w:val="6"/>
                <w:position w:val="1"/>
                <w:sz w:val="21"/>
                <w:szCs w:val="21"/>
                <w:lang w:val="en-US" w:eastAsia="zh-CN"/>
              </w:rPr>
              <w:t>次/年</w:t>
            </w:r>
            <w:r>
              <w:rPr>
                <w:rFonts w:hint="default" w:ascii="Times New Roman" w:hAnsi="Times New Roman" w:eastAsia="仿宋_GB2312" w:cs="Times New Roman"/>
                <w:spacing w:val="6"/>
                <w:position w:val="1"/>
                <w:sz w:val="21"/>
                <w:szCs w:val="21"/>
              </w:rPr>
              <w:t>×</w:t>
            </w:r>
            <w:r>
              <w:rPr>
                <w:rFonts w:hint="eastAsia" w:eastAsia="仿宋_GB2312" w:cs="Times New Roman"/>
                <w:spacing w:val="6"/>
                <w:position w:val="1"/>
                <w:sz w:val="21"/>
                <w:szCs w:val="21"/>
                <w:lang w:val="en-US" w:eastAsia="zh-CN"/>
              </w:rPr>
              <w:t>2.5</w:t>
            </w:r>
            <w:r>
              <w:rPr>
                <w:rFonts w:hint="default" w:ascii="Times New Roman" w:hAnsi="Times New Roman" w:eastAsia="仿宋_GB2312" w:cs="Times New Roman"/>
                <w:spacing w:val="6"/>
                <w:position w:val="1"/>
                <w:sz w:val="21"/>
                <w:szCs w:val="21"/>
                <w:lang w:val="en-US" w:eastAsia="zh-CN"/>
              </w:rPr>
              <w:t>年</w:t>
            </w:r>
          </w:p>
        </w:tc>
      </w:tr>
      <w:tr>
        <w:tblPrEx>
          <w:tblBorders>
            <w:top w:val="double" w:color="000000" w:sz="4" w:space="0"/>
            <w:left w:val="none" w:color="auto" w:sz="0" w:space="0"/>
            <w:bottom w:val="double" w:color="000000" w:sz="4"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1"/>
                <w:sz w:val="21"/>
                <w:szCs w:val="21"/>
              </w:rPr>
              <w:t>4</w:t>
            </w:r>
          </w:p>
        </w:tc>
        <w:tc>
          <w:tcPr>
            <w:tcW w:w="3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12"/>
                <w:sz w:val="21"/>
                <w:szCs w:val="21"/>
              </w:rPr>
              <w:t>水</w:t>
            </w:r>
            <w:r>
              <w:rPr>
                <w:rFonts w:hint="default" w:ascii="Times New Roman" w:hAnsi="Times New Roman" w:eastAsia="仿宋_GB2312" w:cs="Times New Roman"/>
                <w:spacing w:val="8"/>
                <w:sz w:val="21"/>
                <w:szCs w:val="21"/>
              </w:rPr>
              <w:t>土保持防护效果调查</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lang w:val="en-US" w:eastAsia="zh-CN"/>
              </w:rPr>
            </w:pPr>
            <w:r>
              <w:rPr>
                <w:rFonts w:hint="eastAsia" w:eastAsia="仿宋_GB2312" w:cs="Times New Roman"/>
                <w:spacing w:val="1"/>
                <w:sz w:val="21"/>
                <w:szCs w:val="21"/>
                <w:lang w:val="en-US" w:eastAsia="zh-CN"/>
              </w:rPr>
              <w:t>45</w:t>
            </w:r>
          </w:p>
        </w:tc>
        <w:tc>
          <w:tcPr>
            <w:tcW w:w="29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pacing w:val="6"/>
                <w:position w:val="1"/>
                <w:sz w:val="21"/>
                <w:szCs w:val="21"/>
                <w:lang w:val="en-US" w:eastAsia="zh-CN"/>
              </w:rPr>
              <w:t>3</w:t>
            </w:r>
            <w:r>
              <w:rPr>
                <w:rFonts w:hint="default" w:ascii="Times New Roman" w:hAnsi="Times New Roman" w:eastAsia="仿宋_GB2312" w:cs="Times New Roman"/>
                <w:spacing w:val="6"/>
                <w:position w:val="1"/>
                <w:sz w:val="21"/>
                <w:szCs w:val="21"/>
              </w:rPr>
              <w:t>人×</w:t>
            </w:r>
            <w:r>
              <w:rPr>
                <w:rFonts w:hint="eastAsia" w:eastAsia="仿宋_GB2312" w:cs="Times New Roman"/>
                <w:spacing w:val="6"/>
                <w:position w:val="1"/>
                <w:sz w:val="21"/>
                <w:szCs w:val="21"/>
                <w:lang w:val="en-US" w:eastAsia="zh-CN"/>
              </w:rPr>
              <w:t>1</w:t>
            </w:r>
            <w:r>
              <w:rPr>
                <w:rFonts w:hint="default" w:ascii="Times New Roman" w:hAnsi="Times New Roman" w:eastAsia="仿宋_GB2312" w:cs="Times New Roman"/>
                <w:spacing w:val="6"/>
                <w:position w:val="1"/>
                <w:sz w:val="21"/>
                <w:szCs w:val="21"/>
              </w:rPr>
              <w:t>天/次×</w:t>
            </w:r>
            <w:r>
              <w:rPr>
                <w:rFonts w:hint="eastAsia" w:eastAsia="仿宋_GB2312" w:cs="Times New Roman"/>
                <w:spacing w:val="6"/>
                <w:position w:val="1"/>
                <w:sz w:val="21"/>
                <w:szCs w:val="21"/>
                <w:lang w:val="en-US" w:eastAsia="zh-CN"/>
              </w:rPr>
              <w:t>6</w:t>
            </w:r>
            <w:r>
              <w:rPr>
                <w:rFonts w:hint="default" w:ascii="Times New Roman" w:hAnsi="Times New Roman" w:eastAsia="仿宋_GB2312" w:cs="Times New Roman"/>
                <w:spacing w:val="6"/>
                <w:position w:val="1"/>
                <w:sz w:val="21"/>
                <w:szCs w:val="21"/>
                <w:lang w:val="en-US" w:eastAsia="zh-CN"/>
              </w:rPr>
              <w:t>次/年</w:t>
            </w:r>
            <w:r>
              <w:rPr>
                <w:rFonts w:hint="default" w:ascii="Times New Roman" w:hAnsi="Times New Roman" w:eastAsia="仿宋_GB2312" w:cs="Times New Roman"/>
                <w:spacing w:val="6"/>
                <w:position w:val="1"/>
                <w:sz w:val="21"/>
                <w:szCs w:val="21"/>
              </w:rPr>
              <w:t>×</w:t>
            </w:r>
            <w:r>
              <w:rPr>
                <w:rFonts w:hint="eastAsia" w:eastAsia="仿宋_GB2312" w:cs="Times New Roman"/>
                <w:spacing w:val="6"/>
                <w:position w:val="1"/>
                <w:sz w:val="21"/>
                <w:szCs w:val="21"/>
                <w:lang w:val="en-US" w:eastAsia="zh-CN"/>
              </w:rPr>
              <w:t>2.5</w:t>
            </w:r>
            <w:r>
              <w:rPr>
                <w:rFonts w:hint="default" w:ascii="Times New Roman" w:hAnsi="Times New Roman" w:eastAsia="仿宋_GB2312" w:cs="Times New Roman"/>
                <w:spacing w:val="6"/>
                <w:position w:val="1"/>
                <w:sz w:val="21"/>
                <w:szCs w:val="21"/>
                <w:lang w:val="en-US" w:eastAsia="zh-CN"/>
              </w:rPr>
              <w:t>年</w:t>
            </w:r>
          </w:p>
        </w:tc>
      </w:tr>
      <w:tr>
        <w:tblPrEx>
          <w:tblBorders>
            <w:top w:val="double" w:color="000000" w:sz="4" w:space="0"/>
            <w:left w:val="none" w:color="auto" w:sz="0" w:space="0"/>
            <w:bottom w:val="double" w:color="000000" w:sz="4"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二</w:t>
            </w:r>
          </w:p>
        </w:tc>
        <w:tc>
          <w:tcPr>
            <w:tcW w:w="3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1"/>
                <w:sz w:val="21"/>
                <w:szCs w:val="21"/>
              </w:rPr>
              <w:t>内业</w:t>
            </w:r>
            <w:r>
              <w:rPr>
                <w:rFonts w:hint="default" w:ascii="Times New Roman" w:hAnsi="Times New Roman" w:eastAsia="仿宋_GB2312" w:cs="Times New Roman"/>
                <w:sz w:val="21"/>
                <w:szCs w:val="21"/>
              </w:rPr>
              <w:t>工作</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pacing w:val="3"/>
                <w:sz w:val="21"/>
                <w:szCs w:val="21"/>
                <w:lang w:val="en-US" w:eastAsia="zh-CN"/>
              </w:rPr>
              <w:t>79</w:t>
            </w:r>
          </w:p>
        </w:tc>
        <w:tc>
          <w:tcPr>
            <w:tcW w:w="29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p>
        </w:tc>
      </w:tr>
      <w:tr>
        <w:tblPrEx>
          <w:tblBorders>
            <w:top w:val="double" w:color="000000" w:sz="4" w:space="0"/>
            <w:left w:val="none" w:color="auto" w:sz="0" w:space="0"/>
            <w:bottom w:val="double" w:color="000000" w:sz="4"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1</w:t>
            </w:r>
          </w:p>
        </w:tc>
        <w:tc>
          <w:tcPr>
            <w:tcW w:w="3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8"/>
                <w:sz w:val="21"/>
                <w:szCs w:val="21"/>
              </w:rPr>
              <w:t>化</w:t>
            </w:r>
            <w:r>
              <w:rPr>
                <w:rFonts w:hint="default" w:ascii="Times New Roman" w:hAnsi="Times New Roman" w:eastAsia="仿宋_GB2312" w:cs="Times New Roman"/>
                <w:spacing w:val="5"/>
                <w:sz w:val="21"/>
                <w:szCs w:val="21"/>
              </w:rPr>
              <w:t>验分析</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16</w:t>
            </w:r>
          </w:p>
        </w:tc>
        <w:tc>
          <w:tcPr>
            <w:tcW w:w="29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10"/>
                <w:position w:val="1"/>
                <w:sz w:val="21"/>
                <w:szCs w:val="21"/>
              </w:rPr>
              <w:t>2</w:t>
            </w:r>
            <w:r>
              <w:rPr>
                <w:rFonts w:hint="default" w:ascii="Times New Roman" w:hAnsi="Times New Roman" w:eastAsia="仿宋_GB2312" w:cs="Times New Roman"/>
                <w:spacing w:val="5"/>
                <w:position w:val="1"/>
                <w:sz w:val="21"/>
                <w:szCs w:val="21"/>
              </w:rPr>
              <w:t>人×</w:t>
            </w:r>
            <w:r>
              <w:rPr>
                <w:rFonts w:hint="default" w:ascii="Times New Roman" w:hAnsi="Times New Roman" w:eastAsia="仿宋_GB2312" w:cs="Times New Roman"/>
                <w:spacing w:val="5"/>
                <w:position w:val="1"/>
                <w:sz w:val="21"/>
                <w:szCs w:val="21"/>
                <w:lang w:val="en-US" w:eastAsia="zh-CN"/>
              </w:rPr>
              <w:t>2</w:t>
            </w:r>
            <w:r>
              <w:rPr>
                <w:rFonts w:hint="default" w:ascii="Times New Roman" w:hAnsi="Times New Roman" w:eastAsia="仿宋_GB2312" w:cs="Times New Roman"/>
                <w:spacing w:val="5"/>
                <w:position w:val="1"/>
                <w:sz w:val="21"/>
                <w:szCs w:val="21"/>
              </w:rPr>
              <w:t>天/次×</w:t>
            </w:r>
            <w:r>
              <w:rPr>
                <w:rFonts w:hint="default" w:ascii="Times New Roman" w:hAnsi="Times New Roman" w:eastAsia="仿宋_GB2312" w:cs="Times New Roman"/>
                <w:spacing w:val="5"/>
                <w:position w:val="1"/>
                <w:sz w:val="21"/>
                <w:szCs w:val="21"/>
                <w:lang w:val="en-US" w:eastAsia="zh-CN"/>
              </w:rPr>
              <w:t>4</w:t>
            </w:r>
            <w:r>
              <w:rPr>
                <w:rFonts w:hint="default" w:ascii="Times New Roman" w:hAnsi="Times New Roman" w:eastAsia="仿宋_GB2312" w:cs="Times New Roman"/>
                <w:spacing w:val="5"/>
                <w:position w:val="1"/>
                <w:sz w:val="21"/>
                <w:szCs w:val="21"/>
              </w:rPr>
              <w:t>次</w:t>
            </w:r>
          </w:p>
        </w:tc>
      </w:tr>
      <w:tr>
        <w:tblPrEx>
          <w:tblBorders>
            <w:top w:val="double" w:color="000000" w:sz="4" w:space="0"/>
            <w:left w:val="none" w:color="auto" w:sz="0" w:space="0"/>
            <w:bottom w:val="double" w:color="000000" w:sz="4"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2</w:t>
            </w:r>
          </w:p>
        </w:tc>
        <w:tc>
          <w:tcPr>
            <w:tcW w:w="3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11"/>
                <w:sz w:val="21"/>
                <w:szCs w:val="21"/>
              </w:rPr>
              <w:t>资</w:t>
            </w:r>
            <w:r>
              <w:rPr>
                <w:rFonts w:hint="default" w:ascii="Times New Roman" w:hAnsi="Times New Roman" w:eastAsia="仿宋_GB2312" w:cs="Times New Roman"/>
                <w:spacing w:val="6"/>
                <w:sz w:val="21"/>
                <w:szCs w:val="21"/>
              </w:rPr>
              <w:t>料归纳整理分析</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lang w:val="en-US" w:eastAsia="zh-CN"/>
              </w:rPr>
            </w:pPr>
            <w:r>
              <w:rPr>
                <w:rFonts w:hint="eastAsia" w:eastAsia="仿宋_GB2312" w:cs="Times New Roman"/>
                <w:sz w:val="21"/>
                <w:szCs w:val="21"/>
                <w:lang w:val="en-US" w:eastAsia="zh-CN"/>
              </w:rPr>
              <w:t>15</w:t>
            </w:r>
          </w:p>
        </w:tc>
        <w:tc>
          <w:tcPr>
            <w:tcW w:w="29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pacing w:val="10"/>
                <w:position w:val="1"/>
                <w:sz w:val="21"/>
                <w:szCs w:val="21"/>
                <w:lang w:val="en-US" w:eastAsia="zh-CN"/>
              </w:rPr>
              <w:t>3</w:t>
            </w:r>
            <w:r>
              <w:rPr>
                <w:rFonts w:hint="default" w:ascii="Times New Roman" w:hAnsi="Times New Roman" w:eastAsia="仿宋_GB2312" w:cs="Times New Roman"/>
                <w:spacing w:val="5"/>
                <w:position w:val="1"/>
                <w:sz w:val="21"/>
                <w:szCs w:val="21"/>
              </w:rPr>
              <w:t>人×1天/次×</w:t>
            </w:r>
            <w:r>
              <w:rPr>
                <w:rFonts w:hint="default" w:ascii="Times New Roman" w:hAnsi="Times New Roman" w:eastAsia="仿宋_GB2312" w:cs="Times New Roman"/>
                <w:spacing w:val="5"/>
                <w:position w:val="1"/>
                <w:sz w:val="21"/>
                <w:szCs w:val="21"/>
                <w:lang w:val="en-US" w:eastAsia="zh-CN"/>
              </w:rPr>
              <w:t>2</w:t>
            </w:r>
            <w:r>
              <w:rPr>
                <w:rFonts w:hint="default" w:ascii="Times New Roman" w:hAnsi="Times New Roman" w:eastAsia="仿宋_GB2312" w:cs="Times New Roman"/>
                <w:spacing w:val="5"/>
                <w:position w:val="1"/>
                <w:sz w:val="21"/>
                <w:szCs w:val="21"/>
              </w:rPr>
              <w:t>次</w:t>
            </w:r>
            <w:r>
              <w:rPr>
                <w:rFonts w:hint="default" w:ascii="Times New Roman" w:hAnsi="Times New Roman" w:eastAsia="仿宋_GB2312" w:cs="Times New Roman"/>
                <w:spacing w:val="5"/>
                <w:position w:val="1"/>
                <w:sz w:val="21"/>
                <w:szCs w:val="21"/>
                <w:lang w:val="en-US" w:eastAsia="zh-CN"/>
              </w:rPr>
              <w:t>/年</w:t>
            </w:r>
            <w:r>
              <w:rPr>
                <w:rFonts w:hint="default" w:ascii="Times New Roman" w:hAnsi="Times New Roman" w:eastAsia="仿宋_GB2312" w:cs="Times New Roman"/>
                <w:spacing w:val="5"/>
                <w:position w:val="1"/>
                <w:sz w:val="21"/>
                <w:szCs w:val="21"/>
              </w:rPr>
              <w:t>×</w:t>
            </w:r>
            <w:r>
              <w:rPr>
                <w:rFonts w:hint="eastAsia" w:eastAsia="仿宋_GB2312" w:cs="Times New Roman"/>
                <w:spacing w:val="5"/>
                <w:position w:val="1"/>
                <w:sz w:val="21"/>
                <w:szCs w:val="21"/>
                <w:lang w:val="en-US" w:eastAsia="zh-CN"/>
              </w:rPr>
              <w:t>2.5</w:t>
            </w:r>
            <w:r>
              <w:rPr>
                <w:rFonts w:hint="default" w:ascii="Times New Roman" w:hAnsi="Times New Roman" w:eastAsia="仿宋_GB2312" w:cs="Times New Roman"/>
                <w:spacing w:val="5"/>
                <w:position w:val="1"/>
                <w:sz w:val="21"/>
                <w:szCs w:val="21"/>
                <w:lang w:val="en-US" w:eastAsia="zh-CN"/>
              </w:rPr>
              <w:t>年</w:t>
            </w:r>
          </w:p>
        </w:tc>
      </w:tr>
      <w:tr>
        <w:tblPrEx>
          <w:tblBorders>
            <w:top w:val="double" w:color="000000" w:sz="4" w:space="0"/>
            <w:left w:val="none" w:color="auto" w:sz="0" w:space="0"/>
            <w:bottom w:val="double" w:color="000000" w:sz="4"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3</w:t>
            </w:r>
          </w:p>
        </w:tc>
        <w:tc>
          <w:tcPr>
            <w:tcW w:w="3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9"/>
                <w:sz w:val="21"/>
                <w:szCs w:val="21"/>
              </w:rPr>
              <w:t>水土保持监测设计与实施方案编制</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6</w:t>
            </w:r>
          </w:p>
        </w:tc>
        <w:tc>
          <w:tcPr>
            <w:tcW w:w="29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pacing w:val="6"/>
                <w:sz w:val="21"/>
                <w:szCs w:val="21"/>
                <w:lang w:val="en-US" w:eastAsia="zh-CN"/>
              </w:rPr>
              <w:t>3</w:t>
            </w:r>
            <w:r>
              <w:rPr>
                <w:rFonts w:hint="default" w:ascii="Times New Roman" w:hAnsi="Times New Roman" w:eastAsia="仿宋_GB2312" w:cs="Times New Roman"/>
                <w:spacing w:val="6"/>
                <w:sz w:val="21"/>
                <w:szCs w:val="21"/>
              </w:rPr>
              <w:t>人×</w:t>
            </w:r>
            <w:r>
              <w:rPr>
                <w:rFonts w:hint="default" w:ascii="Times New Roman" w:hAnsi="Times New Roman" w:eastAsia="仿宋_GB2312" w:cs="Times New Roman"/>
                <w:spacing w:val="6"/>
                <w:sz w:val="21"/>
                <w:szCs w:val="21"/>
                <w:lang w:val="en-US" w:eastAsia="zh-CN"/>
              </w:rPr>
              <w:t>2</w:t>
            </w:r>
            <w:r>
              <w:rPr>
                <w:rFonts w:hint="default" w:ascii="Times New Roman" w:hAnsi="Times New Roman" w:eastAsia="仿宋_GB2312" w:cs="Times New Roman"/>
                <w:spacing w:val="4"/>
                <w:sz w:val="21"/>
                <w:szCs w:val="21"/>
              </w:rPr>
              <w:t>天</w:t>
            </w:r>
            <w:r>
              <w:rPr>
                <w:rFonts w:hint="default" w:ascii="Times New Roman" w:hAnsi="Times New Roman" w:eastAsia="仿宋_GB2312" w:cs="Times New Roman"/>
                <w:spacing w:val="4"/>
                <w:sz w:val="21"/>
                <w:szCs w:val="21"/>
                <w:lang w:val="en-US" w:eastAsia="zh-CN"/>
              </w:rPr>
              <w:t>/次</w:t>
            </w:r>
            <w:r>
              <w:rPr>
                <w:rFonts w:hint="default" w:ascii="Times New Roman" w:hAnsi="Times New Roman" w:eastAsia="仿宋_GB2312" w:cs="Times New Roman"/>
                <w:spacing w:val="6"/>
                <w:sz w:val="21"/>
                <w:szCs w:val="21"/>
              </w:rPr>
              <w:t>×</w:t>
            </w:r>
            <w:r>
              <w:rPr>
                <w:rFonts w:hint="default" w:ascii="Times New Roman" w:hAnsi="Times New Roman" w:eastAsia="仿宋_GB2312" w:cs="Times New Roman"/>
                <w:spacing w:val="6"/>
                <w:sz w:val="21"/>
                <w:szCs w:val="21"/>
                <w:lang w:val="en-US" w:eastAsia="zh-CN"/>
              </w:rPr>
              <w:t>1次</w:t>
            </w:r>
          </w:p>
        </w:tc>
      </w:tr>
      <w:tr>
        <w:tblPrEx>
          <w:tblBorders>
            <w:top w:val="double" w:color="000000" w:sz="4" w:space="0"/>
            <w:left w:val="none" w:color="auto" w:sz="0" w:space="0"/>
            <w:bottom w:val="double" w:color="000000" w:sz="4"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1"/>
                <w:sz w:val="21"/>
                <w:szCs w:val="21"/>
              </w:rPr>
              <w:t>4</w:t>
            </w:r>
          </w:p>
        </w:tc>
        <w:tc>
          <w:tcPr>
            <w:tcW w:w="3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9"/>
                <w:sz w:val="21"/>
                <w:szCs w:val="21"/>
              </w:rPr>
              <w:t>季</w:t>
            </w:r>
            <w:r>
              <w:rPr>
                <w:rFonts w:hint="default" w:ascii="Times New Roman" w:hAnsi="Times New Roman" w:eastAsia="仿宋_GB2312" w:cs="Times New Roman"/>
                <w:spacing w:val="7"/>
                <w:sz w:val="21"/>
                <w:szCs w:val="21"/>
              </w:rPr>
              <w:t>度监测报告表</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lang w:val="en-US" w:eastAsia="zh-CN"/>
              </w:rPr>
            </w:pPr>
            <w:r>
              <w:rPr>
                <w:rFonts w:hint="default" w:eastAsia="仿宋_GB2312" w:cs="Times New Roman"/>
                <w:spacing w:val="-8"/>
                <w:sz w:val="21"/>
                <w:szCs w:val="21"/>
                <w:lang w:eastAsia="zh-CN"/>
              </w:rPr>
              <w:t>3</w:t>
            </w:r>
            <w:r>
              <w:rPr>
                <w:rFonts w:hint="eastAsia" w:eastAsia="仿宋_GB2312" w:cs="Times New Roman"/>
                <w:spacing w:val="-8"/>
                <w:sz w:val="21"/>
                <w:szCs w:val="21"/>
                <w:lang w:val="en-US" w:eastAsia="zh-CN"/>
              </w:rPr>
              <w:t>0</w:t>
            </w:r>
          </w:p>
        </w:tc>
        <w:tc>
          <w:tcPr>
            <w:tcW w:w="29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6"/>
                <w:position w:val="1"/>
                <w:sz w:val="21"/>
                <w:szCs w:val="21"/>
                <w:lang w:val="en-US" w:eastAsia="zh-CN"/>
              </w:rPr>
              <w:t>3</w:t>
            </w:r>
            <w:r>
              <w:rPr>
                <w:rFonts w:hint="default" w:ascii="Times New Roman" w:hAnsi="Times New Roman" w:eastAsia="仿宋_GB2312" w:cs="Times New Roman"/>
                <w:spacing w:val="6"/>
                <w:position w:val="1"/>
                <w:sz w:val="21"/>
                <w:szCs w:val="21"/>
              </w:rPr>
              <w:t>人×1天/季度×</w:t>
            </w:r>
            <w:r>
              <w:rPr>
                <w:rFonts w:hint="default" w:eastAsia="仿宋_GB2312" w:cs="Times New Roman"/>
                <w:spacing w:val="6"/>
                <w:position w:val="1"/>
                <w:sz w:val="21"/>
                <w:szCs w:val="21"/>
                <w:lang w:eastAsia="zh-CN"/>
              </w:rPr>
              <w:t>10</w:t>
            </w:r>
            <w:r>
              <w:rPr>
                <w:rFonts w:hint="default" w:ascii="Times New Roman" w:hAnsi="Times New Roman" w:eastAsia="仿宋_GB2312" w:cs="Times New Roman"/>
                <w:spacing w:val="6"/>
                <w:position w:val="1"/>
                <w:sz w:val="21"/>
                <w:szCs w:val="21"/>
              </w:rPr>
              <w:t>季度</w:t>
            </w:r>
          </w:p>
        </w:tc>
      </w:tr>
      <w:tr>
        <w:tblPrEx>
          <w:tblBorders>
            <w:top w:val="double" w:color="000000" w:sz="4" w:space="0"/>
            <w:left w:val="none" w:color="auto" w:sz="0" w:space="0"/>
            <w:bottom w:val="double" w:color="000000" w:sz="4"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5</w:t>
            </w:r>
          </w:p>
        </w:tc>
        <w:tc>
          <w:tcPr>
            <w:tcW w:w="3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8"/>
                <w:sz w:val="21"/>
                <w:szCs w:val="21"/>
              </w:rPr>
              <w:t>监</w:t>
            </w:r>
            <w:r>
              <w:rPr>
                <w:rFonts w:hint="default" w:ascii="Times New Roman" w:hAnsi="Times New Roman" w:eastAsia="仿宋_GB2312" w:cs="Times New Roman"/>
                <w:spacing w:val="6"/>
                <w:sz w:val="21"/>
                <w:szCs w:val="21"/>
              </w:rPr>
              <w:t>测报告编制</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z w:val="21"/>
                <w:szCs w:val="21"/>
                <w:lang w:val="en-US" w:eastAsia="zh-CN"/>
              </w:rPr>
              <w:t>6</w:t>
            </w:r>
          </w:p>
        </w:tc>
        <w:tc>
          <w:tcPr>
            <w:tcW w:w="29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pacing w:val="6"/>
                <w:sz w:val="21"/>
                <w:szCs w:val="21"/>
                <w:lang w:val="en-US" w:eastAsia="zh-CN"/>
              </w:rPr>
              <w:t>3</w:t>
            </w:r>
            <w:r>
              <w:rPr>
                <w:rFonts w:hint="default" w:ascii="Times New Roman" w:hAnsi="Times New Roman" w:eastAsia="仿宋_GB2312" w:cs="Times New Roman"/>
                <w:spacing w:val="6"/>
                <w:sz w:val="21"/>
                <w:szCs w:val="21"/>
              </w:rPr>
              <w:t>人×</w:t>
            </w:r>
            <w:r>
              <w:rPr>
                <w:rFonts w:hint="default" w:ascii="Times New Roman" w:hAnsi="Times New Roman" w:eastAsia="仿宋_GB2312" w:cs="Times New Roman"/>
                <w:spacing w:val="6"/>
                <w:sz w:val="21"/>
                <w:szCs w:val="21"/>
                <w:lang w:val="en-US" w:eastAsia="zh-CN"/>
              </w:rPr>
              <w:t>2</w:t>
            </w:r>
            <w:r>
              <w:rPr>
                <w:rFonts w:hint="default" w:ascii="Times New Roman" w:hAnsi="Times New Roman" w:eastAsia="仿宋_GB2312" w:cs="Times New Roman"/>
                <w:spacing w:val="4"/>
                <w:sz w:val="21"/>
                <w:szCs w:val="21"/>
              </w:rPr>
              <w:t>天</w:t>
            </w:r>
            <w:r>
              <w:rPr>
                <w:rFonts w:hint="default" w:ascii="Times New Roman" w:hAnsi="Times New Roman" w:eastAsia="仿宋_GB2312" w:cs="Times New Roman"/>
                <w:spacing w:val="4"/>
                <w:sz w:val="21"/>
                <w:szCs w:val="21"/>
                <w:lang w:val="en-US" w:eastAsia="zh-CN"/>
              </w:rPr>
              <w:t>/次</w:t>
            </w:r>
            <w:r>
              <w:rPr>
                <w:rFonts w:hint="default" w:ascii="Times New Roman" w:hAnsi="Times New Roman" w:eastAsia="仿宋_GB2312" w:cs="Times New Roman"/>
                <w:spacing w:val="6"/>
                <w:sz w:val="21"/>
                <w:szCs w:val="21"/>
              </w:rPr>
              <w:t>×</w:t>
            </w:r>
            <w:r>
              <w:rPr>
                <w:rFonts w:hint="default" w:ascii="Times New Roman" w:hAnsi="Times New Roman" w:eastAsia="仿宋_GB2312" w:cs="Times New Roman"/>
                <w:spacing w:val="6"/>
                <w:sz w:val="21"/>
                <w:szCs w:val="21"/>
                <w:lang w:val="en-US" w:eastAsia="zh-CN"/>
              </w:rPr>
              <w:t>1次</w:t>
            </w:r>
          </w:p>
        </w:tc>
      </w:tr>
      <w:tr>
        <w:tblPrEx>
          <w:tblBorders>
            <w:top w:val="double" w:color="000000" w:sz="4" w:space="0"/>
            <w:left w:val="none" w:color="auto" w:sz="0" w:space="0"/>
            <w:bottom w:val="double" w:color="000000" w:sz="4"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6</w:t>
            </w:r>
          </w:p>
        </w:tc>
        <w:tc>
          <w:tcPr>
            <w:tcW w:w="3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1"/>
                <w:sz w:val="21"/>
                <w:szCs w:val="21"/>
              </w:rPr>
              <w:t>图件绘</w:t>
            </w:r>
            <w:r>
              <w:rPr>
                <w:rFonts w:hint="default" w:ascii="Times New Roman" w:hAnsi="Times New Roman" w:eastAsia="仿宋_GB2312" w:cs="Times New Roman"/>
                <w:sz w:val="21"/>
                <w:szCs w:val="21"/>
              </w:rPr>
              <w:t>制</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pacing w:val="-8"/>
                <w:sz w:val="21"/>
                <w:szCs w:val="21"/>
                <w:lang w:val="en-US" w:eastAsia="zh-CN"/>
              </w:rPr>
              <w:t>6</w:t>
            </w:r>
          </w:p>
        </w:tc>
        <w:tc>
          <w:tcPr>
            <w:tcW w:w="29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6"/>
                <w:sz w:val="21"/>
                <w:szCs w:val="21"/>
                <w:lang w:val="en-US" w:eastAsia="zh-CN"/>
              </w:rPr>
              <w:t>3</w:t>
            </w:r>
            <w:r>
              <w:rPr>
                <w:rFonts w:hint="default" w:ascii="Times New Roman" w:hAnsi="Times New Roman" w:eastAsia="仿宋_GB2312" w:cs="Times New Roman"/>
                <w:spacing w:val="6"/>
                <w:sz w:val="21"/>
                <w:szCs w:val="21"/>
              </w:rPr>
              <w:t>人×</w:t>
            </w:r>
            <w:r>
              <w:rPr>
                <w:rFonts w:hint="default" w:ascii="Times New Roman" w:hAnsi="Times New Roman" w:eastAsia="仿宋_GB2312" w:cs="Times New Roman"/>
                <w:spacing w:val="6"/>
                <w:sz w:val="21"/>
                <w:szCs w:val="21"/>
                <w:lang w:val="en-US" w:eastAsia="zh-CN"/>
              </w:rPr>
              <w:t>2</w:t>
            </w:r>
            <w:r>
              <w:rPr>
                <w:rFonts w:hint="default" w:ascii="Times New Roman" w:hAnsi="Times New Roman" w:eastAsia="仿宋_GB2312" w:cs="Times New Roman"/>
                <w:spacing w:val="4"/>
                <w:sz w:val="21"/>
                <w:szCs w:val="21"/>
              </w:rPr>
              <w:t>天</w:t>
            </w:r>
            <w:r>
              <w:rPr>
                <w:rFonts w:hint="default" w:ascii="Times New Roman" w:hAnsi="Times New Roman" w:eastAsia="仿宋_GB2312" w:cs="Times New Roman"/>
                <w:spacing w:val="4"/>
                <w:sz w:val="21"/>
                <w:szCs w:val="21"/>
                <w:lang w:val="en-US" w:eastAsia="zh-CN"/>
              </w:rPr>
              <w:t>/次</w:t>
            </w:r>
            <w:r>
              <w:rPr>
                <w:rFonts w:hint="default" w:ascii="Times New Roman" w:hAnsi="Times New Roman" w:eastAsia="仿宋_GB2312" w:cs="Times New Roman"/>
                <w:spacing w:val="6"/>
                <w:sz w:val="21"/>
                <w:szCs w:val="21"/>
              </w:rPr>
              <w:t>×</w:t>
            </w:r>
            <w:r>
              <w:rPr>
                <w:rFonts w:hint="default" w:ascii="Times New Roman" w:hAnsi="Times New Roman" w:eastAsia="仿宋_GB2312" w:cs="Times New Roman"/>
                <w:spacing w:val="6"/>
                <w:sz w:val="21"/>
                <w:szCs w:val="21"/>
                <w:lang w:val="en-US" w:eastAsia="zh-CN"/>
              </w:rPr>
              <w:t>1次</w:t>
            </w:r>
          </w:p>
        </w:tc>
      </w:tr>
      <w:tr>
        <w:tblPrEx>
          <w:tblBorders>
            <w:top w:val="double" w:color="000000" w:sz="4" w:space="0"/>
            <w:left w:val="none" w:color="auto" w:sz="0" w:space="0"/>
            <w:bottom w:val="double" w:color="000000" w:sz="4"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4385"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1"/>
                <w:sz w:val="21"/>
                <w:szCs w:val="21"/>
              </w:rPr>
              <w:t>合计</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lang w:val="en-US" w:eastAsia="zh-CN"/>
              </w:rPr>
            </w:pPr>
            <w:r>
              <w:rPr>
                <w:rFonts w:hint="eastAsia" w:eastAsia="仿宋_GB2312" w:cs="Times New Roman"/>
                <w:spacing w:val="-3"/>
                <w:sz w:val="21"/>
                <w:szCs w:val="21"/>
                <w:lang w:val="en-US" w:eastAsia="zh-CN"/>
              </w:rPr>
              <w:t>265</w:t>
            </w:r>
          </w:p>
        </w:tc>
        <w:tc>
          <w:tcPr>
            <w:tcW w:w="29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p>
        </w:tc>
      </w:tr>
    </w:tbl>
    <w:p>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6.4.3监测成果</w:t>
      </w:r>
    </w:p>
    <w:p>
      <w:pPr>
        <w:pageBreakBefore w:val="0"/>
        <w:kinsoku/>
        <w:wordWrap/>
        <w:bidi w:val="0"/>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监测成果应包括水土保持监测实施方案、监测报告、图件、数据表（册）、影像资料等。其中监测报告包括季度报告表、专项报告和总结报告；数据表（册）包括原始记录表和汇总分析表。</w:t>
      </w:r>
    </w:p>
    <w:p>
      <w:pPr>
        <w:pageBreakBefore w:val="0"/>
        <w:kinsoku/>
        <w:wordWrap/>
        <w:bidi w:val="0"/>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（1）监测实施方案：在施工准备期之前进行现场查勘和调查，编制水土保持监测实施方案。</w:t>
      </w:r>
    </w:p>
    <w:p>
      <w:pPr>
        <w:pageBreakBefore w:val="0"/>
        <w:kinsoku/>
        <w:wordWrap/>
        <w:bidi w:val="0"/>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（2）监测报告：包括季度报告表、专项报告和总结报告，监测期间应编制季度报告表、发生严重水土流失灾害事件时，应于发生事件一周后完成专项报告，监测工作完成后，编制监测总结报告。</w:t>
      </w:r>
    </w:p>
    <w:p>
      <w:pPr>
        <w:pageBreakBefore w:val="0"/>
        <w:kinsoku/>
        <w:wordWrap/>
        <w:bidi w:val="0"/>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（3）图件：包含项目区地理位置图、扰动地表分布图、监测分区与监测点分布图、土壤侵蚀强度图、水土保持措施分布图。</w:t>
      </w:r>
    </w:p>
    <w:p>
      <w:pPr>
        <w:pageBreakBefore w:val="0"/>
        <w:kinsoku/>
        <w:wordWrap/>
        <w:bidi w:val="0"/>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（4）数据表（册）；包含原始记录表和汇总分析表。</w:t>
      </w:r>
    </w:p>
    <w:p>
      <w:pPr>
        <w:pageBreakBefore w:val="0"/>
        <w:kinsoku/>
        <w:wordWrap/>
        <w:bidi w:val="0"/>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（5）影像资料；包含监测过程中拍摄的反映水土流失动态变化及治理措施实施的照片、录像等。</w:t>
      </w:r>
    </w:p>
    <w:p>
      <w:pPr>
        <w:pageBreakBefore w:val="0"/>
        <w:kinsoku/>
        <w:wordWrap/>
        <w:bidi w:val="0"/>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（6）监测成果应采用纸质和电子版形式保存，做好数据备份。</w:t>
      </w:r>
    </w:p>
    <w:p>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6.4.4监测要求</w:t>
      </w:r>
    </w:p>
    <w:p>
      <w:pPr>
        <w:pageBreakBefore w:val="0"/>
        <w:kinsoku/>
        <w:wordWrap/>
        <w:bidi w:val="0"/>
        <w:spacing w:line="360" w:lineRule="auto"/>
        <w:ind w:firstLine="480" w:firstLineChars="200"/>
        <w:rPr>
          <w:rFonts w:hint="default" w:ascii="Times New Roman" w:hAnsi="Times New Roman" w:eastAsia="仿宋_GB2312" w:cs="Times New Roman"/>
          <w:sz w:val="24"/>
          <w:szCs w:val="28"/>
          <w:highlight w:val="none"/>
        </w:rPr>
      </w:pPr>
      <w:bookmarkStart w:id="407" w:name="_6.6_监测管理"/>
      <w:bookmarkEnd w:id="407"/>
      <w:r>
        <w:rPr>
          <w:rFonts w:hint="default" w:ascii="Times New Roman" w:hAnsi="Times New Roman" w:eastAsia="仿宋_GB2312" w:cs="Times New Roman"/>
          <w:sz w:val="24"/>
          <w:szCs w:val="28"/>
          <w:highlight w:val="none"/>
        </w:rPr>
        <w:t>（1）</w:t>
      </w:r>
      <w:r>
        <w:rPr>
          <w:rFonts w:hint="default" w:ascii="Times New Roman" w:hAnsi="Times New Roman" w:eastAsia="仿宋_GB2312" w:cs="Times New Roman"/>
          <w:sz w:val="24"/>
          <w:szCs w:val="28"/>
          <w:highlight w:val="none"/>
          <w:lang w:eastAsia="zh-CN"/>
        </w:rPr>
        <w:t>本期项目</w:t>
      </w:r>
      <w:r>
        <w:rPr>
          <w:rFonts w:hint="default" w:ascii="Times New Roman" w:hAnsi="Times New Roman" w:eastAsia="仿宋_GB2312" w:cs="Times New Roman"/>
          <w:sz w:val="24"/>
          <w:szCs w:val="28"/>
          <w:highlight w:val="none"/>
        </w:rPr>
        <w:t>可自行开展水土保持监测或委托水土保持监测单位对该工程水土保持工程的施工期进行水土保持监测。</w:t>
      </w:r>
      <w:r>
        <w:rPr>
          <w:rFonts w:hint="default" w:ascii="Times New Roman" w:hAnsi="Times New Roman" w:eastAsia="仿宋_GB2312" w:cs="Times New Roman"/>
          <w:sz w:val="24"/>
          <w:highlight w:val="none"/>
        </w:rPr>
        <w:t>监测单位要根据《水利部办公厅关于印发〈生产建设项目水土保持监测规程（试行）〉的通知》（办水保〔2015〕139号）</w:t>
      </w:r>
      <w:r>
        <w:rPr>
          <w:rFonts w:hint="default" w:ascii="Times New Roman" w:hAnsi="Times New Roman" w:eastAsia="仿宋_GB2312" w:cs="Times New Roman"/>
          <w:sz w:val="24"/>
          <w:szCs w:val="28"/>
          <w:highlight w:val="none"/>
        </w:rPr>
        <w:t>，报水行政管理部门备案，确认可行后按方案实施监测。</w:t>
      </w:r>
    </w:p>
    <w:p>
      <w:pPr>
        <w:pageBreakBefore w:val="0"/>
        <w:kinsoku/>
        <w:wordWrap/>
        <w:bidi w:val="0"/>
        <w:spacing w:line="360" w:lineRule="auto"/>
        <w:ind w:firstLine="480" w:firstLineChars="200"/>
        <w:rPr>
          <w:rFonts w:hint="default" w:ascii="Times New Roman" w:hAnsi="Times New Roman" w:eastAsia="仿宋_GB2312" w:cs="Times New Roman"/>
          <w:sz w:val="24"/>
          <w:szCs w:val="28"/>
          <w:highlight w:val="none"/>
        </w:rPr>
      </w:pPr>
      <w:r>
        <w:rPr>
          <w:rFonts w:hint="default" w:ascii="Times New Roman" w:hAnsi="Times New Roman" w:eastAsia="仿宋_GB2312" w:cs="Times New Roman"/>
          <w:sz w:val="24"/>
          <w:szCs w:val="28"/>
          <w:highlight w:val="none"/>
        </w:rPr>
        <w:t>（2）每次监测前，需对监测仪器、设备进行检验，合格后方可投入使用。</w:t>
      </w:r>
    </w:p>
    <w:p>
      <w:pPr>
        <w:pageBreakBefore w:val="0"/>
        <w:kinsoku/>
        <w:wordWrap/>
        <w:bidi w:val="0"/>
        <w:spacing w:line="360" w:lineRule="auto"/>
        <w:ind w:firstLine="480" w:firstLineChars="200"/>
        <w:rPr>
          <w:rFonts w:hint="default" w:ascii="Times New Roman" w:hAnsi="Times New Roman" w:eastAsia="仿宋_GB2312" w:cs="Times New Roman"/>
          <w:sz w:val="24"/>
          <w:szCs w:val="28"/>
          <w:highlight w:val="none"/>
        </w:rPr>
      </w:pPr>
      <w:r>
        <w:rPr>
          <w:rFonts w:hint="default" w:ascii="Times New Roman" w:hAnsi="Times New Roman" w:eastAsia="仿宋_GB2312" w:cs="Times New Roman"/>
          <w:sz w:val="24"/>
          <w:szCs w:val="28"/>
          <w:highlight w:val="none"/>
        </w:rPr>
        <w:t>（3）监测时需拍摄影像资料，并编写监测记录表。影响资料包括照片集和影音资料。</w:t>
      </w:r>
    </w:p>
    <w:p>
      <w:pPr>
        <w:pageBreakBefore w:val="0"/>
        <w:kinsoku/>
        <w:wordWrap/>
        <w:bidi w:val="0"/>
        <w:spacing w:line="360" w:lineRule="auto"/>
        <w:ind w:firstLine="480" w:firstLineChars="200"/>
        <w:rPr>
          <w:rFonts w:hint="default" w:ascii="Times New Roman" w:hAnsi="Times New Roman" w:eastAsia="仿宋_GB2312" w:cs="Times New Roman"/>
          <w:sz w:val="24"/>
          <w:szCs w:val="28"/>
          <w:highlight w:val="none"/>
        </w:rPr>
      </w:pPr>
      <w:r>
        <w:rPr>
          <w:rFonts w:hint="default" w:ascii="Times New Roman" w:hAnsi="Times New Roman" w:eastAsia="仿宋_GB2312" w:cs="Times New Roman"/>
          <w:sz w:val="24"/>
          <w:szCs w:val="28"/>
          <w:highlight w:val="none"/>
        </w:rPr>
        <w:t>（4）对每次监测结果进行统计对比分析，做出简要分析与评价；若发现异常情况，应立即通知业主与当地水土保持行政主管部门。</w:t>
      </w:r>
    </w:p>
    <w:p>
      <w:pPr>
        <w:pageBreakBefore w:val="0"/>
        <w:kinsoku/>
        <w:wordWrap/>
        <w:bidi w:val="0"/>
        <w:spacing w:line="360" w:lineRule="auto"/>
        <w:ind w:firstLine="480" w:firstLineChars="200"/>
        <w:rPr>
          <w:rFonts w:hint="default" w:ascii="Times New Roman" w:hAnsi="Times New Roman" w:eastAsia="仿宋_GB2312" w:cs="Times New Roman"/>
          <w:sz w:val="24"/>
          <w:szCs w:val="28"/>
          <w:highlight w:val="none"/>
        </w:rPr>
      </w:pPr>
      <w:r>
        <w:rPr>
          <w:rFonts w:hint="default" w:ascii="Times New Roman" w:hAnsi="Times New Roman" w:eastAsia="仿宋_GB2312" w:cs="Times New Roman"/>
          <w:sz w:val="24"/>
          <w:szCs w:val="28"/>
          <w:highlight w:val="none"/>
        </w:rPr>
        <w:t>（5）及时对监测资料整理，每季度对监测结果进行统计与分析，编写季度监测报告表；监测工作全部结束后，对监测结果做出综合评价与分析，3个月内编写水土保持监测总结报告。建设单位将监测单位编制的监测实施方案、季度监测报告表、监测总结报告，在监测季报和总结报告等监测成果中提出“绿黄红”三色评价结论，及时报送当地水行政主管部门及相关的监测机构审核。</w:t>
      </w:r>
    </w:p>
    <w:p>
      <w:pPr>
        <w:pageBreakBefore w:val="0"/>
        <w:kinsoku/>
        <w:wordWrap/>
        <w:bidi w:val="0"/>
        <w:spacing w:line="360" w:lineRule="auto"/>
        <w:ind w:firstLine="480" w:firstLineChars="200"/>
        <w:rPr>
          <w:rFonts w:hint="default" w:ascii="Times New Roman" w:hAnsi="Times New Roman" w:eastAsia="仿宋_GB2312" w:cs="Times New Roman"/>
          <w:sz w:val="24"/>
          <w:szCs w:val="28"/>
          <w:highlight w:val="none"/>
        </w:rPr>
      </w:pPr>
      <w:r>
        <w:rPr>
          <w:rFonts w:hint="default" w:ascii="Times New Roman" w:hAnsi="Times New Roman" w:eastAsia="仿宋_GB2312" w:cs="Times New Roman"/>
          <w:sz w:val="24"/>
          <w:szCs w:val="28"/>
          <w:highlight w:val="none"/>
        </w:rPr>
        <w:t>（6）监测单位应当在每季度第1个月向水行政主管部门报送上季度的监测季报。监测成果经水行政主管部门成果达到标准要求后，可作为工程完工验收的依据。</w:t>
      </w:r>
    </w:p>
    <w:p>
      <w:pPr>
        <w:pageBreakBefore w:val="0"/>
        <w:kinsoku/>
        <w:wordWrap/>
        <w:bidi w:val="0"/>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szCs w:val="28"/>
          <w:highlight w:val="none"/>
        </w:rPr>
        <w:t>（7）监测单位</w:t>
      </w:r>
      <w:r>
        <w:rPr>
          <w:rFonts w:hint="eastAsia" w:eastAsia="仿宋_GB2312" w:cs="Times New Roman"/>
          <w:sz w:val="24"/>
          <w:szCs w:val="28"/>
          <w:highlight w:val="none"/>
          <w:lang w:val="en-US" w:eastAsia="zh-CN"/>
        </w:rPr>
        <w:t>应当严格按规定开展监测工作，强化行业自律，自觉遵守信用管理规定，对其技术成果负责并承担相应责任，要主动</w:t>
      </w:r>
      <w:r>
        <w:rPr>
          <w:rFonts w:hint="default" w:ascii="Times New Roman" w:hAnsi="Times New Roman" w:eastAsia="仿宋_GB2312" w:cs="Times New Roman"/>
          <w:sz w:val="24"/>
          <w:szCs w:val="28"/>
          <w:highlight w:val="none"/>
        </w:rPr>
        <w:t>接受</w:t>
      </w:r>
      <w:r>
        <w:rPr>
          <w:rFonts w:hint="eastAsia" w:eastAsia="仿宋_GB2312" w:cs="Times New Roman"/>
          <w:sz w:val="24"/>
          <w:szCs w:val="28"/>
          <w:highlight w:val="none"/>
          <w:lang w:eastAsia="zh-CN"/>
        </w:rPr>
        <w:t>、</w:t>
      </w:r>
      <w:r>
        <w:rPr>
          <w:rFonts w:hint="eastAsia" w:eastAsia="仿宋_GB2312" w:cs="Times New Roman"/>
          <w:sz w:val="24"/>
          <w:szCs w:val="28"/>
          <w:highlight w:val="none"/>
          <w:lang w:val="en-US" w:eastAsia="zh-CN"/>
        </w:rPr>
        <w:t>积极配合</w:t>
      </w:r>
      <w:r>
        <w:rPr>
          <w:rFonts w:hint="default" w:ascii="Times New Roman" w:hAnsi="Times New Roman" w:eastAsia="仿宋_GB2312" w:cs="Times New Roman"/>
          <w:sz w:val="24"/>
          <w:szCs w:val="28"/>
          <w:highlight w:val="none"/>
        </w:rPr>
        <w:t>水行政主管部门的监督检查。</w:t>
      </w:r>
    </w:p>
    <w:p>
      <w:pPr>
        <w:pageBreakBefore w:val="0"/>
        <w:kinsoku/>
        <w:wordWrap/>
        <w:bidi w:val="0"/>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水土保持监测流程见图6-1。</w:t>
      </w:r>
    </w:p>
    <w:p>
      <w:pPr>
        <w:pStyle w:val="153"/>
        <w:pageBreakBefore w:val="0"/>
        <w:kinsoku/>
        <w:wordWrap/>
        <w:bidi w:val="0"/>
        <w:ind w:left="0" w:leftChars="0" w:firstLine="0" w:firstLineChars="0"/>
        <w:rPr>
          <w:rFonts w:hint="default" w:ascii="Times New Roman" w:hAnsi="Times New Roman" w:cs="Times New Roman"/>
        </w:rPr>
      </w:pPr>
    </w:p>
    <w:p>
      <w:pPr>
        <w:pageBreakBefore w:val="0"/>
        <w:kinsoku/>
        <w:wordWrap/>
        <w:bidi w:val="0"/>
        <w:rPr>
          <w:rFonts w:hint="default" w:ascii="Times New Roman" w:hAnsi="Times New Roman" w:eastAsia="仿宋_GB2312" w:cs="Times New Roman"/>
          <w:sz w:val="28"/>
          <w:szCs w:val="28"/>
          <w:highlight w:val="none"/>
        </w:rPr>
        <w:sectPr>
          <w:headerReference r:id="rId22" w:type="default"/>
          <w:footerReference r:id="rId23" w:type="default"/>
          <w:type w:val="nextColumn"/>
          <w:pgSz w:w="11906" w:h="16838"/>
          <w:pgMar w:top="1440" w:right="1701" w:bottom="1440" w:left="1797" w:header="851" w:footer="992" w:gutter="0"/>
          <w:pgBorders>
            <w:top w:val="none" w:sz="0" w:space="0"/>
            <w:left w:val="none" w:sz="0" w:space="0"/>
            <w:bottom w:val="none" w:sz="0" w:space="0"/>
            <w:right w:val="none" w:sz="0" w:space="0"/>
          </w:pgBorders>
          <w:pgNumType w:fmt="decimal"/>
          <w:cols w:space="720" w:num="1"/>
          <w:docGrid w:type="lines" w:linePitch="312" w:charSpace="0"/>
        </w:sectPr>
      </w:pPr>
      <w:bookmarkStart w:id="408" w:name="_7_投资估算及效益分析"/>
      <w:bookmarkEnd w:id="408"/>
      <w:r>
        <w:rPr>
          <w:rFonts w:hint="default" w:ascii="Times New Roman" w:hAnsi="Times New Roman" w:eastAsia="仿宋_GB2312" w:cs="Times New Roman"/>
          <w:highlight w:val="none"/>
        </w:rPr>
        <mc:AlternateContent>
          <mc:Choice Requires="wpc">
            <w:drawing>
              <wp:inline distT="0" distB="0" distL="114300" distR="114300">
                <wp:extent cx="5330190" cy="8290560"/>
                <wp:effectExtent l="4445" t="0" r="18415" b="15240"/>
                <wp:docPr id="219" name="画布 2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5" name="文本框 157"/>
                        <wps:cNvSpPr txBox="1"/>
                        <wps:spPr>
                          <a:xfrm>
                            <a:off x="1933575" y="66675"/>
                            <a:ext cx="1838325"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hAnsi="仿宋" w:eastAsia="仿宋_GB2312"/>
                                </w:rPr>
                              </w:pPr>
                              <w:r>
                                <w:rPr>
                                  <w:rFonts w:hint="eastAsia" w:ascii="仿宋_GB2312" w:hAnsi="仿宋" w:eastAsia="仿宋_GB2312"/>
                                  <w:szCs w:val="21"/>
                                </w:rPr>
                                <w:t>背景值调查、收集资料</w:t>
                              </w:r>
                            </w:p>
                          </w:txbxContent>
                        </wps:txbx>
                        <wps:bodyPr upright="1"/>
                      </wps:wsp>
                      <wps:wsp>
                        <wps:cNvPr id="106" name="文本框 158"/>
                        <wps:cNvSpPr txBox="1"/>
                        <wps:spPr>
                          <a:xfrm>
                            <a:off x="1933575" y="590550"/>
                            <a:ext cx="1838325"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hAnsi="仿宋" w:eastAsia="仿宋_GB2312"/>
                                </w:rPr>
                              </w:pPr>
                              <w:r>
                                <w:rPr>
                                  <w:rFonts w:hint="eastAsia" w:ascii="仿宋_GB2312" w:hAnsi="仿宋" w:eastAsia="仿宋_GB2312"/>
                                  <w:szCs w:val="21"/>
                                </w:rPr>
                                <w:t>编制监测设施方案</w:t>
                              </w:r>
                            </w:p>
                          </w:txbxContent>
                        </wps:txbx>
                        <wps:bodyPr upright="1"/>
                      </wps:wsp>
                      <wps:wsp>
                        <wps:cNvPr id="159" name="文本框 159"/>
                        <wps:cNvSpPr txBox="1"/>
                        <wps:spPr>
                          <a:xfrm>
                            <a:off x="1924050" y="1114425"/>
                            <a:ext cx="184785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hAnsi="仿宋" w:eastAsia="仿宋_GB2312"/>
                                  <w:szCs w:val="21"/>
                                </w:rPr>
                              </w:pPr>
                              <w:r>
                                <w:rPr>
                                  <w:rFonts w:hint="eastAsia" w:ascii="仿宋_GB2312" w:hAnsi="仿宋" w:eastAsia="仿宋_GB2312"/>
                                  <w:szCs w:val="21"/>
                                </w:rPr>
                                <w:t>准备监测设备、仪器、工具</w:t>
                              </w:r>
                            </w:p>
                          </w:txbxContent>
                        </wps:txbx>
                        <wps:bodyPr upright="1"/>
                      </wps:wsp>
                      <wps:wsp>
                        <wps:cNvPr id="107" name="文本框 160"/>
                        <wps:cNvSpPr txBox="1"/>
                        <wps:spPr>
                          <a:xfrm>
                            <a:off x="1924050" y="1657350"/>
                            <a:ext cx="184785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hAnsi="仿宋" w:eastAsia="仿宋_GB2312"/>
                                  <w:szCs w:val="21"/>
                                </w:rPr>
                              </w:pPr>
                              <w:r>
                                <w:rPr>
                                  <w:rFonts w:hint="eastAsia" w:ascii="仿宋_GB2312" w:hAnsi="仿宋" w:eastAsia="仿宋_GB2312"/>
                                  <w:szCs w:val="21"/>
                                </w:rPr>
                                <w:t>现场布设</w:t>
                              </w:r>
                            </w:p>
                          </w:txbxContent>
                        </wps:txbx>
                        <wps:bodyPr upright="1"/>
                      </wps:wsp>
                      <wps:wsp>
                        <wps:cNvPr id="161" name="文本框 161"/>
                        <wps:cNvSpPr txBox="1"/>
                        <wps:spPr>
                          <a:xfrm>
                            <a:off x="4067175" y="1684020"/>
                            <a:ext cx="97155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hAnsi="仿宋" w:eastAsia="仿宋_GB2312"/>
                                  <w:szCs w:val="21"/>
                                </w:rPr>
                              </w:pPr>
                              <w:r>
                                <w:rPr>
                                  <w:rFonts w:hint="eastAsia" w:ascii="仿宋_GB2312" w:hAnsi="仿宋" w:eastAsia="仿宋_GB2312"/>
                                  <w:szCs w:val="21"/>
                                </w:rPr>
                                <w:t>调查监测</w:t>
                              </w:r>
                            </w:p>
                          </w:txbxContent>
                        </wps:txbx>
                        <wps:bodyPr upright="1"/>
                      </wps:wsp>
                      <wps:wsp>
                        <wps:cNvPr id="162" name="文本框 162"/>
                        <wps:cNvSpPr txBox="1"/>
                        <wps:spPr>
                          <a:xfrm>
                            <a:off x="476250" y="1657350"/>
                            <a:ext cx="1095375"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hAnsi="仿宋" w:eastAsia="仿宋_GB2312"/>
                                </w:rPr>
                              </w:pPr>
                              <w:r>
                                <w:rPr>
                                  <w:rFonts w:hint="eastAsia" w:ascii="仿宋_GB2312" w:hAnsi="仿宋" w:eastAsia="仿宋_GB2312"/>
                                  <w:szCs w:val="21"/>
                                </w:rPr>
                                <w:t>地面定点观</w:t>
                              </w:r>
                              <w:r>
                                <w:rPr>
                                  <w:rFonts w:hint="eastAsia" w:ascii="仿宋_GB2312" w:hAnsi="仿宋" w:eastAsia="仿宋_GB2312"/>
                                </w:rPr>
                                <w:t>测</w:t>
                              </w:r>
                            </w:p>
                          </w:txbxContent>
                        </wps:txbx>
                        <wps:bodyPr upright="1"/>
                      </wps:wsp>
                      <wps:wsp>
                        <wps:cNvPr id="108" name="文本框 163"/>
                        <wps:cNvSpPr txBox="1"/>
                        <wps:spPr>
                          <a:xfrm>
                            <a:off x="476250" y="2143125"/>
                            <a:ext cx="1095375"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hAnsi="仿宋" w:eastAsia="仿宋_GB2312"/>
                                </w:rPr>
                              </w:pPr>
                              <w:r>
                                <w:rPr>
                                  <w:rFonts w:hint="eastAsia" w:ascii="仿宋_GB2312" w:hAnsi="仿宋" w:eastAsia="仿宋_GB2312"/>
                                  <w:szCs w:val="21"/>
                                </w:rPr>
                                <w:t>布设定点观</w:t>
                              </w:r>
                              <w:r>
                                <w:rPr>
                                  <w:rFonts w:hint="eastAsia" w:ascii="仿宋_GB2312" w:hAnsi="仿宋" w:eastAsia="仿宋_GB2312"/>
                                </w:rPr>
                                <w:t>测</w:t>
                              </w:r>
                            </w:p>
                          </w:txbxContent>
                        </wps:txbx>
                        <wps:bodyPr upright="1"/>
                      </wps:wsp>
                      <wps:wsp>
                        <wps:cNvPr id="164" name="文本框 164"/>
                        <wps:cNvSpPr txBox="1"/>
                        <wps:spPr>
                          <a:xfrm>
                            <a:off x="2933700" y="2080260"/>
                            <a:ext cx="2200275"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hAnsi="仿宋" w:eastAsia="仿宋_GB2312"/>
                                </w:rPr>
                              </w:pPr>
                              <w:r>
                                <w:rPr>
                                  <w:rFonts w:hint="eastAsia" w:ascii="仿宋_GB2312" w:hAnsi="仿宋" w:eastAsia="仿宋_GB2312"/>
                                  <w:szCs w:val="21"/>
                                </w:rPr>
                                <w:t>普查、抽样调查、巡查、样方</w:t>
                              </w:r>
                              <w:r>
                                <w:rPr>
                                  <w:rFonts w:hint="eastAsia" w:ascii="仿宋_GB2312" w:hAnsi="仿宋" w:eastAsia="仿宋_GB2312"/>
                                </w:rPr>
                                <w:t>调查</w:t>
                              </w:r>
                            </w:p>
                          </w:txbxContent>
                        </wps:txbx>
                        <wps:bodyPr upright="1"/>
                      </wps:wsp>
                      <wps:wsp>
                        <wps:cNvPr id="109" name="文本框 165"/>
                        <wps:cNvSpPr txBox="1"/>
                        <wps:spPr>
                          <a:xfrm>
                            <a:off x="1924050" y="2828925"/>
                            <a:ext cx="184785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hAnsi="仿宋" w:eastAsia="仿宋_GB2312"/>
                                  <w:szCs w:val="21"/>
                                </w:rPr>
                              </w:pPr>
                              <w:r>
                                <w:rPr>
                                  <w:rFonts w:hint="eastAsia" w:ascii="仿宋_GB2312" w:hAnsi="仿宋" w:eastAsia="仿宋_GB2312"/>
                                  <w:szCs w:val="21"/>
                                </w:rPr>
                                <w:t>实施监测</w:t>
                              </w:r>
                            </w:p>
                          </w:txbxContent>
                        </wps:txbx>
                        <wps:bodyPr upright="1"/>
                      </wps:wsp>
                      <wps:wsp>
                        <wps:cNvPr id="166" name="文本框 166"/>
                        <wps:cNvSpPr txBox="1"/>
                        <wps:spPr>
                          <a:xfrm>
                            <a:off x="44450" y="3562350"/>
                            <a:ext cx="735330" cy="3981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rPr>
                                  <w:rFonts w:ascii="仿宋_GB2312" w:hAnsi="仿宋" w:eastAsia="仿宋_GB2312"/>
                                  <w:sz w:val="18"/>
                                  <w:szCs w:val="21"/>
                                </w:rPr>
                              </w:pPr>
                              <w:r>
                                <w:rPr>
                                  <w:rFonts w:hint="eastAsia" w:ascii="仿宋_GB2312" w:hAnsi="仿宋" w:eastAsia="仿宋_GB2312"/>
                                  <w:sz w:val="18"/>
                                  <w:szCs w:val="21"/>
                                </w:rPr>
                                <w:t>水土流失影响因素监测</w:t>
                              </w:r>
                            </w:p>
                          </w:txbxContent>
                        </wps:txbx>
                        <wps:bodyPr lIns="18000" tIns="0" rIns="18000" bIns="0" upright="1"/>
                      </wps:wsp>
                      <wps:wsp>
                        <wps:cNvPr id="167" name="文本框 167"/>
                        <wps:cNvSpPr txBox="1"/>
                        <wps:spPr>
                          <a:xfrm>
                            <a:off x="1876425" y="4629150"/>
                            <a:ext cx="184785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hAnsi="仿宋" w:eastAsia="仿宋_GB2312"/>
                                  <w:szCs w:val="21"/>
                                </w:rPr>
                              </w:pPr>
                              <w:r>
                                <w:rPr>
                                  <w:rFonts w:hint="eastAsia" w:ascii="仿宋_GB2312" w:hAnsi="仿宋" w:eastAsia="仿宋_GB2312"/>
                                  <w:szCs w:val="21"/>
                                </w:rPr>
                                <w:t>监测资料整理、汇总分析</w:t>
                              </w:r>
                            </w:p>
                          </w:txbxContent>
                        </wps:txbx>
                        <wps:bodyPr upright="1"/>
                      </wps:wsp>
                      <wps:wsp>
                        <wps:cNvPr id="110" name="文本框 168"/>
                        <wps:cNvSpPr txBox="1"/>
                        <wps:spPr>
                          <a:xfrm>
                            <a:off x="1876425" y="5143500"/>
                            <a:ext cx="184785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hAnsi="仿宋" w:eastAsia="仿宋_GB2312"/>
                                  <w:color w:val="0070C0"/>
                                  <w:szCs w:val="21"/>
                                </w:rPr>
                              </w:pPr>
                              <w:r>
                                <w:rPr>
                                  <w:rFonts w:hint="eastAsia" w:ascii="仿宋_GB2312" w:hAnsi="仿宋" w:eastAsia="仿宋_GB2312"/>
                                  <w:szCs w:val="21"/>
                                </w:rPr>
                                <w:t>监测季度及年度报告</w:t>
                              </w:r>
                            </w:p>
                          </w:txbxContent>
                        </wps:txbx>
                        <wps:bodyPr upright="1"/>
                      </wps:wsp>
                      <wps:wsp>
                        <wps:cNvPr id="169" name="文本框 169"/>
                        <wps:cNvSpPr txBox="1"/>
                        <wps:spPr>
                          <a:xfrm>
                            <a:off x="1876425" y="5686425"/>
                            <a:ext cx="184785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hAnsi="仿宋" w:eastAsia="仿宋_GB2312"/>
                                  <w:szCs w:val="21"/>
                                </w:rPr>
                              </w:pPr>
                              <w:r>
                                <w:rPr>
                                  <w:rFonts w:hint="eastAsia" w:ascii="仿宋_GB2312" w:hAnsi="仿宋" w:eastAsia="仿宋_GB2312"/>
                                  <w:szCs w:val="21"/>
                                </w:rPr>
                                <w:t>监测成果汇总与评价</w:t>
                              </w:r>
                            </w:p>
                          </w:txbxContent>
                        </wps:txbx>
                        <wps:bodyPr upright="1"/>
                      </wps:wsp>
                      <wps:wsp>
                        <wps:cNvPr id="111" name="文本框 170"/>
                        <wps:cNvSpPr txBox="1"/>
                        <wps:spPr>
                          <a:xfrm>
                            <a:off x="2000250" y="6448425"/>
                            <a:ext cx="89535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hAnsi="仿宋" w:eastAsia="仿宋_GB2312"/>
                                </w:rPr>
                              </w:pPr>
                              <w:r>
                                <w:rPr>
                                  <w:rFonts w:hint="eastAsia" w:ascii="仿宋_GB2312" w:hAnsi="仿宋" w:eastAsia="仿宋_GB2312"/>
                                  <w:szCs w:val="21"/>
                                </w:rPr>
                                <w:t>监测记录</w:t>
                              </w:r>
                              <w:r>
                                <w:rPr>
                                  <w:rFonts w:hint="eastAsia" w:ascii="仿宋_GB2312" w:hAnsi="仿宋" w:eastAsia="仿宋_GB2312"/>
                                </w:rPr>
                                <w:t>表</w:t>
                              </w:r>
                            </w:p>
                          </w:txbxContent>
                        </wps:txbx>
                        <wps:bodyPr upright="1"/>
                      </wps:wsp>
                      <wps:wsp>
                        <wps:cNvPr id="137" name="文本框 171"/>
                        <wps:cNvSpPr txBox="1"/>
                        <wps:spPr>
                          <a:xfrm>
                            <a:off x="2952750" y="6448425"/>
                            <a:ext cx="1019175"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hAnsi="仿宋" w:eastAsia="仿宋_GB2312"/>
                                </w:rPr>
                              </w:pPr>
                              <w:r>
                                <w:rPr>
                                  <w:rFonts w:hint="eastAsia" w:ascii="仿宋_GB2312" w:hAnsi="仿宋" w:eastAsia="仿宋_GB2312"/>
                                  <w:szCs w:val="21"/>
                                </w:rPr>
                                <w:t>监测影像资</w:t>
                              </w:r>
                              <w:r>
                                <w:rPr>
                                  <w:rFonts w:hint="eastAsia" w:ascii="仿宋_GB2312" w:hAnsi="仿宋" w:eastAsia="仿宋_GB2312"/>
                                </w:rPr>
                                <w:t>料</w:t>
                              </w:r>
                            </w:p>
                          </w:txbxContent>
                        </wps:txbx>
                        <wps:bodyPr upright="1"/>
                      </wps:wsp>
                      <wps:wsp>
                        <wps:cNvPr id="172" name="文本框 172"/>
                        <wps:cNvSpPr txBox="1"/>
                        <wps:spPr>
                          <a:xfrm>
                            <a:off x="4029075" y="6448425"/>
                            <a:ext cx="1171575"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hAnsi="仿宋" w:eastAsia="仿宋_GB2312"/>
                                  <w:szCs w:val="21"/>
                                </w:rPr>
                              </w:pPr>
                              <w:r>
                                <w:rPr>
                                  <w:rFonts w:hint="eastAsia" w:ascii="仿宋_GB2312" w:hAnsi="仿宋" w:eastAsia="仿宋_GB2312"/>
                                  <w:szCs w:val="21"/>
                                </w:rPr>
                                <w:t>监测汇报材料</w:t>
                              </w:r>
                            </w:p>
                          </w:txbxContent>
                        </wps:txbx>
                        <wps:bodyPr upright="1"/>
                      </wps:wsp>
                      <wps:wsp>
                        <wps:cNvPr id="173" name="文本框 173"/>
                        <wps:cNvSpPr txBox="1"/>
                        <wps:spPr>
                          <a:xfrm>
                            <a:off x="0" y="6448425"/>
                            <a:ext cx="194310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hAnsi="仿宋" w:eastAsia="仿宋_GB2312"/>
                                </w:rPr>
                              </w:pPr>
                              <w:r>
                                <w:rPr>
                                  <w:rFonts w:hint="eastAsia" w:ascii="仿宋_GB2312" w:hAnsi="仿宋" w:eastAsia="仿宋_GB2312"/>
                                  <w:szCs w:val="21"/>
                                </w:rPr>
                                <w:t>编写监测总结报告及相关图</w:t>
                              </w:r>
                              <w:r>
                                <w:rPr>
                                  <w:rFonts w:hint="eastAsia" w:ascii="仿宋_GB2312" w:hAnsi="仿宋" w:eastAsia="仿宋_GB2312"/>
                                </w:rPr>
                                <w:t>件</w:t>
                              </w:r>
                            </w:p>
                          </w:txbxContent>
                        </wps:txbx>
                        <wps:bodyPr upright="1"/>
                      </wps:wsp>
                      <wps:wsp>
                        <wps:cNvPr id="174" name="文本框 174"/>
                        <wps:cNvSpPr txBox="1"/>
                        <wps:spPr>
                          <a:xfrm>
                            <a:off x="1809750" y="7019925"/>
                            <a:ext cx="184785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hAnsi="仿宋" w:eastAsia="仿宋_GB2312"/>
                                </w:rPr>
                              </w:pPr>
                              <w:r>
                                <w:rPr>
                                  <w:rFonts w:hint="eastAsia" w:ascii="仿宋_GB2312" w:hAnsi="仿宋" w:eastAsia="仿宋_GB2312"/>
                                  <w:szCs w:val="21"/>
                                </w:rPr>
                                <w:t>提交监测成果</w:t>
                              </w:r>
                            </w:p>
                          </w:txbxContent>
                        </wps:txbx>
                        <wps:bodyPr upright="1"/>
                      </wps:wsp>
                      <wps:wsp>
                        <wps:cNvPr id="175" name="文本框 175"/>
                        <wps:cNvSpPr txBox="1"/>
                        <wps:spPr>
                          <a:xfrm>
                            <a:off x="1809750" y="7553325"/>
                            <a:ext cx="97155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hAnsi="仿宋" w:eastAsia="仿宋_GB2312"/>
                                </w:rPr>
                              </w:pPr>
                              <w:r>
                                <w:rPr>
                                  <w:rFonts w:hint="eastAsia" w:ascii="仿宋_GB2312" w:hAnsi="仿宋" w:eastAsia="仿宋_GB2312"/>
                                  <w:szCs w:val="21"/>
                                </w:rPr>
                                <w:t>备案</w:t>
                              </w:r>
                            </w:p>
                          </w:txbxContent>
                        </wps:txbx>
                        <wps:bodyPr upright="1"/>
                      </wps:wsp>
                      <wps:wsp>
                        <wps:cNvPr id="176" name="文本框 176"/>
                        <wps:cNvSpPr txBox="1"/>
                        <wps:spPr>
                          <a:xfrm>
                            <a:off x="3257550" y="7553325"/>
                            <a:ext cx="1114425"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hAnsi="仿宋" w:eastAsia="仿宋_GB2312"/>
                                </w:rPr>
                              </w:pPr>
                              <w:r>
                                <w:rPr>
                                  <w:rFonts w:hint="eastAsia" w:ascii="仿宋_GB2312" w:hAnsi="仿宋" w:eastAsia="仿宋_GB2312"/>
                                  <w:szCs w:val="21"/>
                                </w:rPr>
                                <w:t>竣工验收依据</w:t>
                              </w:r>
                            </w:p>
                          </w:txbxContent>
                        </wps:txbx>
                        <wps:bodyPr upright="1"/>
                      </wps:wsp>
                      <wps:wsp>
                        <wps:cNvPr id="177" name="直接连接符 177"/>
                        <wps:cNvCnPr/>
                        <wps:spPr>
                          <a:xfrm>
                            <a:off x="2867025" y="333375"/>
                            <a:ext cx="0" cy="257175"/>
                          </a:xfrm>
                          <a:prstGeom prst="line">
                            <a:avLst/>
                          </a:prstGeom>
                          <a:ln w="9525" cap="flat" cmpd="sng">
                            <a:solidFill>
                              <a:srgbClr val="000000"/>
                            </a:solidFill>
                            <a:prstDash val="solid"/>
                            <a:headEnd type="none" w="med" len="med"/>
                            <a:tailEnd type="triangle" w="med" len="med"/>
                          </a:ln>
                        </wps:spPr>
                        <wps:bodyPr/>
                      </wps:wsp>
                      <wps:wsp>
                        <wps:cNvPr id="178" name="直接连接符 178"/>
                        <wps:cNvCnPr/>
                        <wps:spPr>
                          <a:xfrm>
                            <a:off x="2867025" y="857250"/>
                            <a:ext cx="635" cy="257175"/>
                          </a:xfrm>
                          <a:prstGeom prst="line">
                            <a:avLst/>
                          </a:prstGeom>
                          <a:ln w="9525" cap="flat" cmpd="sng">
                            <a:solidFill>
                              <a:srgbClr val="000000"/>
                            </a:solidFill>
                            <a:prstDash val="solid"/>
                            <a:headEnd type="none" w="med" len="med"/>
                            <a:tailEnd type="triangle" w="med" len="med"/>
                          </a:ln>
                        </wps:spPr>
                        <wps:bodyPr/>
                      </wps:wsp>
                      <wps:wsp>
                        <wps:cNvPr id="179" name="直接连接符 179"/>
                        <wps:cNvCnPr/>
                        <wps:spPr>
                          <a:xfrm>
                            <a:off x="2867025" y="1381125"/>
                            <a:ext cx="635" cy="276225"/>
                          </a:xfrm>
                          <a:prstGeom prst="line">
                            <a:avLst/>
                          </a:prstGeom>
                          <a:ln w="9525" cap="flat" cmpd="sng">
                            <a:solidFill>
                              <a:srgbClr val="000000"/>
                            </a:solidFill>
                            <a:prstDash val="solid"/>
                            <a:headEnd type="none" w="med" len="med"/>
                            <a:tailEnd type="triangle" w="med" len="med"/>
                          </a:ln>
                        </wps:spPr>
                        <wps:bodyPr/>
                      </wps:wsp>
                      <wps:wsp>
                        <wps:cNvPr id="180" name="直接连接符 180"/>
                        <wps:cNvCnPr/>
                        <wps:spPr>
                          <a:xfrm flipH="1">
                            <a:off x="1571625" y="1819275"/>
                            <a:ext cx="352425" cy="635"/>
                          </a:xfrm>
                          <a:prstGeom prst="line">
                            <a:avLst/>
                          </a:prstGeom>
                          <a:ln w="9525" cap="flat" cmpd="sng">
                            <a:solidFill>
                              <a:srgbClr val="000000"/>
                            </a:solidFill>
                            <a:prstDash val="solid"/>
                            <a:headEnd type="none" w="med" len="med"/>
                            <a:tailEnd type="triangle" w="med" len="med"/>
                          </a:ln>
                        </wps:spPr>
                        <wps:bodyPr/>
                      </wps:wsp>
                      <wps:wsp>
                        <wps:cNvPr id="181" name="直接连接符 181"/>
                        <wps:cNvCnPr/>
                        <wps:spPr>
                          <a:xfrm>
                            <a:off x="3771900" y="1783080"/>
                            <a:ext cx="295275" cy="635"/>
                          </a:xfrm>
                          <a:prstGeom prst="line">
                            <a:avLst/>
                          </a:prstGeom>
                          <a:ln w="9525" cap="flat" cmpd="sng">
                            <a:solidFill>
                              <a:srgbClr val="000000"/>
                            </a:solidFill>
                            <a:prstDash val="solid"/>
                            <a:headEnd type="none" w="med" len="med"/>
                            <a:tailEnd type="triangle" w="med" len="med"/>
                          </a:ln>
                        </wps:spPr>
                        <wps:bodyPr/>
                      </wps:wsp>
                      <wps:wsp>
                        <wps:cNvPr id="182" name="直接连接符 182"/>
                        <wps:cNvCnPr/>
                        <wps:spPr>
                          <a:xfrm>
                            <a:off x="1076325" y="1924050"/>
                            <a:ext cx="0" cy="219075"/>
                          </a:xfrm>
                          <a:prstGeom prst="line">
                            <a:avLst/>
                          </a:prstGeom>
                          <a:ln w="9525" cap="flat" cmpd="sng">
                            <a:solidFill>
                              <a:srgbClr val="000000"/>
                            </a:solidFill>
                            <a:prstDash val="solid"/>
                            <a:headEnd type="none" w="med" len="med"/>
                            <a:tailEnd type="triangle" w="med" len="med"/>
                          </a:ln>
                        </wps:spPr>
                        <wps:bodyPr/>
                      </wps:wsp>
                      <wps:wsp>
                        <wps:cNvPr id="183" name="直接连接符 183"/>
                        <wps:cNvCnPr/>
                        <wps:spPr>
                          <a:xfrm flipH="1">
                            <a:off x="4534535" y="1914525"/>
                            <a:ext cx="8890" cy="191135"/>
                          </a:xfrm>
                          <a:prstGeom prst="line">
                            <a:avLst/>
                          </a:prstGeom>
                          <a:ln w="9525" cap="flat" cmpd="sng">
                            <a:solidFill>
                              <a:srgbClr val="000000"/>
                            </a:solidFill>
                            <a:prstDash val="solid"/>
                            <a:headEnd type="none" w="med" len="med"/>
                            <a:tailEnd type="triangle" w="med" len="med"/>
                          </a:ln>
                        </wps:spPr>
                        <wps:bodyPr/>
                      </wps:wsp>
                      <wps:wsp>
                        <wps:cNvPr id="184" name="肘形连接符 184"/>
                        <wps:cNvCnPr/>
                        <wps:spPr>
                          <a:xfrm rot="5400000" flipH="1" flipV="1">
                            <a:off x="2623185" y="787400"/>
                            <a:ext cx="62865" cy="3009900"/>
                          </a:xfrm>
                          <a:prstGeom prst="bentConnector3">
                            <a:avLst>
                              <a:gd name="adj1" fmla="val -363634"/>
                            </a:avLst>
                          </a:prstGeom>
                          <a:ln w="9525" cap="flat" cmpd="sng">
                            <a:solidFill>
                              <a:srgbClr val="000000"/>
                            </a:solidFill>
                            <a:prstDash val="solid"/>
                            <a:miter/>
                            <a:headEnd type="none" w="med" len="med"/>
                            <a:tailEnd type="none" w="med" len="med"/>
                          </a:ln>
                        </wps:spPr>
                        <wps:bodyPr/>
                      </wps:wsp>
                      <wps:wsp>
                        <wps:cNvPr id="185" name="直接连接符 185"/>
                        <wps:cNvCnPr/>
                        <wps:spPr>
                          <a:xfrm>
                            <a:off x="2867025" y="2628900"/>
                            <a:ext cx="0" cy="200025"/>
                          </a:xfrm>
                          <a:prstGeom prst="line">
                            <a:avLst/>
                          </a:prstGeom>
                          <a:ln w="9525" cap="flat" cmpd="sng">
                            <a:solidFill>
                              <a:srgbClr val="000000"/>
                            </a:solidFill>
                            <a:prstDash val="solid"/>
                            <a:headEnd type="none" w="med" len="med"/>
                            <a:tailEnd type="triangle" w="med" len="med"/>
                          </a:ln>
                        </wps:spPr>
                        <wps:bodyPr/>
                      </wps:wsp>
                      <wps:wsp>
                        <wps:cNvPr id="186" name="直接连接符 186"/>
                        <wps:cNvCnPr/>
                        <wps:spPr>
                          <a:xfrm>
                            <a:off x="2867025" y="3095625"/>
                            <a:ext cx="635" cy="338455"/>
                          </a:xfrm>
                          <a:prstGeom prst="line">
                            <a:avLst/>
                          </a:prstGeom>
                          <a:ln w="9525" cap="flat" cmpd="sng">
                            <a:solidFill>
                              <a:srgbClr val="000000"/>
                            </a:solidFill>
                            <a:prstDash val="solid"/>
                            <a:headEnd type="none" w="med" len="med"/>
                            <a:tailEnd type="triangle" w="med" len="med"/>
                          </a:ln>
                        </wps:spPr>
                        <wps:bodyPr/>
                      </wps:wsp>
                      <wps:wsp>
                        <wps:cNvPr id="187" name="直接连接符 187"/>
                        <wps:cNvCnPr/>
                        <wps:spPr>
                          <a:xfrm>
                            <a:off x="2781300" y="4161790"/>
                            <a:ext cx="635" cy="467360"/>
                          </a:xfrm>
                          <a:prstGeom prst="line">
                            <a:avLst/>
                          </a:prstGeom>
                          <a:ln w="9525" cap="flat" cmpd="sng">
                            <a:solidFill>
                              <a:srgbClr val="000000"/>
                            </a:solidFill>
                            <a:prstDash val="solid"/>
                            <a:headEnd type="none" w="med" len="med"/>
                            <a:tailEnd type="triangle" w="med" len="med"/>
                          </a:ln>
                        </wps:spPr>
                        <wps:bodyPr/>
                      </wps:wsp>
                      <wps:wsp>
                        <wps:cNvPr id="188" name="直接连接符 188"/>
                        <wps:cNvCnPr/>
                        <wps:spPr>
                          <a:xfrm>
                            <a:off x="2781300" y="4895850"/>
                            <a:ext cx="635" cy="247650"/>
                          </a:xfrm>
                          <a:prstGeom prst="line">
                            <a:avLst/>
                          </a:prstGeom>
                          <a:ln w="9525" cap="flat" cmpd="sng">
                            <a:solidFill>
                              <a:srgbClr val="000000"/>
                            </a:solidFill>
                            <a:prstDash val="solid"/>
                            <a:headEnd type="none" w="med" len="med"/>
                            <a:tailEnd type="triangle" w="med" len="med"/>
                          </a:ln>
                        </wps:spPr>
                        <wps:bodyPr/>
                      </wps:wsp>
                      <wps:wsp>
                        <wps:cNvPr id="189" name="直接连接符 189"/>
                        <wps:cNvCnPr/>
                        <wps:spPr>
                          <a:xfrm>
                            <a:off x="2781300" y="5410200"/>
                            <a:ext cx="635" cy="276225"/>
                          </a:xfrm>
                          <a:prstGeom prst="line">
                            <a:avLst/>
                          </a:prstGeom>
                          <a:ln w="9525" cap="flat" cmpd="sng">
                            <a:solidFill>
                              <a:srgbClr val="000000"/>
                            </a:solidFill>
                            <a:prstDash val="solid"/>
                            <a:headEnd type="none" w="med" len="med"/>
                            <a:tailEnd type="triangle" w="med" len="med"/>
                          </a:ln>
                        </wps:spPr>
                        <wps:bodyPr/>
                      </wps:wsp>
                      <wps:wsp>
                        <wps:cNvPr id="190" name="肘形连接符 190"/>
                        <wps:cNvCnPr/>
                        <wps:spPr>
                          <a:xfrm rot="5400000" flipV="1">
                            <a:off x="2592705" y="4426585"/>
                            <a:ext cx="635" cy="3643630"/>
                          </a:xfrm>
                          <a:prstGeom prst="bentConnector3">
                            <a:avLst>
                              <a:gd name="adj1" fmla="val -36000000"/>
                            </a:avLst>
                          </a:prstGeom>
                          <a:ln w="9525" cap="flat" cmpd="sng">
                            <a:solidFill>
                              <a:srgbClr val="000000"/>
                            </a:solidFill>
                            <a:prstDash val="solid"/>
                            <a:miter/>
                            <a:headEnd type="triangle" w="med" len="med"/>
                            <a:tailEnd type="triangle" w="med" len="med"/>
                          </a:ln>
                        </wps:spPr>
                        <wps:bodyPr/>
                      </wps:wsp>
                      <wps:wsp>
                        <wps:cNvPr id="191" name="直接连接符 191"/>
                        <wps:cNvCnPr/>
                        <wps:spPr>
                          <a:xfrm>
                            <a:off x="2781300" y="5953125"/>
                            <a:ext cx="635" cy="219075"/>
                          </a:xfrm>
                          <a:prstGeom prst="line">
                            <a:avLst/>
                          </a:prstGeom>
                          <a:ln w="9525" cap="flat" cmpd="sng">
                            <a:solidFill>
                              <a:srgbClr val="000000"/>
                            </a:solidFill>
                            <a:prstDash val="solid"/>
                            <a:headEnd type="none" w="med" len="med"/>
                            <a:tailEnd type="triangle" w="med" len="med"/>
                          </a:ln>
                        </wps:spPr>
                        <wps:bodyPr/>
                      </wps:wsp>
                      <wps:wsp>
                        <wps:cNvPr id="192" name="直接连接符 192"/>
                        <wps:cNvCnPr/>
                        <wps:spPr>
                          <a:xfrm>
                            <a:off x="2219325" y="6715125"/>
                            <a:ext cx="635" cy="304800"/>
                          </a:xfrm>
                          <a:prstGeom prst="line">
                            <a:avLst/>
                          </a:prstGeom>
                          <a:ln w="9525" cap="flat" cmpd="sng">
                            <a:solidFill>
                              <a:srgbClr val="000000"/>
                            </a:solidFill>
                            <a:prstDash val="solid"/>
                            <a:headEnd type="none" w="med" len="med"/>
                            <a:tailEnd type="triangle" w="med" len="med"/>
                          </a:ln>
                        </wps:spPr>
                        <wps:bodyPr/>
                      </wps:wsp>
                      <wps:wsp>
                        <wps:cNvPr id="193" name="直接连接符 193"/>
                        <wps:cNvCnPr/>
                        <wps:spPr>
                          <a:xfrm>
                            <a:off x="3257550" y="6715125"/>
                            <a:ext cx="635" cy="304800"/>
                          </a:xfrm>
                          <a:prstGeom prst="line">
                            <a:avLst/>
                          </a:prstGeom>
                          <a:ln w="9525" cap="flat" cmpd="sng">
                            <a:solidFill>
                              <a:srgbClr val="000000"/>
                            </a:solidFill>
                            <a:prstDash val="solid"/>
                            <a:headEnd type="none" w="med" len="med"/>
                            <a:tailEnd type="triangle" w="med" len="med"/>
                          </a:ln>
                        </wps:spPr>
                        <wps:bodyPr/>
                      </wps:wsp>
                      <wps:wsp>
                        <wps:cNvPr id="194" name="肘形连接符 194"/>
                        <wps:cNvCnPr/>
                        <wps:spPr>
                          <a:xfrm rot="-5400000" flipH="1">
                            <a:off x="1171575" y="6515100"/>
                            <a:ext cx="438150" cy="838200"/>
                          </a:xfrm>
                          <a:prstGeom prst="bentConnector2">
                            <a:avLst/>
                          </a:prstGeom>
                          <a:ln w="9525" cap="flat" cmpd="sng">
                            <a:solidFill>
                              <a:srgbClr val="000000"/>
                            </a:solidFill>
                            <a:prstDash val="solid"/>
                            <a:miter/>
                            <a:headEnd type="none" w="med" len="med"/>
                            <a:tailEnd type="triangle" w="med" len="med"/>
                          </a:ln>
                        </wps:spPr>
                        <wps:bodyPr/>
                      </wps:wsp>
                      <wps:wsp>
                        <wps:cNvPr id="195" name="肘形连接符 195"/>
                        <wps:cNvCnPr/>
                        <wps:spPr>
                          <a:xfrm rot="5400000">
                            <a:off x="3917315" y="6455410"/>
                            <a:ext cx="438150" cy="957580"/>
                          </a:xfrm>
                          <a:prstGeom prst="bentConnector2">
                            <a:avLst/>
                          </a:prstGeom>
                          <a:ln w="9525" cap="flat" cmpd="sng">
                            <a:solidFill>
                              <a:srgbClr val="000000"/>
                            </a:solidFill>
                            <a:prstDash val="solid"/>
                            <a:miter/>
                            <a:headEnd type="none" w="med" len="med"/>
                            <a:tailEnd type="triangle" w="med" len="med"/>
                          </a:ln>
                        </wps:spPr>
                        <wps:bodyPr/>
                      </wps:wsp>
                      <wps:wsp>
                        <wps:cNvPr id="196" name="直接连接符 196"/>
                        <wps:cNvCnPr/>
                        <wps:spPr>
                          <a:xfrm>
                            <a:off x="2219325" y="7286625"/>
                            <a:ext cx="635" cy="266700"/>
                          </a:xfrm>
                          <a:prstGeom prst="line">
                            <a:avLst/>
                          </a:prstGeom>
                          <a:ln w="9525" cap="flat" cmpd="sng">
                            <a:solidFill>
                              <a:srgbClr val="000000"/>
                            </a:solidFill>
                            <a:prstDash val="solid"/>
                            <a:headEnd type="none" w="med" len="med"/>
                            <a:tailEnd type="triangle" w="med" len="med"/>
                          </a:ln>
                        </wps:spPr>
                        <wps:bodyPr/>
                      </wps:wsp>
                      <wps:wsp>
                        <wps:cNvPr id="197" name="直接连接符 197"/>
                        <wps:cNvCnPr/>
                        <wps:spPr>
                          <a:xfrm>
                            <a:off x="2781300" y="7686675"/>
                            <a:ext cx="476250" cy="635"/>
                          </a:xfrm>
                          <a:prstGeom prst="line">
                            <a:avLst/>
                          </a:prstGeom>
                          <a:ln w="9525" cap="flat" cmpd="sng">
                            <a:solidFill>
                              <a:srgbClr val="000000"/>
                            </a:solidFill>
                            <a:prstDash val="solid"/>
                            <a:headEnd type="none" w="med" len="med"/>
                            <a:tailEnd type="triangle" w="med" len="med"/>
                          </a:ln>
                        </wps:spPr>
                        <wps:bodyPr/>
                      </wps:wsp>
                      <wps:wsp>
                        <wps:cNvPr id="198" name="文本框 198"/>
                        <wps:cNvSpPr txBox="1"/>
                        <wps:spPr>
                          <a:xfrm>
                            <a:off x="1400175" y="8017510"/>
                            <a:ext cx="2638425" cy="270510"/>
                          </a:xfrm>
                          <a:prstGeom prst="rect">
                            <a:avLst/>
                          </a:prstGeom>
                          <a:solidFill>
                            <a:srgbClr val="FFFFFF"/>
                          </a:solidFill>
                          <a:ln>
                            <a:noFill/>
                          </a:ln>
                        </wps:spPr>
                        <wps:txb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微软雅黑" w:cs="Times New Roman"/>
                                </w:rPr>
                              </w:pPr>
                              <w:r>
                                <w:rPr>
                                  <w:rFonts w:hint="default" w:ascii="Times New Roman" w:hAnsi="Times New Roman" w:eastAsia="微软雅黑" w:cs="Times New Roman"/>
                                </w:rPr>
                                <w:t>图</w:t>
                              </w:r>
                              <w:r>
                                <w:rPr>
                                  <w:rFonts w:hint="eastAsia" w:ascii="Times New Roman" w:hAnsi="Times New Roman" w:eastAsia="微软雅黑" w:cs="Times New Roman"/>
                                </w:rPr>
                                <w:t>6</w:t>
                              </w:r>
                              <w:r>
                                <w:rPr>
                                  <w:rFonts w:hint="eastAsia" w:eastAsia="微软雅黑" w:cs="Times New Roman"/>
                                  <w:lang w:val="en-US" w:eastAsia="zh-CN"/>
                                </w:rPr>
                                <w:t>-1</w:t>
                              </w:r>
                              <w:r>
                                <w:rPr>
                                  <w:rFonts w:hint="default" w:ascii="Times New Roman" w:hAnsi="Times New Roman" w:eastAsia="微软雅黑" w:cs="Times New Roman"/>
                                </w:rPr>
                                <w:t xml:space="preserve">  水土保持监测流程图</w:t>
                              </w:r>
                            </w:p>
                          </w:txbxContent>
                        </wps:txbx>
                        <wps:bodyPr upright="1"/>
                      </wps:wsp>
                      <wps:wsp>
                        <wps:cNvPr id="199" name="文本框 199"/>
                        <wps:cNvSpPr txBox="1"/>
                        <wps:spPr>
                          <a:xfrm>
                            <a:off x="836295" y="3562350"/>
                            <a:ext cx="735330" cy="3981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rPr>
                                  <w:rFonts w:ascii="仿宋_GB2312" w:hAnsi="仿宋" w:eastAsia="仿宋_GB2312"/>
                                  <w:sz w:val="18"/>
                                  <w:szCs w:val="21"/>
                                </w:rPr>
                              </w:pPr>
                              <w:r>
                                <w:rPr>
                                  <w:rFonts w:hint="eastAsia" w:ascii="仿宋_GB2312" w:hAnsi="仿宋" w:eastAsia="仿宋_GB2312"/>
                                  <w:sz w:val="18"/>
                                  <w:szCs w:val="21"/>
                                </w:rPr>
                                <w:t>本底值监测</w:t>
                              </w:r>
                            </w:p>
                          </w:txbxContent>
                        </wps:txbx>
                        <wps:bodyPr lIns="18000" tIns="0" rIns="18000" bIns="0" upright="1"/>
                      </wps:wsp>
                      <wps:wsp>
                        <wps:cNvPr id="200" name="文本框 200"/>
                        <wps:cNvSpPr txBox="1"/>
                        <wps:spPr>
                          <a:xfrm>
                            <a:off x="1612265" y="3562350"/>
                            <a:ext cx="735330" cy="3981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rPr>
                                  <w:rFonts w:ascii="仿宋_GB2312" w:hAnsi="仿宋" w:eastAsia="仿宋_GB2312"/>
                                  <w:sz w:val="18"/>
                                  <w:szCs w:val="21"/>
                                </w:rPr>
                              </w:pPr>
                              <w:r>
                                <w:rPr>
                                  <w:rFonts w:hint="eastAsia" w:ascii="仿宋_GB2312" w:hAnsi="仿宋" w:eastAsia="仿宋_GB2312"/>
                                  <w:sz w:val="18"/>
                                  <w:szCs w:val="21"/>
                                </w:rPr>
                                <w:t>水土流失状况监测</w:t>
                              </w:r>
                            </w:p>
                          </w:txbxContent>
                        </wps:txbx>
                        <wps:bodyPr lIns="18000" tIns="0" rIns="18000" bIns="0" upright="1"/>
                      </wps:wsp>
                      <wps:wsp>
                        <wps:cNvPr id="201" name="文本框 201"/>
                        <wps:cNvSpPr txBox="1"/>
                        <wps:spPr>
                          <a:xfrm>
                            <a:off x="2503805" y="3562350"/>
                            <a:ext cx="735330" cy="3981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rPr>
                                  <w:rFonts w:ascii="仿宋_GB2312" w:hAnsi="仿宋" w:eastAsia="仿宋_GB2312"/>
                                  <w:sz w:val="18"/>
                                  <w:szCs w:val="21"/>
                                </w:rPr>
                              </w:pPr>
                              <w:r>
                                <w:rPr>
                                  <w:rFonts w:hint="eastAsia" w:ascii="仿宋_GB2312" w:hAnsi="仿宋" w:eastAsia="仿宋_GB2312"/>
                                  <w:sz w:val="18"/>
                                  <w:szCs w:val="21"/>
                                </w:rPr>
                                <w:t>扰动土地监测</w:t>
                              </w:r>
                            </w:p>
                          </w:txbxContent>
                        </wps:txbx>
                        <wps:bodyPr lIns="18000" tIns="0" rIns="18000" bIns="0" upright="1"/>
                      </wps:wsp>
                      <wps:wsp>
                        <wps:cNvPr id="202" name="文本框 202"/>
                        <wps:cNvSpPr txBox="1"/>
                        <wps:spPr>
                          <a:xfrm>
                            <a:off x="3476625" y="3549015"/>
                            <a:ext cx="735330" cy="3981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rPr>
                                  <w:rFonts w:ascii="仿宋_GB2312" w:hAnsi="仿宋" w:eastAsia="仿宋_GB2312"/>
                                  <w:sz w:val="18"/>
                                  <w:szCs w:val="21"/>
                                </w:rPr>
                              </w:pPr>
                              <w:r>
                                <w:rPr>
                                  <w:rFonts w:hint="eastAsia" w:ascii="仿宋_GB2312" w:hAnsi="仿宋" w:eastAsia="仿宋_GB2312"/>
                                  <w:sz w:val="18"/>
                                  <w:szCs w:val="21"/>
                                </w:rPr>
                                <w:t>水土流失危害监测</w:t>
                              </w:r>
                            </w:p>
                          </w:txbxContent>
                        </wps:txbx>
                        <wps:bodyPr lIns="18000" tIns="0" rIns="18000" bIns="0" upright="1"/>
                      </wps:wsp>
                      <wps:wsp>
                        <wps:cNvPr id="203" name="文本框 203"/>
                        <wps:cNvSpPr txBox="1"/>
                        <wps:spPr>
                          <a:xfrm>
                            <a:off x="4529455" y="3535045"/>
                            <a:ext cx="735330" cy="3981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rPr>
                                  <w:rFonts w:ascii="仿宋_GB2312" w:hAnsi="仿宋" w:eastAsia="仿宋_GB2312"/>
                                  <w:sz w:val="18"/>
                                  <w:szCs w:val="21"/>
                                </w:rPr>
                              </w:pPr>
                              <w:r>
                                <w:rPr>
                                  <w:rFonts w:hint="eastAsia" w:ascii="仿宋_GB2312" w:hAnsi="仿宋" w:eastAsia="仿宋_GB2312"/>
                                  <w:sz w:val="18"/>
                                  <w:szCs w:val="21"/>
                                </w:rPr>
                                <w:t>水土流失防治成效监测</w:t>
                              </w:r>
                            </w:p>
                          </w:txbxContent>
                        </wps:txbx>
                        <wps:bodyPr lIns="18000" tIns="0" rIns="18000" bIns="0" upright="1"/>
                      </wps:wsp>
                      <wpg:wgp>
                        <wpg:cNvPr id="212" name="组合 212"/>
                        <wpg:cNvGrpSpPr/>
                        <wpg:grpSpPr>
                          <a:xfrm>
                            <a:off x="436880" y="3960495"/>
                            <a:ext cx="4697095" cy="201930"/>
                            <a:chOff x="-707" y="6852"/>
                            <a:chExt cx="7397" cy="318"/>
                          </a:xfrm>
                        </wpg:grpSpPr>
                        <wps:wsp>
                          <wps:cNvPr id="204" name="直接连接符 204"/>
                          <wps:cNvCnPr/>
                          <wps:spPr>
                            <a:xfrm>
                              <a:off x="1754" y="6915"/>
                              <a:ext cx="1" cy="255"/>
                            </a:xfrm>
                            <a:prstGeom prst="line">
                              <a:avLst/>
                            </a:prstGeom>
                            <a:ln w="9525" cap="flat" cmpd="sng">
                              <a:solidFill>
                                <a:srgbClr val="000000"/>
                              </a:solidFill>
                              <a:prstDash val="solid"/>
                              <a:headEnd type="none" w="med" len="med"/>
                              <a:tailEnd type="none" w="med" len="med"/>
                            </a:ln>
                          </wps:spPr>
                          <wps:bodyPr/>
                        </wps:wsp>
                        <wps:wsp>
                          <wps:cNvPr id="205" name="直接连接符 205"/>
                          <wps:cNvCnPr/>
                          <wps:spPr>
                            <a:xfrm>
                              <a:off x="2986" y="6852"/>
                              <a:ext cx="1" cy="255"/>
                            </a:xfrm>
                            <a:prstGeom prst="line">
                              <a:avLst/>
                            </a:prstGeom>
                            <a:ln w="9525" cap="flat" cmpd="sng">
                              <a:solidFill>
                                <a:srgbClr val="000000"/>
                              </a:solidFill>
                              <a:prstDash val="solid"/>
                              <a:headEnd type="none" w="med" len="med"/>
                              <a:tailEnd type="none" w="med" len="med"/>
                            </a:ln>
                          </wps:spPr>
                          <wps:bodyPr/>
                        </wps:wsp>
                        <wps:wsp>
                          <wps:cNvPr id="206" name="直接连接符 206"/>
                          <wps:cNvCnPr/>
                          <wps:spPr>
                            <a:xfrm>
                              <a:off x="4191" y="6852"/>
                              <a:ext cx="1" cy="255"/>
                            </a:xfrm>
                            <a:prstGeom prst="line">
                              <a:avLst/>
                            </a:prstGeom>
                            <a:ln w="9525" cap="flat" cmpd="sng">
                              <a:solidFill>
                                <a:srgbClr val="000000"/>
                              </a:solidFill>
                              <a:prstDash val="solid"/>
                              <a:headEnd type="none" w="med" len="med"/>
                              <a:tailEnd type="none" w="med" len="med"/>
                            </a:ln>
                          </wps:spPr>
                          <wps:bodyPr/>
                        </wps:wsp>
                        <wps:wsp>
                          <wps:cNvPr id="207" name="直接连接符 207"/>
                          <wps:cNvCnPr/>
                          <wps:spPr>
                            <a:xfrm>
                              <a:off x="5489" y="6852"/>
                              <a:ext cx="1" cy="255"/>
                            </a:xfrm>
                            <a:prstGeom prst="line">
                              <a:avLst/>
                            </a:prstGeom>
                            <a:ln w="9525" cap="flat" cmpd="sng">
                              <a:solidFill>
                                <a:srgbClr val="000000"/>
                              </a:solidFill>
                              <a:prstDash val="solid"/>
                              <a:headEnd type="none" w="med" len="med"/>
                              <a:tailEnd type="none" w="med" len="med"/>
                            </a:ln>
                          </wps:spPr>
                          <wps:bodyPr/>
                        </wps:wsp>
                        <wps:wsp>
                          <wps:cNvPr id="208" name="直接连接符 208"/>
                          <wps:cNvCnPr/>
                          <wps:spPr>
                            <a:xfrm>
                              <a:off x="6688" y="6852"/>
                              <a:ext cx="2" cy="317"/>
                            </a:xfrm>
                            <a:prstGeom prst="line">
                              <a:avLst/>
                            </a:prstGeom>
                            <a:ln w="9525" cap="flat" cmpd="sng">
                              <a:solidFill>
                                <a:srgbClr val="000000"/>
                              </a:solidFill>
                              <a:prstDash val="solid"/>
                              <a:headEnd type="none" w="med" len="med"/>
                              <a:tailEnd type="none" w="med" len="med"/>
                            </a:ln>
                          </wps:spPr>
                          <wps:bodyPr/>
                        </wps:wsp>
                        <wps:wsp>
                          <wps:cNvPr id="209" name="直接连接符 209"/>
                          <wps:cNvCnPr/>
                          <wps:spPr>
                            <a:xfrm>
                              <a:off x="537" y="6852"/>
                              <a:ext cx="1" cy="255"/>
                            </a:xfrm>
                            <a:prstGeom prst="line">
                              <a:avLst/>
                            </a:prstGeom>
                            <a:ln w="9525" cap="flat" cmpd="sng">
                              <a:solidFill>
                                <a:srgbClr val="000000"/>
                              </a:solidFill>
                              <a:prstDash val="solid"/>
                              <a:headEnd type="none" w="med" len="med"/>
                              <a:tailEnd type="none" w="med" len="med"/>
                            </a:ln>
                          </wps:spPr>
                          <wps:bodyPr/>
                        </wps:wsp>
                        <wps:wsp>
                          <wps:cNvPr id="210" name="直接连接符 210"/>
                          <wps:cNvCnPr/>
                          <wps:spPr>
                            <a:xfrm>
                              <a:off x="-707" y="6915"/>
                              <a:ext cx="1" cy="255"/>
                            </a:xfrm>
                            <a:prstGeom prst="line">
                              <a:avLst/>
                            </a:prstGeom>
                            <a:ln w="9525" cap="flat" cmpd="sng">
                              <a:solidFill>
                                <a:srgbClr val="000000"/>
                              </a:solidFill>
                              <a:prstDash val="solid"/>
                              <a:headEnd type="none" w="med" len="med"/>
                              <a:tailEnd type="none" w="med" len="med"/>
                            </a:ln>
                          </wps:spPr>
                          <wps:bodyPr/>
                        </wps:wsp>
                        <wps:wsp>
                          <wps:cNvPr id="211" name="直接箭头连接符 211"/>
                          <wps:cNvCnPr/>
                          <wps:spPr>
                            <a:xfrm>
                              <a:off x="-707" y="7169"/>
                              <a:ext cx="7397" cy="1"/>
                            </a:xfrm>
                            <a:prstGeom prst="straightConnector1">
                              <a:avLst/>
                            </a:prstGeom>
                            <a:ln w="9525" cap="flat" cmpd="sng">
                              <a:solidFill>
                                <a:srgbClr val="000000"/>
                              </a:solidFill>
                              <a:prstDash val="solid"/>
                              <a:headEnd type="none" w="med" len="med"/>
                              <a:tailEnd type="none" w="med" len="med"/>
                            </a:ln>
                          </wps:spPr>
                          <wps:bodyPr/>
                        </wps:wsp>
                      </wpg:wgp>
                      <wps:wsp>
                        <wps:cNvPr id="213" name="直接连接符 213"/>
                        <wps:cNvCnPr/>
                        <wps:spPr>
                          <a:xfrm>
                            <a:off x="3879215" y="3353435"/>
                            <a:ext cx="6350" cy="172085"/>
                          </a:xfrm>
                          <a:prstGeom prst="line">
                            <a:avLst/>
                          </a:prstGeom>
                          <a:ln w="12700" cap="flat" cmpd="sng">
                            <a:solidFill>
                              <a:srgbClr val="000000"/>
                            </a:solidFill>
                            <a:prstDash val="solid"/>
                            <a:headEnd type="none" w="med" len="med"/>
                            <a:tailEnd type="triangle" w="sm" len="med"/>
                          </a:ln>
                        </wps:spPr>
                        <wps:bodyPr/>
                      </wps:wsp>
                      <wps:wsp>
                        <wps:cNvPr id="214" name="直接连接符 214"/>
                        <wps:cNvCnPr/>
                        <wps:spPr>
                          <a:xfrm>
                            <a:off x="478790" y="3363595"/>
                            <a:ext cx="0" cy="228600"/>
                          </a:xfrm>
                          <a:prstGeom prst="line">
                            <a:avLst/>
                          </a:prstGeom>
                          <a:ln w="12700" cap="flat" cmpd="sng">
                            <a:solidFill>
                              <a:srgbClr val="000000"/>
                            </a:solidFill>
                            <a:prstDash val="solid"/>
                            <a:headEnd type="none" w="med" len="med"/>
                            <a:tailEnd type="triangle" w="sm" len="med"/>
                          </a:ln>
                        </wps:spPr>
                        <wps:bodyPr/>
                      </wps:wsp>
                      <wps:wsp>
                        <wps:cNvPr id="215" name="直接连接符 215"/>
                        <wps:cNvCnPr/>
                        <wps:spPr>
                          <a:xfrm>
                            <a:off x="1203325" y="3346450"/>
                            <a:ext cx="0" cy="228600"/>
                          </a:xfrm>
                          <a:prstGeom prst="line">
                            <a:avLst/>
                          </a:prstGeom>
                          <a:ln w="12700" cap="flat" cmpd="sng">
                            <a:solidFill>
                              <a:srgbClr val="000000"/>
                            </a:solidFill>
                            <a:prstDash val="solid"/>
                            <a:headEnd type="none" w="med" len="med"/>
                            <a:tailEnd type="triangle" w="sm" len="med"/>
                          </a:ln>
                        </wps:spPr>
                        <wps:bodyPr/>
                      </wps:wsp>
                      <wps:wsp>
                        <wps:cNvPr id="216" name="直接连接符 216"/>
                        <wps:cNvCnPr/>
                        <wps:spPr>
                          <a:xfrm>
                            <a:off x="2051050" y="3350260"/>
                            <a:ext cx="0" cy="228600"/>
                          </a:xfrm>
                          <a:prstGeom prst="line">
                            <a:avLst/>
                          </a:prstGeom>
                          <a:ln w="12700" cap="flat" cmpd="sng">
                            <a:solidFill>
                              <a:srgbClr val="000000"/>
                            </a:solidFill>
                            <a:prstDash val="solid"/>
                            <a:headEnd type="none" w="med" len="med"/>
                            <a:tailEnd type="triangle" w="sm" len="med"/>
                          </a:ln>
                        </wps:spPr>
                        <wps:bodyPr/>
                      </wps:wsp>
                      <wps:wsp>
                        <wps:cNvPr id="217" name="直接连接符 217"/>
                        <wps:cNvCnPr/>
                        <wps:spPr>
                          <a:xfrm>
                            <a:off x="4860925" y="3363595"/>
                            <a:ext cx="7620" cy="167640"/>
                          </a:xfrm>
                          <a:prstGeom prst="line">
                            <a:avLst/>
                          </a:prstGeom>
                          <a:ln w="12700" cap="flat" cmpd="sng">
                            <a:solidFill>
                              <a:srgbClr val="000000"/>
                            </a:solidFill>
                            <a:prstDash val="solid"/>
                            <a:headEnd type="none" w="med" len="med"/>
                            <a:tailEnd type="triangle" w="sm" len="med"/>
                          </a:ln>
                        </wps:spPr>
                        <wps:bodyPr/>
                      </wps:wsp>
                      <wps:wsp>
                        <wps:cNvPr id="218" name="直接连接符 218"/>
                        <wps:cNvCnPr/>
                        <wps:spPr>
                          <a:xfrm>
                            <a:off x="483870" y="3361055"/>
                            <a:ext cx="4381500" cy="635"/>
                          </a:xfrm>
                          <a:prstGeom prst="line">
                            <a:avLst/>
                          </a:prstGeom>
                          <a:ln w="9525" cap="flat" cmpd="sng">
                            <a:solidFill>
                              <a:srgbClr val="000000"/>
                            </a:solidFill>
                            <a:prstDash val="solid"/>
                            <a:headEnd type="none" w="med" len="med"/>
                            <a:tailEnd type="none" w="med" len="med"/>
                          </a:ln>
                        </wps:spPr>
                        <wps:bodyPr/>
                      </wps:wsp>
                    </wpc:wpc>
                  </a:graphicData>
                </a:graphic>
              </wp:inline>
            </w:drawing>
          </mc:Choice>
          <mc:Fallback>
            <w:pict>
              <v:group id="_x0000_s1026" o:spid="_x0000_s1026" o:spt="203" style="height:652.8pt;width:419.7pt;" coordsize="5330190,8290560" editas="canvas" o:gfxdata="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">
                <o:lock v:ext="edit" aspectratio="f"/>
                <v:shape id="_x0000_s1026" o:spid="_x0000_s1026" style="position:absolute;left:0;top:0;height:8290560;width:5330190;" filled="f" stroked="f" coordsize="21600,21600" o:gfxdata="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">
                  <v:fill on="f" focussize="0,0"/>
                  <v:stroke on="f"/>
                  <v:imagedata o:title=""/>
                  <o:lock v:ext="edit" aspectratio="t"/>
                </v:shape>
                <v:shape id="文本框 157" o:spid="_x0000_s1026" o:spt="202" type="#_x0000_t202" style="position:absolute;left:1933575;top:66675;height:266700;width:1838325;" fillcolor="#FFFFFF" filled="t" stroked="t" coordsize="21600,21600" o:gfxdata="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T6lK2tYAAAAGAQAADwAAAAAA&#10;AAABACAAAAAiAAAAZHJzL2Rvd25yZXYueG1sUEsBAhQAFAAAAAgAh07iQMoGzqQVAgAARAQAAA4A&#10;AAAAAAAAAQAgAAAAJQEAAGRycy9lMm9Eb2MueG1sUEsFBgAAAAAGAAYAWQEAAKwFAAAAAA==&#10;">
                  <v:fill on="t" focussize="0,0"/>
                  <v:stroke color="#000000" joinstyle="miter"/>
                  <v:imagedata o:title=""/>
                  <o:lock v:ext="edit" aspectratio="f"/>
                  <v:textbox>
                    <w:txbxContent>
                      <w:p>
                        <w:pPr>
                          <w:jc w:val="center"/>
                          <w:rPr>
                            <w:rFonts w:ascii="仿宋_GB2312" w:hAnsi="仿宋" w:eastAsia="仿宋_GB2312"/>
                          </w:rPr>
                        </w:pPr>
                        <w:r>
                          <w:rPr>
                            <w:rFonts w:hint="eastAsia" w:ascii="仿宋_GB2312" w:hAnsi="仿宋" w:eastAsia="仿宋_GB2312"/>
                            <w:szCs w:val="21"/>
                          </w:rPr>
                          <w:t>背景值调查、收集资料</w:t>
                        </w:r>
                      </w:p>
                    </w:txbxContent>
                  </v:textbox>
                </v:shape>
                <v:shape id="文本框 158" o:spid="_x0000_s1026" o:spt="202" type="#_x0000_t202" style="position:absolute;left:1933575;top:590550;height:266700;width:1838325;" fillcolor="#FFFFFF" filled="t" stroked="t" coordsize="21600,21600" o:gfxdata="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T6lK2tYAAAAGAQAADwAA&#10;AAAAAAABACAAAAAiAAAAZHJzL2Rvd25yZXYueG1sUEsBAhQAFAAAAAgAh07iQBbAXtYYAgAARQQA&#10;AA4AAAAAAAAAAQAgAAAAJQEAAGRycy9lMm9Eb2MueG1sUEsFBgAAAAAGAAYAWQEAAK8FAAAAAA==&#10;">
                  <v:fill on="t" focussize="0,0"/>
                  <v:stroke color="#000000" joinstyle="miter"/>
                  <v:imagedata o:title=""/>
                  <o:lock v:ext="edit" aspectratio="f"/>
                  <v:textbox>
                    <w:txbxContent>
                      <w:p>
                        <w:pPr>
                          <w:jc w:val="center"/>
                          <w:rPr>
                            <w:rFonts w:ascii="仿宋_GB2312" w:hAnsi="仿宋" w:eastAsia="仿宋_GB2312"/>
                          </w:rPr>
                        </w:pPr>
                        <w:r>
                          <w:rPr>
                            <w:rFonts w:hint="eastAsia" w:ascii="仿宋_GB2312" w:hAnsi="仿宋" w:eastAsia="仿宋_GB2312"/>
                            <w:szCs w:val="21"/>
                          </w:rPr>
                          <w:t>编制监测设施方案</w:t>
                        </w:r>
                      </w:p>
                    </w:txbxContent>
                  </v:textbox>
                </v:shape>
                <v:shape id="_x0000_s1026" o:spid="_x0000_s1026" o:spt="202" type="#_x0000_t202" style="position:absolute;left:1924050;top:1114425;height:266700;width:1847850;" fillcolor="#FFFFFF" filled="t" stroked="t" coordsize="21600,21600" o:gfxdata="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PqUra1gAAAAYBAAAPAAAA&#10;AAAAAAEAIAAAACIAAABkcnMvZG93bnJldi54bWxQSwECFAAUAAAACACHTuJAm+KzPRcCAABGBAAA&#10;DgAAAAAAAAABACAAAAAlAQAAZHJzL2Uyb0RvYy54bWxQSwUGAAAAAAYABgBZAQAArgUAAAAA&#10;">
                  <v:fill on="t" focussize="0,0"/>
                  <v:stroke color="#000000" joinstyle="miter"/>
                  <v:imagedata o:title=""/>
                  <o:lock v:ext="edit" aspectratio="f"/>
                  <v:textbox>
                    <w:txbxContent>
                      <w:p>
                        <w:pPr>
                          <w:jc w:val="center"/>
                          <w:rPr>
                            <w:rFonts w:ascii="仿宋_GB2312" w:hAnsi="仿宋" w:eastAsia="仿宋_GB2312"/>
                            <w:szCs w:val="21"/>
                          </w:rPr>
                        </w:pPr>
                        <w:r>
                          <w:rPr>
                            <w:rFonts w:hint="eastAsia" w:ascii="仿宋_GB2312" w:hAnsi="仿宋" w:eastAsia="仿宋_GB2312"/>
                            <w:szCs w:val="21"/>
                          </w:rPr>
                          <w:t>准备监测设备、仪器、工具</w:t>
                        </w:r>
                      </w:p>
                    </w:txbxContent>
                  </v:textbox>
                </v:shape>
                <v:shape id="文本框 160" o:spid="_x0000_s1026" o:spt="202" type="#_x0000_t202" style="position:absolute;left:1924050;top:1657350;height:266700;width:1847850;" fillcolor="#FFFFFF" filled="t" stroked="t" coordsize="21600,21600" o:gfxdata="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pStrWAAAABgEAAA8AAAAA&#10;AAAAAQAgAAAAIgAAAGRycy9kb3ducmV2LnhtbFBLAQIUABQAAAAIAIdO4kB/u8UDFgIAAEYEAAAO&#10;AAAAAAAAAAEAIAAAACUBAABkcnMvZTJvRG9jLnhtbFBLBQYAAAAABgAGAFkBAACtBQAAAAA=&#10;">
                  <v:fill on="t" focussize="0,0"/>
                  <v:stroke color="#000000" joinstyle="miter"/>
                  <v:imagedata o:title=""/>
                  <o:lock v:ext="edit" aspectratio="f"/>
                  <v:textbox>
                    <w:txbxContent>
                      <w:p>
                        <w:pPr>
                          <w:jc w:val="center"/>
                          <w:rPr>
                            <w:rFonts w:ascii="仿宋_GB2312" w:hAnsi="仿宋" w:eastAsia="仿宋_GB2312"/>
                            <w:szCs w:val="21"/>
                          </w:rPr>
                        </w:pPr>
                        <w:r>
                          <w:rPr>
                            <w:rFonts w:hint="eastAsia" w:ascii="仿宋_GB2312" w:hAnsi="仿宋" w:eastAsia="仿宋_GB2312"/>
                            <w:szCs w:val="21"/>
                          </w:rPr>
                          <w:t>现场布设</w:t>
                        </w:r>
                      </w:p>
                    </w:txbxContent>
                  </v:textbox>
                </v:shape>
                <v:shape id="_x0000_s1026" o:spid="_x0000_s1026" o:spt="202" type="#_x0000_t202" style="position:absolute;left:4067175;top:1684020;height:266700;width:971550;" fillcolor="#FFFFFF" filled="t" stroked="t" coordsize="21600,21600" o:gfxdata="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pStrWAAAABgEAAA8AAAAA&#10;AAAAAQAgAAAAIgAAAGRycy9kb3ducmV2LnhtbFBLAQIUABQAAAAIAIdO4kBtKaGjFgIAAEUEAAAO&#10;AAAAAAAAAAEAIAAAACUBAABkcnMvZTJvRG9jLnhtbFBLBQYAAAAABgAGAFkBAACtBQAAAAA=&#10;">
                  <v:fill on="t" focussize="0,0"/>
                  <v:stroke color="#000000" joinstyle="miter"/>
                  <v:imagedata o:title=""/>
                  <o:lock v:ext="edit" aspectratio="f"/>
                  <v:textbox>
                    <w:txbxContent>
                      <w:p>
                        <w:pPr>
                          <w:jc w:val="center"/>
                          <w:rPr>
                            <w:rFonts w:ascii="仿宋_GB2312" w:hAnsi="仿宋" w:eastAsia="仿宋_GB2312"/>
                            <w:szCs w:val="21"/>
                          </w:rPr>
                        </w:pPr>
                        <w:r>
                          <w:rPr>
                            <w:rFonts w:hint="eastAsia" w:ascii="仿宋_GB2312" w:hAnsi="仿宋" w:eastAsia="仿宋_GB2312"/>
                            <w:szCs w:val="21"/>
                          </w:rPr>
                          <w:t>调查监测</w:t>
                        </w:r>
                      </w:p>
                    </w:txbxContent>
                  </v:textbox>
                </v:shape>
                <v:shape id="_x0000_s1026" o:spid="_x0000_s1026" o:spt="202" type="#_x0000_t202" style="position:absolute;left:476250;top:1657350;height:266700;width:1095375;" fillcolor="#FFFFFF" filled="t" stroked="t" coordsize="21600,21600" o:gfxdata="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pStrWAAAABgEAAA8AAAAA&#10;AAAAAQAgAAAAIgAAAGRycy9kb3ducmV2LnhtbFBLAQIUABQAAAAIAIdO4kAH57a8FgIAAEUEAAAO&#10;AAAAAAAAAAEAIAAAACUBAABkcnMvZTJvRG9jLnhtbFBLBQYAAAAABgAGAFkBAACtBQAAAAA=&#10;">
                  <v:fill on="t" focussize="0,0"/>
                  <v:stroke color="#000000" joinstyle="miter"/>
                  <v:imagedata o:title=""/>
                  <o:lock v:ext="edit" aspectratio="f"/>
                  <v:textbox>
                    <w:txbxContent>
                      <w:p>
                        <w:pPr>
                          <w:jc w:val="center"/>
                          <w:rPr>
                            <w:rFonts w:ascii="仿宋_GB2312" w:hAnsi="仿宋" w:eastAsia="仿宋_GB2312"/>
                          </w:rPr>
                        </w:pPr>
                        <w:r>
                          <w:rPr>
                            <w:rFonts w:hint="eastAsia" w:ascii="仿宋_GB2312" w:hAnsi="仿宋" w:eastAsia="仿宋_GB2312"/>
                            <w:szCs w:val="21"/>
                          </w:rPr>
                          <w:t>地面定点观</w:t>
                        </w:r>
                        <w:r>
                          <w:rPr>
                            <w:rFonts w:hint="eastAsia" w:ascii="仿宋_GB2312" w:hAnsi="仿宋" w:eastAsia="仿宋_GB2312"/>
                          </w:rPr>
                          <w:t>测</w:t>
                        </w:r>
                      </w:p>
                    </w:txbxContent>
                  </v:textbox>
                </v:shape>
                <v:shape id="文本框 163" o:spid="_x0000_s1026" o:spt="202" type="#_x0000_t202" style="position:absolute;left:476250;top:2143125;height:266700;width:1095375;" fillcolor="#FFFFFF" filled="t" stroked="t" coordsize="21600,21600" o:gfxdata="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pStrWAAAABgEAAA8A&#10;AAAAAAAAAQAgAAAAIgAAAGRycy9kb3ducmV2LnhtbFBLAQIUABQAAAAIAIdO4kBRBW06GQIAAEUE&#10;AAAOAAAAAAAAAAEAIAAAACUBAABkcnMvZTJvRG9jLnhtbFBLBQYAAAAABgAGAFkBAACwBQAAAAA=&#10;">
                  <v:fill on="t" focussize="0,0"/>
                  <v:stroke color="#000000" joinstyle="miter"/>
                  <v:imagedata o:title=""/>
                  <o:lock v:ext="edit" aspectratio="f"/>
                  <v:textbox>
                    <w:txbxContent>
                      <w:p>
                        <w:pPr>
                          <w:jc w:val="center"/>
                          <w:rPr>
                            <w:rFonts w:ascii="仿宋_GB2312" w:hAnsi="仿宋" w:eastAsia="仿宋_GB2312"/>
                          </w:rPr>
                        </w:pPr>
                        <w:r>
                          <w:rPr>
                            <w:rFonts w:hint="eastAsia" w:ascii="仿宋_GB2312" w:hAnsi="仿宋" w:eastAsia="仿宋_GB2312"/>
                            <w:szCs w:val="21"/>
                          </w:rPr>
                          <w:t>布设定点观</w:t>
                        </w:r>
                        <w:r>
                          <w:rPr>
                            <w:rFonts w:hint="eastAsia" w:ascii="仿宋_GB2312" w:hAnsi="仿宋" w:eastAsia="仿宋_GB2312"/>
                          </w:rPr>
                          <w:t>测</w:t>
                        </w:r>
                      </w:p>
                    </w:txbxContent>
                  </v:textbox>
                </v:shape>
                <v:shape id="_x0000_s1026" o:spid="_x0000_s1026" o:spt="202" type="#_x0000_t202" style="position:absolute;left:2933700;top:2080260;height:266700;width:2200275;" fillcolor="#FFFFFF" filled="t" stroked="t" coordsize="21600,21600" o:gfxdata="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pStrWAAAABgEAAA8AAAAAAAAA&#10;AQAgAAAAIgAAAGRycy9kb3ducmV2LnhtbFBLAQIUABQAAAAIAIdO4kB+6uZwEwIAAEYEAAAOAAAA&#10;AAAAAAEAIAAAACUBAABkcnMvZTJvRG9jLnhtbFBLBQYAAAAABgAGAFkBAACqBQAAAAA=&#10;">
                  <v:fill on="t" focussize="0,0"/>
                  <v:stroke color="#000000" joinstyle="miter"/>
                  <v:imagedata o:title=""/>
                  <o:lock v:ext="edit" aspectratio="f"/>
                  <v:textbox>
                    <w:txbxContent>
                      <w:p>
                        <w:pPr>
                          <w:jc w:val="center"/>
                          <w:rPr>
                            <w:rFonts w:ascii="仿宋_GB2312" w:hAnsi="仿宋" w:eastAsia="仿宋_GB2312"/>
                          </w:rPr>
                        </w:pPr>
                        <w:r>
                          <w:rPr>
                            <w:rFonts w:hint="eastAsia" w:ascii="仿宋_GB2312" w:hAnsi="仿宋" w:eastAsia="仿宋_GB2312"/>
                            <w:szCs w:val="21"/>
                          </w:rPr>
                          <w:t>普查、抽样调查、巡查、样方</w:t>
                        </w:r>
                        <w:r>
                          <w:rPr>
                            <w:rFonts w:hint="eastAsia" w:ascii="仿宋_GB2312" w:hAnsi="仿宋" w:eastAsia="仿宋_GB2312"/>
                          </w:rPr>
                          <w:t>调查</w:t>
                        </w:r>
                      </w:p>
                    </w:txbxContent>
                  </v:textbox>
                </v:shape>
                <v:shape id="文本框 165" o:spid="_x0000_s1026" o:spt="202" type="#_x0000_t202" style="position:absolute;left:1924050;top:2828925;height:266700;width:1847850;" fillcolor="#FFFFFF" filled="t" stroked="t" coordsize="21600,21600" o:gfxdata="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T6lK2tYAAAAGAQAADwAA&#10;AAAAAAABACAAAAAiAAAAZHJzL2Rvd25yZXYueG1sUEsBAhQAFAAAAAgAh07iQOtUP10YAgAARgQA&#10;AA4AAAAAAAAAAQAgAAAAJQEAAGRycy9lMm9Eb2MueG1sUEsFBgAAAAAGAAYAWQEAAK8FAAAAAA==&#10;">
                  <v:fill on="t" focussize="0,0"/>
                  <v:stroke color="#000000" joinstyle="miter"/>
                  <v:imagedata o:title=""/>
                  <o:lock v:ext="edit" aspectratio="f"/>
                  <v:textbox>
                    <w:txbxContent>
                      <w:p>
                        <w:pPr>
                          <w:jc w:val="center"/>
                          <w:rPr>
                            <w:rFonts w:ascii="仿宋_GB2312" w:hAnsi="仿宋" w:eastAsia="仿宋_GB2312"/>
                            <w:szCs w:val="21"/>
                          </w:rPr>
                        </w:pPr>
                        <w:r>
                          <w:rPr>
                            <w:rFonts w:hint="eastAsia" w:ascii="仿宋_GB2312" w:hAnsi="仿宋" w:eastAsia="仿宋_GB2312"/>
                            <w:szCs w:val="21"/>
                          </w:rPr>
                          <w:t>实施监测</w:t>
                        </w:r>
                      </w:p>
                    </w:txbxContent>
                  </v:textbox>
                </v:shape>
                <v:shape id="_x0000_s1026" o:spid="_x0000_s1026" o:spt="202" type="#_x0000_t202" style="position:absolute;left:44450;top:3562350;height:398145;width:735330;" fillcolor="#FFFFFF" filled="t" stroked="t" coordsize="21600,21600" o:gfxdata="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d5SB+1gAAAAYBAAAPAAAAAAAAAAEAIAAAACIAAABkcnMvZG93bnJldi54bWxQSwECFAAUAAAA&#10;CACHTuJAGi5CvCkCAABvBAAADgAAAAAAAAABACAAAAAlAQAAZHJzL2Uyb0RvYy54bWxQSwUGAAAA&#10;AAYABgBZAQAAwAUAAAAA&#10;">
                  <v:fill on="t" focussize="0,0"/>
                  <v:stroke color="#000000" joinstyle="miter"/>
                  <v:imagedata o:title=""/>
                  <o:lock v:ext="edit" aspectratio="f"/>
                  <v:textbox inset="0.5mm,0mm,0.5mm,0mm">
                    <w:txbxContent>
                      <w:p>
                        <w:pPr>
                          <w:spacing w:line="300" w:lineRule="exact"/>
                          <w:jc w:val="center"/>
                          <w:rPr>
                            <w:rFonts w:ascii="仿宋_GB2312" w:hAnsi="仿宋" w:eastAsia="仿宋_GB2312"/>
                            <w:sz w:val="18"/>
                            <w:szCs w:val="21"/>
                          </w:rPr>
                        </w:pPr>
                        <w:r>
                          <w:rPr>
                            <w:rFonts w:hint="eastAsia" w:ascii="仿宋_GB2312" w:hAnsi="仿宋" w:eastAsia="仿宋_GB2312"/>
                            <w:sz w:val="18"/>
                            <w:szCs w:val="21"/>
                          </w:rPr>
                          <w:t>水土流失影响因素监测</w:t>
                        </w:r>
                      </w:p>
                    </w:txbxContent>
                  </v:textbox>
                </v:shape>
                <v:shape id="_x0000_s1026" o:spid="_x0000_s1026" o:spt="202" type="#_x0000_t202" style="position:absolute;left:1876425;top:4629150;height:266700;width:1847850;" fillcolor="#FFFFFF" filled="t" stroked="t" coordsize="21600,21600" o:gfxdata="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PqUra1gAAAAYBAAAPAAAA&#10;AAAAAAEAIAAAACIAAABkcnMvZG93bnJldi54bWxQSwECFAAUAAAACACHTuJAQK4YrhcCAABGBAAA&#10;DgAAAAAAAAABACAAAAAlAQAAZHJzL2Uyb0RvYy54bWxQSwUGAAAAAAYABgBZAQAArgUAAAAA&#10;">
                  <v:fill on="t" focussize="0,0"/>
                  <v:stroke color="#000000" joinstyle="miter"/>
                  <v:imagedata o:title=""/>
                  <o:lock v:ext="edit" aspectratio="f"/>
                  <v:textbox>
                    <w:txbxContent>
                      <w:p>
                        <w:pPr>
                          <w:jc w:val="center"/>
                          <w:rPr>
                            <w:rFonts w:ascii="仿宋_GB2312" w:hAnsi="仿宋" w:eastAsia="仿宋_GB2312"/>
                            <w:szCs w:val="21"/>
                          </w:rPr>
                        </w:pPr>
                        <w:r>
                          <w:rPr>
                            <w:rFonts w:hint="eastAsia" w:ascii="仿宋_GB2312" w:hAnsi="仿宋" w:eastAsia="仿宋_GB2312"/>
                            <w:szCs w:val="21"/>
                          </w:rPr>
                          <w:t>监测资料整理、汇总分析</w:t>
                        </w:r>
                      </w:p>
                    </w:txbxContent>
                  </v:textbox>
                </v:shape>
                <v:shape id="文本框 168" o:spid="_x0000_s1026" o:spt="202" type="#_x0000_t202" style="position:absolute;left:1876425;top:5143500;height:266700;width:1847850;" fillcolor="#FFFFFF" filled="t" stroked="t" coordsize="21600,21600" o:gfxdata="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pStrWAAAABgEAAA8AAAAA&#10;AAAAAQAgAAAAIgAAAGRycy9kb3ducmV2LnhtbFBLAQIUABQAAAAIAIdO4kD1/RQgFgIAAEYEAAAO&#10;AAAAAAAAAAEAIAAAACUBAABkcnMvZTJvRG9jLnhtbFBLBQYAAAAABgAGAFkBAACtBQAAAAA=&#10;">
                  <v:fill on="t" focussize="0,0"/>
                  <v:stroke color="#000000" joinstyle="miter"/>
                  <v:imagedata o:title=""/>
                  <o:lock v:ext="edit" aspectratio="f"/>
                  <v:textbox>
                    <w:txbxContent>
                      <w:p>
                        <w:pPr>
                          <w:jc w:val="center"/>
                          <w:rPr>
                            <w:rFonts w:ascii="仿宋_GB2312" w:hAnsi="仿宋" w:eastAsia="仿宋_GB2312"/>
                            <w:color w:val="0070C0"/>
                            <w:szCs w:val="21"/>
                          </w:rPr>
                        </w:pPr>
                        <w:r>
                          <w:rPr>
                            <w:rFonts w:hint="eastAsia" w:ascii="仿宋_GB2312" w:hAnsi="仿宋" w:eastAsia="仿宋_GB2312"/>
                            <w:szCs w:val="21"/>
                          </w:rPr>
                          <w:t>监测季度及年度报告</w:t>
                        </w:r>
                      </w:p>
                    </w:txbxContent>
                  </v:textbox>
                </v:shape>
                <v:shape id="_x0000_s1026" o:spid="_x0000_s1026" o:spt="202" type="#_x0000_t202" style="position:absolute;left:1876425;top:5686425;height:266700;width:1847850;" fillcolor="#FFFFFF" filled="t" stroked="t" coordsize="21600,21600" o:gfxdata="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pStrWAAAABgEAAA8AAAAA&#10;AAAAAQAgAAAAIgAAAGRycy9kb3ducmV2LnhtbFBLAQIUABQAAAAIAIdO4kDepHmzFgIAAEYEAAAO&#10;AAAAAAAAAAEAIAAAACUBAABkcnMvZTJvRG9jLnhtbFBLBQYAAAAABgAGAFkBAACtBQAAAAA=&#10;">
                  <v:fill on="t" focussize="0,0"/>
                  <v:stroke color="#000000" joinstyle="miter"/>
                  <v:imagedata o:title=""/>
                  <o:lock v:ext="edit" aspectratio="f"/>
                  <v:textbox>
                    <w:txbxContent>
                      <w:p>
                        <w:pPr>
                          <w:jc w:val="center"/>
                          <w:rPr>
                            <w:rFonts w:ascii="仿宋_GB2312" w:hAnsi="仿宋" w:eastAsia="仿宋_GB2312"/>
                            <w:szCs w:val="21"/>
                          </w:rPr>
                        </w:pPr>
                        <w:r>
                          <w:rPr>
                            <w:rFonts w:hint="eastAsia" w:ascii="仿宋_GB2312" w:hAnsi="仿宋" w:eastAsia="仿宋_GB2312"/>
                            <w:szCs w:val="21"/>
                          </w:rPr>
                          <w:t>监测成果汇总与评价</w:t>
                        </w:r>
                      </w:p>
                    </w:txbxContent>
                  </v:textbox>
                </v:shape>
                <v:shape id="文本框 170" o:spid="_x0000_s1026" o:spt="202" type="#_x0000_t202" style="position:absolute;left:2000250;top:6448425;height:266700;width:895350;" fillcolor="#FFFFFF" filled="t" stroked="t" coordsize="21600,21600" o:gfxdata="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pStrWAAAABgEAAA8A&#10;AAAAAAAAAQAgAAAAIgAAAGRycy9kb3ducmV2LnhtbFBLAQIUABQAAAAIAIdO4kCpgHjcGQIAAEUE&#10;AAAOAAAAAAAAAAEAIAAAACUBAABkcnMvZTJvRG9jLnhtbFBLBQYAAAAABgAGAFkBAACwBQAAAAA=&#10;">
                  <v:fill on="t" focussize="0,0"/>
                  <v:stroke color="#000000" joinstyle="miter"/>
                  <v:imagedata o:title=""/>
                  <o:lock v:ext="edit" aspectratio="f"/>
                  <v:textbox>
                    <w:txbxContent>
                      <w:p>
                        <w:pPr>
                          <w:jc w:val="center"/>
                          <w:rPr>
                            <w:rFonts w:ascii="仿宋_GB2312" w:hAnsi="仿宋" w:eastAsia="仿宋_GB2312"/>
                          </w:rPr>
                        </w:pPr>
                        <w:r>
                          <w:rPr>
                            <w:rFonts w:hint="eastAsia" w:ascii="仿宋_GB2312" w:hAnsi="仿宋" w:eastAsia="仿宋_GB2312"/>
                            <w:szCs w:val="21"/>
                          </w:rPr>
                          <w:t>监测记录</w:t>
                        </w:r>
                        <w:r>
                          <w:rPr>
                            <w:rFonts w:hint="eastAsia" w:ascii="仿宋_GB2312" w:hAnsi="仿宋" w:eastAsia="仿宋_GB2312"/>
                          </w:rPr>
                          <w:t>表</w:t>
                        </w:r>
                      </w:p>
                    </w:txbxContent>
                  </v:textbox>
                </v:shape>
                <v:shape id="文本框 171" o:spid="_x0000_s1026" o:spt="202" type="#_x0000_t202" style="position:absolute;left:2952750;top:6448425;height:266700;width:1019175;" fillcolor="#FFFFFF" filled="t" stroked="t" coordsize="21600,21600" o:gfxdata="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pStrWAAAABgEAAA8A&#10;AAAAAAAAAQAgAAAAIgAAAGRycy9kb3ducmV2LnhtbFBLAQIUABQAAAAIAIdO4kBJlMoSGQIAAEYE&#10;AAAOAAAAAAAAAAEAIAAAACUBAABkcnMvZTJvRG9jLnhtbFBLBQYAAAAABgAGAFkBAACwBQAAAAA=&#10;">
                  <v:fill on="t" focussize="0,0"/>
                  <v:stroke color="#000000" joinstyle="miter"/>
                  <v:imagedata o:title=""/>
                  <o:lock v:ext="edit" aspectratio="f"/>
                  <v:textbox>
                    <w:txbxContent>
                      <w:p>
                        <w:pPr>
                          <w:jc w:val="center"/>
                          <w:rPr>
                            <w:rFonts w:ascii="仿宋_GB2312" w:hAnsi="仿宋" w:eastAsia="仿宋_GB2312"/>
                          </w:rPr>
                        </w:pPr>
                        <w:r>
                          <w:rPr>
                            <w:rFonts w:hint="eastAsia" w:ascii="仿宋_GB2312" w:hAnsi="仿宋" w:eastAsia="仿宋_GB2312"/>
                            <w:szCs w:val="21"/>
                          </w:rPr>
                          <w:t>监测影像资</w:t>
                        </w:r>
                        <w:r>
                          <w:rPr>
                            <w:rFonts w:hint="eastAsia" w:ascii="仿宋_GB2312" w:hAnsi="仿宋" w:eastAsia="仿宋_GB2312"/>
                          </w:rPr>
                          <w:t>料</w:t>
                        </w:r>
                      </w:p>
                    </w:txbxContent>
                  </v:textbox>
                </v:shape>
                <v:shape id="_x0000_s1026" o:spid="_x0000_s1026" o:spt="202" type="#_x0000_t202" style="position:absolute;left:4029075;top:6448425;height:266700;width:1171575;" fillcolor="#FFFFFF" filled="t" stroked="t" coordsize="21600,21600" o:gfxdata="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T6lK2tYAAAAGAQAADwAA&#10;AAAAAAABACAAAAAiAAAAZHJzL2Rvd25yZXYueG1sUEsBAhQAFAAAAAgAh07iQHoSb/MYAgAARgQA&#10;AA4AAAAAAAAAAQAgAAAAJQEAAGRycy9lMm9Eb2MueG1sUEsFBgAAAAAGAAYAWQEAAK8FAAAAAA==&#10;">
                  <v:fill on="t" focussize="0,0"/>
                  <v:stroke color="#000000" joinstyle="miter"/>
                  <v:imagedata o:title=""/>
                  <o:lock v:ext="edit" aspectratio="f"/>
                  <v:textbox>
                    <w:txbxContent>
                      <w:p>
                        <w:pPr>
                          <w:jc w:val="center"/>
                          <w:rPr>
                            <w:rFonts w:ascii="仿宋_GB2312" w:hAnsi="仿宋" w:eastAsia="仿宋_GB2312"/>
                            <w:szCs w:val="21"/>
                          </w:rPr>
                        </w:pPr>
                        <w:r>
                          <w:rPr>
                            <w:rFonts w:hint="eastAsia" w:ascii="仿宋_GB2312" w:hAnsi="仿宋" w:eastAsia="仿宋_GB2312"/>
                            <w:szCs w:val="21"/>
                          </w:rPr>
                          <w:t>监测汇报材料</w:t>
                        </w:r>
                      </w:p>
                    </w:txbxContent>
                  </v:textbox>
                </v:shape>
                <v:shape id="_x0000_s1026" o:spid="_x0000_s1026" o:spt="202" type="#_x0000_t202" style="position:absolute;left:0;top:6448425;height:266700;width:1943100;" fillcolor="#FFFFFF" filled="t" stroked="t" coordsize="21600,21600" o:gfxdata="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T6lK2tYAAAAGAQAADwAAAAAAAAAB&#10;ACAAAAAiAAAAZHJzL2Rvd25yZXYueG1sUEsBAhQAFAAAAAgAh07iQJdeOAESAgAAQAQAAA4AAAAA&#10;AAAAAQAgAAAAJQEAAGRycy9lMm9Eb2MueG1sUEsFBgAAAAAGAAYAWQEAAKkFAAAAAA==&#10;">
                  <v:fill on="t" focussize="0,0"/>
                  <v:stroke color="#000000" joinstyle="miter"/>
                  <v:imagedata o:title=""/>
                  <o:lock v:ext="edit" aspectratio="f"/>
                  <v:textbox>
                    <w:txbxContent>
                      <w:p>
                        <w:pPr>
                          <w:jc w:val="center"/>
                          <w:rPr>
                            <w:rFonts w:ascii="仿宋_GB2312" w:hAnsi="仿宋" w:eastAsia="仿宋_GB2312"/>
                          </w:rPr>
                        </w:pPr>
                        <w:r>
                          <w:rPr>
                            <w:rFonts w:hint="eastAsia" w:ascii="仿宋_GB2312" w:hAnsi="仿宋" w:eastAsia="仿宋_GB2312"/>
                            <w:szCs w:val="21"/>
                          </w:rPr>
                          <w:t>编写监测总结报告及相关图</w:t>
                        </w:r>
                        <w:r>
                          <w:rPr>
                            <w:rFonts w:hint="eastAsia" w:ascii="仿宋_GB2312" w:hAnsi="仿宋" w:eastAsia="仿宋_GB2312"/>
                          </w:rPr>
                          <w:t>件</w:t>
                        </w:r>
                      </w:p>
                    </w:txbxContent>
                  </v:textbox>
                </v:shape>
                <v:shape id="_x0000_s1026" o:spid="_x0000_s1026" o:spt="202" type="#_x0000_t202" style="position:absolute;left:1809750;top:7019925;height:266700;width:1847850;" fillcolor="#FFFFFF" filled="t" stroked="t" coordsize="21600,21600" o:gfxdata="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pStrWAAAABgEAAA8AAAAA&#10;AAAAAQAgAAAAIgAAAGRycy9kb3ducmV2LnhtbFBLAQIUABQAAAAIAIdO4kB56iDdFgIAAEYEAAAO&#10;AAAAAAAAAAEAIAAAACUBAABkcnMvZTJvRG9jLnhtbFBLBQYAAAAABgAGAFkBAACtBQAAAAA=&#10;">
                  <v:fill on="t" focussize="0,0"/>
                  <v:stroke color="#000000" joinstyle="miter"/>
                  <v:imagedata o:title=""/>
                  <o:lock v:ext="edit" aspectratio="f"/>
                  <v:textbox>
                    <w:txbxContent>
                      <w:p>
                        <w:pPr>
                          <w:jc w:val="center"/>
                          <w:rPr>
                            <w:rFonts w:ascii="仿宋_GB2312" w:hAnsi="仿宋" w:eastAsia="仿宋_GB2312"/>
                          </w:rPr>
                        </w:pPr>
                        <w:r>
                          <w:rPr>
                            <w:rFonts w:hint="eastAsia" w:ascii="仿宋_GB2312" w:hAnsi="仿宋" w:eastAsia="仿宋_GB2312"/>
                            <w:szCs w:val="21"/>
                          </w:rPr>
                          <w:t>提交监测成果</w:t>
                        </w:r>
                      </w:p>
                    </w:txbxContent>
                  </v:textbox>
                </v:shape>
                <v:shape id="_x0000_s1026" o:spid="_x0000_s1026" o:spt="202" type="#_x0000_t202" style="position:absolute;left:1809750;top:7553325;height:266700;width:971550;" fillcolor="#FFFFFF" filled="t" stroked="t" coordsize="21600,21600" o:gfxdata="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PqUra1gAAAAYBAAAPAAAA&#10;AAAAAAEAIAAAACIAAABkcnMvZG93bnJldi54bWxQSwECFAAUAAAACACHTuJAl78G+RcCAABFBAAA&#10;DgAAAAAAAAABACAAAAAlAQAAZHJzL2Uyb0RvYy54bWxQSwUGAAAAAAYABgBZAQAArgUAAAAA&#10;">
                  <v:fill on="t" focussize="0,0"/>
                  <v:stroke color="#000000" joinstyle="miter"/>
                  <v:imagedata o:title=""/>
                  <o:lock v:ext="edit" aspectratio="f"/>
                  <v:textbox>
                    <w:txbxContent>
                      <w:p>
                        <w:pPr>
                          <w:jc w:val="center"/>
                          <w:rPr>
                            <w:rFonts w:ascii="仿宋_GB2312" w:hAnsi="仿宋" w:eastAsia="仿宋_GB2312"/>
                          </w:rPr>
                        </w:pPr>
                        <w:r>
                          <w:rPr>
                            <w:rFonts w:hint="eastAsia" w:ascii="仿宋_GB2312" w:hAnsi="仿宋" w:eastAsia="仿宋_GB2312"/>
                            <w:szCs w:val="21"/>
                          </w:rPr>
                          <w:t>备案</w:t>
                        </w:r>
                      </w:p>
                    </w:txbxContent>
                  </v:textbox>
                </v:shape>
                <v:shape id="_x0000_s1026" o:spid="_x0000_s1026" o:spt="202" type="#_x0000_t202" style="position:absolute;left:3257550;top:7553325;height:266700;width:1114425;" fillcolor="#FFFFFF" filled="t" stroked="t" coordsize="21600,21600" o:gfxdata="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pStrWAAAABgEAAA8AAAAA&#10;AAAAAQAgAAAAIgAAAGRycy9kb3ducmV2LnhtbFBLAQIUABQAAAAIAIdO4kAK1XDGFgIAAEYEAAAO&#10;AAAAAAAAAAEAIAAAACUBAABkcnMvZTJvRG9jLnhtbFBLBQYAAAAABgAGAFkBAACtBQAAAAA=&#10;">
                  <v:fill on="t" focussize="0,0"/>
                  <v:stroke color="#000000" joinstyle="miter"/>
                  <v:imagedata o:title=""/>
                  <o:lock v:ext="edit" aspectratio="f"/>
                  <v:textbox>
                    <w:txbxContent>
                      <w:p>
                        <w:pPr>
                          <w:jc w:val="center"/>
                          <w:rPr>
                            <w:rFonts w:ascii="仿宋_GB2312" w:hAnsi="仿宋" w:eastAsia="仿宋_GB2312"/>
                          </w:rPr>
                        </w:pPr>
                        <w:r>
                          <w:rPr>
                            <w:rFonts w:hint="eastAsia" w:ascii="仿宋_GB2312" w:hAnsi="仿宋" w:eastAsia="仿宋_GB2312"/>
                            <w:szCs w:val="21"/>
                          </w:rPr>
                          <w:t>竣工验收依据</w:t>
                        </w:r>
                      </w:p>
                    </w:txbxContent>
                  </v:textbox>
                </v:shape>
                <v:line id="_x0000_s1026" o:spid="_x0000_s1026" o:spt="20" style="position:absolute;left:2867025;top:333375;height:257175;width:0;" filled="f" stroked="t" coordsize="21600,21600" o:gfxdata="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rovey2AAAAAYBAAAPAAAAAAAAAAEAIAAAACIAAABkcnMvZG93&#10;bnJldi54bWxQSwECFAAUAAAACACHTuJA/2yqTgACAADqAwAADgAAAAAAAAABACAAAAAnAQAAZHJz&#10;L2Uyb0RvYy54bWxQSwUGAAAAAAYABgBZAQAAmQUAAAAA&#10;">
                  <v:fill on="f" focussize="0,0"/>
                  <v:stroke color="#000000" joinstyle="round" endarrow="block"/>
                  <v:imagedata o:title=""/>
                  <o:lock v:ext="edit" aspectratio="f"/>
                </v:line>
                <v:line id="_x0000_s1026" o:spid="_x0000_s1026" o:spt="20" style="position:absolute;left:2867025;top:857250;height:257175;width:635;" filled="f" stroked="t" coordsize="21600,21600" o:gfxdata="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rovey2AAAAAYBAAAPAAAAAAAAAAEAIAAAACIAAABkcnMvZG93&#10;bnJldi54bWxQSwECFAAUAAAACACHTuJAHsbQOwACAADsAwAADgAAAAAAAAABACAAAAAnAQAAZHJz&#10;L2Uyb0RvYy54bWxQSwUGAAAAAAYABgBZAQAAmQUAAAAA&#10;">
                  <v:fill on="f" focussize="0,0"/>
                  <v:stroke color="#000000" joinstyle="round" endarrow="block"/>
                  <v:imagedata o:title=""/>
                  <o:lock v:ext="edit" aspectratio="f"/>
                </v:line>
                <v:line id="_x0000_s1026" o:spid="_x0000_s1026" o:spt="20" style="position:absolute;left:2867025;top:1381125;height:276225;width:635;" filled="f" stroked="t" coordsize="21600,21600" o:gfxdata="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ui97LYAAAABgEAAA8AAAAAAAAAAQAgAAAAIgAAAGRycy9k&#10;b3ducmV2LnhtbFBLAQIUABQAAAAIAIdO4kCamQXJAgIAAO0DAAAOAAAAAAAAAAEAIAAAACcBAABk&#10;cnMvZTJvRG9jLnhtbFBLBQYAAAAABgAGAFkBAACbBQAAAAA=&#10;">
                  <v:fill on="f" focussize="0,0"/>
                  <v:stroke color="#000000" joinstyle="round" endarrow="block"/>
                  <v:imagedata o:title=""/>
                  <o:lock v:ext="edit" aspectratio="f"/>
                </v:line>
                <v:line id="_x0000_s1026" o:spid="_x0000_s1026" o:spt="20" style="position:absolute;left:1571625;top:1819275;flip:x;height:635;width:352425;" filled="f" stroked="t" coordsize="21600,21600" o:gfxdata="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BfRsn2AAAAAYBAAAPAAAAAAAAAAEAIAAAACIA&#10;AABkcnMvZG93bnJldi54bWxQSwECFAAUAAAACACHTuJAey1fQQkCAAD3AwAADgAAAAAAAAABACAA&#10;AAAnAQAAZHJzL2Uyb0RvYy54bWxQSwUGAAAAAAYABgBZAQAAogUAAAAA&#10;">
                  <v:fill on="f" focussize="0,0"/>
                  <v:stroke color="#000000" joinstyle="round" endarrow="block"/>
                  <v:imagedata o:title=""/>
                  <o:lock v:ext="edit" aspectratio="f"/>
                </v:line>
                <v:line id="_x0000_s1026" o:spid="_x0000_s1026" o:spt="20" style="position:absolute;left:3771900;top:1783080;height:635;width:295275;" filled="f" stroked="t" coordsize="21600,21600" o:gfxdata="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6L3stgAAAAGAQAADwAAAAAAAAABACAAAAAiAAAAZHJzL2Rv&#10;d25yZXYueG1sUEsBAhQAFAAAAAgAh07iQC7PvvIBAgAA7QMAAA4AAAAAAAAAAQAgAAAAJwEAAGRy&#10;cy9lMm9Eb2MueG1sUEsFBgAAAAAGAAYAWQEAAJoFAAAAAA==&#10;">
                  <v:fill on="f" focussize="0,0"/>
                  <v:stroke color="#000000" joinstyle="round" endarrow="block"/>
                  <v:imagedata o:title=""/>
                  <o:lock v:ext="edit" aspectratio="f"/>
                </v:line>
                <v:line id="_x0000_s1026" o:spid="_x0000_s1026" o:spt="20" style="position:absolute;left:1076325;top:1924050;height:219075;width:0;" filled="f" stroked="t" coordsize="21600,21600" o:gfxdata="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ui97LYAAAABgEAAA8AAAAAAAAAAQAgAAAAIgAAAGRycy9kb3du&#10;cmV2LnhtbFBLAQIUABQAAAAIAIdO4kBrY7wa/wEAAOsDAAAOAAAAAAAAAAEAIAAAACcBAABkcnMv&#10;ZTJvRG9jLnhtbFBLBQYAAAAABgAGAFkBAACYBQAAAAA=&#10;">
                  <v:fill on="f" focussize="0,0"/>
                  <v:stroke color="#000000" joinstyle="round" endarrow="block"/>
                  <v:imagedata o:title=""/>
                  <o:lock v:ext="edit" aspectratio="f"/>
                </v:line>
                <v:line id="_x0000_s1026" o:spid="_x0000_s1026" o:spt="20" style="position:absolute;left:4534535;top:1914525;flip:x;height:191135;width:8890;" filled="f" stroked="t" coordsize="21600,21600" o:gfxdata="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F9GyfYAAAABgEAAA8AAAAAAAAAAQAgAAAAIgAA&#10;AGRycy9kb3ducmV2LnhtbFBLAQIUABQAAAAIAIdO4kC8u/+GCAIAAPgDAAAOAAAAAAAAAAEAIAAA&#10;ACcBAABkcnMvZTJvRG9jLnhtbFBLBQYAAAAABgAGAFkBAAChBQAAAAA=&#10;">
                  <v:fill on="f" focussize="0,0"/>
                  <v:stroke color="#000000" joinstyle="round" endarrow="block"/>
                  <v:imagedata o:title=""/>
                  <o:lock v:ext="edit" aspectratio="f"/>
                </v:line>
                <v:shape id="_x0000_s1026" o:spid="_x0000_s1026" o:spt="34" type="#_x0000_t34" style="position:absolute;left:2623185;top:787400;flip:x y;height:3009900;width:62865;rotation:5898240f;" filled="f" stroked="t" coordsize="21600,21600" o:gfxdata="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JwX8p7UAAAABgEAAA8AAAAAAAAAAQAgAAAAIgAAAGRycy9kb3du&#10;cmV2LnhtbFBLAQIUABQAAAAIAIdO4kB3fcnxPAIAAFAEAAAOAAAAAAAAAAEAIAAAACMBAABkcnMv&#10;ZTJvRG9jLnhtbFBLBQYAAAAABgAGAFkBAADRBQAAAAA=&#10;" adj="-78545">
                  <v:fill on="f" focussize="0,0"/>
                  <v:stroke color="#000000" joinstyle="miter"/>
                  <v:imagedata o:title=""/>
                  <o:lock v:ext="edit" aspectratio="f"/>
                </v:shape>
                <v:line id="_x0000_s1026" o:spid="_x0000_s1026" o:spt="20" style="position:absolute;left:2867025;top:2628900;height:200025;width:0;" filled="f" stroked="t" coordsize="21600,21600" o:gfxdata="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ui97LYAAAABgEAAA8AAAAAAAAAAQAgAAAAIgAAAGRycy9kb3ducmV2&#10;LnhtbFBLAQIUABQAAAAIAIdO4kCNRl5g/AEAAOsDAAAOAAAAAAAAAAEAIAAAACcBAABkcnMvZTJv&#10;RG9jLnhtbFBLBQYAAAAABgAGAFkBAACVBQAAAAA=&#10;">
                  <v:fill on="f" focussize="0,0"/>
                  <v:stroke color="#000000" joinstyle="round" endarrow="block"/>
                  <v:imagedata o:title=""/>
                  <o:lock v:ext="edit" aspectratio="f"/>
                </v:line>
                <v:line id="_x0000_s1026" o:spid="_x0000_s1026" o:spt="20" style="position:absolute;left:2867025;top:3095625;height:338455;width:635;" filled="f" stroked="t" coordsize="21600,21600" o:gfxdata="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rovey2AAAAAYBAAAPAAAAAAAAAAEAIAAAACIAAABkcnMv&#10;ZG93bnJldi54bWxQSwECFAAUAAAACACHTuJAcy4OBwMCAADtAwAADgAAAAAAAAABACAAAAAnAQAA&#10;ZHJzL2Uyb0RvYy54bWxQSwUGAAAAAAYABgBZAQAAnAUAAAAA&#10;">
                  <v:fill on="f" focussize="0,0"/>
                  <v:stroke color="#000000" joinstyle="round" endarrow="block"/>
                  <v:imagedata o:title=""/>
                  <o:lock v:ext="edit" aspectratio="f"/>
                </v:line>
                <v:line id="_x0000_s1026" o:spid="_x0000_s1026" o:spt="20" style="position:absolute;left:2781300;top:4161790;height:467360;width:635;" filled="f" stroked="t" coordsize="21600,21600" o:gfxdata="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ui97LYAAAABgEAAA8AAAAAAAAAAQAgAAAAIgAAAGRy&#10;cy9kb3ducmV2LnhtbFBLAQIUABQAAAAIAIdO4kBR2dY9BQIAAO0DAAAOAAAAAAAAAAEAIAAAACcB&#10;AABkcnMvZTJvRG9jLnhtbFBLBQYAAAAABgAGAFkBAACeBQAAAAA=&#10;">
                  <v:fill on="f" focussize="0,0"/>
                  <v:stroke color="#000000" joinstyle="round" endarrow="block"/>
                  <v:imagedata o:title=""/>
                  <o:lock v:ext="edit" aspectratio="f"/>
                </v:line>
                <v:line id="_x0000_s1026" o:spid="_x0000_s1026" o:spt="20" style="position:absolute;left:2781300;top:4895850;height:247650;width:635;" filled="f" stroked="t" coordsize="21600,21600" o:gfxdata="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&#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ui97LYAAAABgEAAA8AAAAAAAAAAQAgAAAAIgAAAGRy&#10;cy9kb3ducmV2LnhtbFBLAQIUABQAAAAIAIdO4kAApP/5BQIAAO0DAAAOAAAAAAAAAAEAIAAAACcB&#10;AABkcnMvZTJvRG9jLnhtbFBLBQYAAAAABgAGAFkBAACeBQAAAAA=&#10;">
                  <v:fill on="f" focussize="0,0"/>
                  <v:stroke color="#000000" joinstyle="round" endarrow="block"/>
                  <v:imagedata o:title=""/>
                  <o:lock v:ext="edit" aspectratio="f"/>
                </v:line>
                <v:line id="_x0000_s1026" o:spid="_x0000_s1026" o:spt="20" style="position:absolute;left:2781300;top:5410200;height:276225;width:635;" filled="f" stroked="t" coordsize="21600,21600" o:gfxdata="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6L3stgAAAAGAQAADwAAAAAAAAABACAAAAAiAAAAZHJz&#10;L2Rvd25yZXYueG1sUEsBAhQAFAAAAAgAh07iQKcHJAsEAgAA7QMAAA4AAAAAAAAAAQAgAAAAJwEA&#10;AGRycy9lMm9Eb2MueG1sUEsFBgAAAAAGAAYAWQEAAJ0FAAAAAA==&#10;">
                  <v:fill on="f" focussize="0,0"/>
                  <v:stroke color="#000000" joinstyle="round" endarrow="block"/>
                  <v:imagedata o:title=""/>
                  <o:lock v:ext="edit" aspectratio="f"/>
                </v:line>
                <v:shape id="_x0000_s1026" o:spid="_x0000_s1026" o:spt="34" type="#_x0000_t34" style="position:absolute;left:2592705;top:4426585;flip:y;height:3643630;width:635;rotation:-5898240f;" filled="f" stroked="t" coordsize="21600,21600" o:gfxdata="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O8cqqDWAAAABgEAAA8AAAAAAAAAAQAgAAAAIgAAAGRycy9kb3du&#10;cmV2LnhtbFBLAQIUABQAAAAIAIdO4kAOCc/iOgIAAE8EAAAOAAAAAAAAAAEAIAAAACUBAABkcnMv&#10;ZTJvRG9jLnhtbFBLBQYAAAAABgAGAFkBAADRBQAAAAA=&#10;" adj="-7776000">
                  <v:fill on="f" focussize="0,0"/>
                  <v:stroke color="#000000" joinstyle="miter" startarrow="block" endarrow="block"/>
                  <v:imagedata o:title=""/>
                  <o:lock v:ext="edit" aspectratio="f"/>
                </v:shape>
                <v:line id="_x0000_s1026" o:spid="_x0000_s1026" o:spt="20" style="position:absolute;left:2781300;top:5953125;height:219075;width:635;" filled="f" stroked="t" coordsize="21600,21600" o:gfxdata="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rovey2AAAAAYBAAAPAAAAAAAAAAEAIAAAACIAAABk&#10;cnMvZG93bnJldi54bWxQSwECFAAUAAAACACHTuJAwjhxEAYCAADtAwAADgAAAAAAAAABACAAAAAn&#10;AQAAZHJzL2Uyb0RvYy54bWxQSwUGAAAAAAYABgBZAQAAnwUAAAAA&#10;">
                  <v:fill on="f" focussize="0,0"/>
                  <v:stroke color="#000000" joinstyle="round" endarrow="block"/>
                  <v:imagedata o:title=""/>
                  <o:lock v:ext="edit" aspectratio="f"/>
                </v:line>
                <v:line id="_x0000_s1026" o:spid="_x0000_s1026" o:spt="20" style="position:absolute;left:2219325;top:6715125;height:304800;width:635;" filled="f" stroked="t" coordsize="21600,21600" o:gfxdata="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6L3stgAAAAGAQAADwAAAAAAAAABACAAAAAiAAAAZHJz&#10;L2Rvd25yZXYueG1sUEsBAhQAFAAAAAgAh07iQNimdH8EAgAA7QMAAA4AAAAAAAAAAQAgAAAAJwEA&#10;AGRycy9lMm9Eb2MueG1sUEsFBgAAAAAGAAYAWQEAAJ0FAAAAAA==&#10;">
                  <v:fill on="f" focussize="0,0"/>
                  <v:stroke color="#000000" joinstyle="round" endarrow="block"/>
                  <v:imagedata o:title=""/>
                  <o:lock v:ext="edit" aspectratio="f"/>
                </v:line>
                <v:line id="_x0000_s1026" o:spid="_x0000_s1026" o:spt="20" style="position:absolute;left:3257550;top:6715125;height:304800;width:635;" filled="f" stroked="t" coordsize="21600,21600" o:gfxdata="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K6L3stgAAAAGAQAADwAAAAAAAAABACAAAAAiAAAA&#10;ZHJzL2Rvd25yZXYueG1sUEsBAhQAFAAAAAgAh07iQEdOYFAHAgAA7QMAAA4AAAAAAAAAAQAgAAAA&#10;JwEAAGRycy9lMm9Eb2MueG1sUEsFBgAAAAAGAAYAWQEAAKAFAAAAAA==&#10;">
                  <v:fill on="f" focussize="0,0"/>
                  <v:stroke color="#000000" joinstyle="round" endarrow="block"/>
                  <v:imagedata o:title=""/>
                  <o:lock v:ext="edit" aspectratio="f"/>
                </v:line>
                <v:shape id="_x0000_s1026" o:spid="_x0000_s1026" o:spt="33" type="#_x0000_t33" style="position:absolute;left:1171575;top:6515100;flip:x;height:838200;width:438150;rotation:5898240f;" filled="f" stroked="t" coordsize="21600,21600" o:gfxdata="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YjBsi1wAAAAYBAAAPAAAAAAAAAAEAIAAAACIAAABkcnMvZG93bnJldi54bWxQSwECFAAUAAAA&#10;CACHTuJAR1+OmCgCAAAdBAAADgAAAAAAAAABACAAAAAmAQAAZHJzL2Uyb0RvYy54bWxQSwUGAAAA&#10;AAYABgBZAQAAwAUAAAAA&#10;">
                  <v:fill on="f" focussize="0,0"/>
                  <v:stroke color="#000000" joinstyle="miter" endarrow="block"/>
                  <v:imagedata o:title=""/>
                  <o:lock v:ext="edit" aspectratio="f"/>
                </v:shape>
                <v:shape id="_x0000_s1026" o:spid="_x0000_s1026" o:spt="33" type="#_x0000_t33" style="position:absolute;left:3917315;top:6455410;height:957580;width:438150;rotation:5898240f;" filled="f" stroked="t" coordsize="21600,21600" o:gfxdata="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pblg7Y&#10;AAAABgEAAA8AAAAAAAAAAQAgAAAAIgAAAGRycy9kb3ducmV2LnhtbFBLAQIUABQAAAAIAIdO4kAb&#10;oMlXIAIAABIEAAAOAAAAAAAAAAEAIAAAACcBAABkcnMvZTJvRG9jLnhtbFBLBQYAAAAABgAGAFkB&#10;AAC5BQAAAAA=&#10;">
                  <v:fill on="f" focussize="0,0"/>
                  <v:stroke color="#000000" joinstyle="miter" endarrow="block"/>
                  <v:imagedata o:title=""/>
                  <o:lock v:ext="edit" aspectratio="f"/>
                </v:shape>
                <v:line id="_x0000_s1026" o:spid="_x0000_s1026" o:spt="20" style="position:absolute;left:2219325;top:7286625;height:266700;width:635;" filled="f" stroked="t" coordsize="21600,21600" o:gfxdata="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6L3stgAAAAGAQAADwAAAAAAAAABACAAAAAiAAAAZHJz&#10;L2Rvd25yZXYueG1sUEsBAhQAFAAAAAgAh07iQMZ/77IEAgAA7QMAAA4AAAAAAAAAAQAgAAAAJwEA&#10;AGRycy9lMm9Eb2MueG1sUEsFBgAAAAAGAAYAWQEAAJ0FAAAAAA==&#10;">
                  <v:fill on="f" focussize="0,0"/>
                  <v:stroke color="#000000" joinstyle="round" endarrow="block"/>
                  <v:imagedata o:title=""/>
                  <o:lock v:ext="edit" aspectratio="f"/>
                </v:line>
                <v:line id="_x0000_s1026" o:spid="_x0000_s1026" o:spt="20" style="position:absolute;left:2781300;top:7686675;height:635;width:476250;" filled="f" stroked="t" coordsize="21600,21600" o:gfxdata="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&#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rovey2AAAAAYBAAAPAAAAAAAAAAEAIAAAACIAAABk&#10;cnMvZG93bnJldi54bWxQSwECFAAUAAAACACHTuJAMWFYgwYCAADtAwAADgAAAAAAAAABACAAAAAn&#10;AQAAZHJzL2Uyb0RvYy54bWxQSwUGAAAAAAYABgBZAQAAnwUAAAAA&#10;">
                  <v:fill on="f" focussize="0,0"/>
                  <v:stroke color="#000000" joinstyle="round" endarrow="block"/>
                  <v:imagedata o:title=""/>
                  <o:lock v:ext="edit" aspectratio="f"/>
                </v:line>
                <v:shape id="_x0000_s1026" o:spid="_x0000_s1026" o:spt="202" type="#_x0000_t202" style="position:absolute;left:1400175;top:8017510;height:270510;width:2638425;" fillcolor="#FFFFFF" filled="t" stroked="f" coordsize="21600,21600" o:gfxdata="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Dw8U91QAAAAYBAAAPAAAAAAAAAAEAIAAAACIAAABkcnMvZG93&#10;bnJldi54bWxQSwECFAAUAAAACACHTuJAKKYZJsoBAACHAwAADgAAAAAAAAABACAAAAAkAQAAZHJz&#10;L2Uyb0RvYy54bWxQSwUGAAAAAAYABgBZAQAAYAUAAAAA&#10;">
                  <v:fill on="t"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微软雅黑" w:cs="Times New Roman"/>
                          </w:rPr>
                        </w:pPr>
                        <w:r>
                          <w:rPr>
                            <w:rFonts w:hint="default" w:ascii="Times New Roman" w:hAnsi="Times New Roman" w:eastAsia="微软雅黑" w:cs="Times New Roman"/>
                          </w:rPr>
                          <w:t>图</w:t>
                        </w:r>
                        <w:r>
                          <w:rPr>
                            <w:rFonts w:hint="eastAsia" w:ascii="Times New Roman" w:hAnsi="Times New Roman" w:eastAsia="微软雅黑" w:cs="Times New Roman"/>
                          </w:rPr>
                          <w:t>6</w:t>
                        </w:r>
                        <w:r>
                          <w:rPr>
                            <w:rFonts w:hint="eastAsia" w:eastAsia="微软雅黑" w:cs="Times New Roman"/>
                            <w:lang w:val="en-US" w:eastAsia="zh-CN"/>
                          </w:rPr>
                          <w:t>-1</w:t>
                        </w:r>
                        <w:r>
                          <w:rPr>
                            <w:rFonts w:hint="default" w:ascii="Times New Roman" w:hAnsi="Times New Roman" w:eastAsia="微软雅黑" w:cs="Times New Roman"/>
                          </w:rPr>
                          <w:t xml:space="preserve">  水土保持监测流程图</w:t>
                        </w:r>
                      </w:p>
                    </w:txbxContent>
                  </v:textbox>
                </v:shape>
                <v:shape id="_x0000_s1026" o:spid="_x0000_s1026" o:spt="202" type="#_x0000_t202" style="position:absolute;left:836295;top:3562350;height:398145;width:735330;" fillcolor="#FFFFFF" filled="t" stroked="t" coordsize="21600,21600" o:gfxdata="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HeUgftYAAAAGAQAADwAAAAAAAAABACAAAAAiAAAAZHJzL2Rvd25yZXYueG1sUEsBAhQAFAAA&#10;AAgAh07iQG6QgqoqAgAAcAQAAA4AAAAAAAAAAQAgAAAAJQEAAGRycy9lMm9Eb2MueG1sUEsFBgAA&#10;AAAGAAYAWQEAAMEFAAAAAA==&#10;">
                  <v:fill on="t" focussize="0,0"/>
                  <v:stroke color="#000000" joinstyle="miter"/>
                  <v:imagedata o:title=""/>
                  <o:lock v:ext="edit" aspectratio="f"/>
                  <v:textbox inset="0.5mm,0mm,0.5mm,0mm">
                    <w:txbxContent>
                      <w:p>
                        <w:pPr>
                          <w:spacing w:line="300" w:lineRule="exact"/>
                          <w:jc w:val="center"/>
                          <w:rPr>
                            <w:rFonts w:ascii="仿宋_GB2312" w:hAnsi="仿宋" w:eastAsia="仿宋_GB2312"/>
                            <w:sz w:val="18"/>
                            <w:szCs w:val="21"/>
                          </w:rPr>
                        </w:pPr>
                        <w:r>
                          <w:rPr>
                            <w:rFonts w:hint="eastAsia" w:ascii="仿宋_GB2312" w:hAnsi="仿宋" w:eastAsia="仿宋_GB2312"/>
                            <w:sz w:val="18"/>
                            <w:szCs w:val="21"/>
                          </w:rPr>
                          <w:t>本底值监测</w:t>
                        </w:r>
                      </w:p>
                    </w:txbxContent>
                  </v:textbox>
                </v:shape>
                <v:shape id="_x0000_s1026" o:spid="_x0000_s1026" o:spt="202" type="#_x0000_t202" style="position:absolute;left:1612265;top:3562350;height:398145;width:735330;" fillcolor="#FFFFFF" filled="t" stroked="t" coordsize="21600,21600" o:gfxdata="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HeUgftYAAAAGAQAADwAAAAAAAAABACAAAAAiAAAAZHJzL2Rvd25yZXYueG1sUEsBAhQAFAAA&#10;AAgAh07iQG0BeBIqAgAAcQQAAA4AAAAAAAAAAQAgAAAAJQEAAGRycy9lMm9Eb2MueG1sUEsFBgAA&#10;AAAGAAYAWQEAAMEFAAAAAA==&#10;">
                  <v:fill on="t" focussize="0,0"/>
                  <v:stroke color="#000000" joinstyle="miter"/>
                  <v:imagedata o:title=""/>
                  <o:lock v:ext="edit" aspectratio="f"/>
                  <v:textbox inset="0.5mm,0mm,0.5mm,0mm">
                    <w:txbxContent>
                      <w:p>
                        <w:pPr>
                          <w:spacing w:line="300" w:lineRule="exact"/>
                          <w:jc w:val="center"/>
                          <w:rPr>
                            <w:rFonts w:ascii="仿宋_GB2312" w:hAnsi="仿宋" w:eastAsia="仿宋_GB2312"/>
                            <w:sz w:val="18"/>
                            <w:szCs w:val="21"/>
                          </w:rPr>
                        </w:pPr>
                        <w:r>
                          <w:rPr>
                            <w:rFonts w:hint="eastAsia" w:ascii="仿宋_GB2312" w:hAnsi="仿宋" w:eastAsia="仿宋_GB2312"/>
                            <w:sz w:val="18"/>
                            <w:szCs w:val="21"/>
                          </w:rPr>
                          <w:t>水土流失状况监测</w:t>
                        </w:r>
                      </w:p>
                    </w:txbxContent>
                  </v:textbox>
                </v:shape>
                <v:shape id="_x0000_s1026" o:spid="_x0000_s1026" o:spt="202" type="#_x0000_t202" style="position:absolute;left:2503805;top:3562350;height:398145;width:735330;" fillcolor="#FFFFFF" filled="t" stroked="t" coordsize="21600,21600" o:gfxdata="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3lIH7WAAAABgEAAA8AAAAAAAAAAQAgAAAAIgAAAGRycy9kb3ducmV2LnhtbFBLAQIUABQA&#10;AAAIAIdO4kCeRGSPKwIAAHEEAAAOAAAAAAAAAAEAIAAAACUBAABkcnMvZTJvRG9jLnhtbFBLBQYA&#10;AAAABgAGAFkBAADCBQAAAAA=&#10;">
                  <v:fill on="t" focussize="0,0"/>
                  <v:stroke color="#000000" joinstyle="miter"/>
                  <v:imagedata o:title=""/>
                  <o:lock v:ext="edit" aspectratio="f"/>
                  <v:textbox inset="0.5mm,0mm,0.5mm,0mm">
                    <w:txbxContent>
                      <w:p>
                        <w:pPr>
                          <w:spacing w:line="300" w:lineRule="exact"/>
                          <w:jc w:val="center"/>
                          <w:rPr>
                            <w:rFonts w:ascii="仿宋_GB2312" w:hAnsi="仿宋" w:eastAsia="仿宋_GB2312"/>
                            <w:sz w:val="18"/>
                            <w:szCs w:val="21"/>
                          </w:rPr>
                        </w:pPr>
                        <w:r>
                          <w:rPr>
                            <w:rFonts w:hint="eastAsia" w:ascii="仿宋_GB2312" w:hAnsi="仿宋" w:eastAsia="仿宋_GB2312"/>
                            <w:sz w:val="18"/>
                            <w:szCs w:val="21"/>
                          </w:rPr>
                          <w:t>扰动土地监测</w:t>
                        </w:r>
                      </w:p>
                    </w:txbxContent>
                  </v:textbox>
                </v:shape>
                <v:shape id="_x0000_s1026" o:spid="_x0000_s1026" o:spt="202" type="#_x0000_t202" style="position:absolute;left:3476625;top:3549015;height:398145;width:735330;" fillcolor="#FFFFFF" filled="t" stroked="t" coordsize="21600,21600" o:gfxdata="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HeUgftYAAAAGAQAADwAAAAAAAAABACAAAAAiAAAAZHJzL2Rvd25yZXYueG1sUEsBAhQA&#10;FAAAAAgAh07iQJDc+LctAgAAcQQAAA4AAAAAAAAAAQAgAAAAJQEAAGRycy9lMm9Eb2MueG1sUEsF&#10;BgAAAAAGAAYAWQEAAMQFAAAAAA==&#10;">
                  <v:fill on="t" focussize="0,0"/>
                  <v:stroke color="#000000" joinstyle="miter"/>
                  <v:imagedata o:title=""/>
                  <o:lock v:ext="edit" aspectratio="f"/>
                  <v:textbox inset="0.5mm,0mm,0.5mm,0mm">
                    <w:txbxContent>
                      <w:p>
                        <w:pPr>
                          <w:spacing w:line="300" w:lineRule="exact"/>
                          <w:jc w:val="center"/>
                          <w:rPr>
                            <w:rFonts w:ascii="仿宋_GB2312" w:hAnsi="仿宋" w:eastAsia="仿宋_GB2312"/>
                            <w:sz w:val="18"/>
                            <w:szCs w:val="21"/>
                          </w:rPr>
                        </w:pPr>
                        <w:r>
                          <w:rPr>
                            <w:rFonts w:hint="eastAsia" w:ascii="仿宋_GB2312" w:hAnsi="仿宋" w:eastAsia="仿宋_GB2312"/>
                            <w:sz w:val="18"/>
                            <w:szCs w:val="21"/>
                          </w:rPr>
                          <w:t>水土流失危害监测</w:t>
                        </w:r>
                      </w:p>
                    </w:txbxContent>
                  </v:textbox>
                </v:shape>
                <v:shape id="_x0000_s1026" o:spid="_x0000_s1026" o:spt="202" type="#_x0000_t202" style="position:absolute;left:4529455;top:3535045;height:398145;width:735330;" fillcolor="#FFFFFF" filled="t" stroked="t" coordsize="21600,21600" o:gfxdata="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d5SB+1gAAAAYBAAAPAAAAAAAAAAEAIAAAACIAAABkcnMvZG93bnJldi54bWxQSwECFAAU&#10;AAAACACHTuJA5XLRliwCAABxBAAADgAAAAAAAAABACAAAAAlAQAAZHJzL2Uyb0RvYy54bWxQSwUG&#10;AAAAAAYABgBZAQAAwwUAAAAA&#10;">
                  <v:fill on="t" focussize="0,0"/>
                  <v:stroke color="#000000" joinstyle="miter"/>
                  <v:imagedata o:title=""/>
                  <o:lock v:ext="edit" aspectratio="f"/>
                  <v:textbox inset="0.5mm,0mm,0.5mm,0mm">
                    <w:txbxContent>
                      <w:p>
                        <w:pPr>
                          <w:spacing w:line="300" w:lineRule="exact"/>
                          <w:jc w:val="center"/>
                          <w:rPr>
                            <w:rFonts w:ascii="仿宋_GB2312" w:hAnsi="仿宋" w:eastAsia="仿宋_GB2312"/>
                            <w:sz w:val="18"/>
                            <w:szCs w:val="21"/>
                          </w:rPr>
                        </w:pPr>
                        <w:r>
                          <w:rPr>
                            <w:rFonts w:hint="eastAsia" w:ascii="仿宋_GB2312" w:hAnsi="仿宋" w:eastAsia="仿宋_GB2312"/>
                            <w:sz w:val="18"/>
                            <w:szCs w:val="21"/>
                          </w:rPr>
                          <w:t>水土流失防治成效监测</w:t>
                        </w:r>
                      </w:p>
                    </w:txbxContent>
                  </v:textbox>
                </v:shape>
                <v:group id="_x0000_s1026" o:spid="_x0000_s1026" o:spt="203" style="position:absolute;left:436880;top:3960495;height:201930;width:4697095;" coordorigin="-707,6852" coordsize="7397,318" o:gfxdata="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">
                  <o:lock v:ext="edit" aspectratio="f"/>
                  <v:line id="_x0000_s1026" o:spid="_x0000_s1026" o:spt="20" style="position:absolute;left:1754;top:6915;height:255;width:1;" filled="f" stroked="t" coordsize="21600,21600" o:gfxdata="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4/5Y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2986;top:6852;height:255;width:1;" filled="f" stroked="t" coordsize="21600,21600" o:gfxdata="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r1vD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4191;top:6852;height:255;width:1;" filled="f" stroked="t" coordsize="21600,21600" o:gfxdata="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fcW0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5489;top:6852;height:255;width:1;" filled="f" stroked="t" coordsize="21600,21600" o:gfxdata="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MWAv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6688;top:6852;height:317;width:2;" filled="f" stroked="t" coordsize="21600,21600" o:gfxdata="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rvRd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537;top:6852;height:255;width:1;" filled="f" stroked="t" coordsize="21600,21600" o:gfxdata="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4lHG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707;top:6915;height:255;width:1;" filled="f" stroked="t" coordsize="21600,21600" o:gfxdata="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6AW6G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shape id="_x0000_s1026" o:spid="_x0000_s1026" o:spt="32" type="#_x0000_t32" style="position:absolute;left:-707;top:7169;height:1;width:7397;" filled="f" stroked="t" coordsize="21600,21600" o:gfxdata="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zY8e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group>
                <v:line id="_x0000_s1026" o:spid="_x0000_s1026" o:spt="20" style="position:absolute;left:3879215;top:3353435;height:172085;width:6350;" filled="f" stroked="t" coordsize="21600,21600" o:gfxdata="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Gyx3s1wAAAAYBAAAPAAAAAAAAAAEAIAAAACIAAABk&#10;cnMvZG93bnJldi54bWxQSwECFAAUAAAACACHTuJAud7qCgcCAADuAwAADgAAAAAAAAABACAAAAAm&#10;AQAAZHJzL2Uyb0RvYy54bWxQSwUGAAAAAAYABgBZAQAAnwUAAAAA&#10;">
                  <v:fill on="f" focussize="0,0"/>
                  <v:stroke weight="1pt" color="#000000" joinstyle="round" endarrow="block" endarrowwidth="narrow"/>
                  <v:imagedata o:title=""/>
                  <o:lock v:ext="edit" aspectratio="f"/>
                </v:line>
                <v:line id="_x0000_s1026" o:spid="_x0000_s1026" o:spt="20" style="position:absolute;left:478790;top:3363595;height:228600;width:0;" filled="f" stroked="t" coordsize="21600,21600" o:gfxdata="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&#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Gyx3s1wAAAAYBAAAPAAAAAAAAAAEAIAAAACIAAABk&#10;cnMvZG93bnJldi54bWxQSwECFAAUAAAACACHTuJASWGjnAcCAADqAwAADgAAAAAAAAABACAAAAAm&#10;AQAAZHJzL2Uyb0RvYy54bWxQSwUGAAAAAAYABgBZAQAAnwUAAAAA&#10;">
                  <v:fill on="f" focussize="0,0"/>
                  <v:stroke weight="1pt" color="#000000" joinstyle="round" endarrow="block" endarrowwidth="narrow"/>
                  <v:imagedata o:title=""/>
                  <o:lock v:ext="edit" aspectratio="f"/>
                </v:line>
                <v:line id="_x0000_s1026" o:spid="_x0000_s1026" o:spt="20" style="position:absolute;left:1203325;top:3346450;height:228600;width:0;" filled="f" stroked="t" coordsize="21600,21600" o:gfxdata="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Gyx3s1wAAAAYBAAAPAAAAAAAAAAEAIAAAACIAAABkcnMv&#10;ZG93bnJldi54bWxQSwECFAAUAAAACACHTuJAPmfRsQQCAADrAwAADgAAAAAAAAABACAAAAAmAQAA&#10;ZHJzL2Uyb0RvYy54bWxQSwUGAAAAAAYABgBZAQAAnAUAAAAA&#10;">
                  <v:fill on="f" focussize="0,0"/>
                  <v:stroke weight="1pt" color="#000000" joinstyle="round" endarrow="block" endarrowwidth="narrow"/>
                  <v:imagedata o:title=""/>
                  <o:lock v:ext="edit" aspectratio="f"/>
                </v:line>
                <v:line id="_x0000_s1026" o:spid="_x0000_s1026" o:spt="20" style="position:absolute;left:2051050;top:3350260;height:228600;width:0;" filled="f" stroked="t" coordsize="21600,21600" o:gfxdata="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Gyx3s1wAAAAYBAAAPAAAAAAAAAAEAIAAAACIAAABkcnMv&#10;ZG93bnJldi54bWxQSwECFAAUAAAACACHTuJA0oc+pAQCAADrAwAADgAAAAAAAAABACAAAAAmAQAA&#10;ZHJzL2Uyb0RvYy54bWxQSwUGAAAAAAYABgBZAQAAnAUAAAAA&#10;">
                  <v:fill on="f" focussize="0,0"/>
                  <v:stroke weight="1pt" color="#000000" joinstyle="round" endarrow="block" endarrowwidth="narrow"/>
                  <v:imagedata o:title=""/>
                  <o:lock v:ext="edit" aspectratio="f"/>
                </v:line>
                <v:line id="_x0000_s1026" o:spid="_x0000_s1026" o:spt="20" style="position:absolute;left:4860925;top:3363595;height:167640;width:7620;" filled="f" stroked="t" coordsize="21600,21600" o:gfxdata="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ssd7NcAAAAGAQAADwAAAAAAAAABACAAAAAi&#10;AAAAZHJzL2Rvd25yZXYueG1sUEsBAhQAFAAAAAgAh07iQE6fWS0LAgAA7gMAAA4AAAAAAAAAAQAg&#10;AAAAJgEAAGRycy9lMm9Eb2MueG1sUEsFBgAAAAAGAAYAWQEAAKMFAAAAAA==&#10;">
                  <v:fill on="f" focussize="0,0"/>
                  <v:stroke weight="1pt" color="#000000" joinstyle="round" endarrow="block" endarrowwidth="narrow"/>
                  <v:imagedata o:title=""/>
                  <o:lock v:ext="edit" aspectratio="f"/>
                </v:line>
                <v:line id="_x0000_s1026" o:spid="_x0000_s1026" o:spt="20" style="position:absolute;left:483870;top:3361055;height:635;width:4381500;" filled="f" stroked="t" coordsize="21600,21600" o:gfxdata="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SWBHDdUAAAAGAQAADwAAAAAAAAABACAAAAAiAAAAZHJzL2Rvd25yZXYu&#10;eG1sUEsBAhQAFAAAAAgAh07iQOdTMaT+AQAA6QMAAA4AAAAAAAAAAQAgAAAAJAEAAGRycy9lMm9E&#10;b2MueG1sUEsFBgAAAAAGAAYAWQEAAJQFAAAAAA==&#10;">
                  <v:fill on="f" focussize="0,0"/>
                  <v:stroke color="#000000" joinstyle="round"/>
                  <v:imagedata o:title=""/>
                  <o:lock v:ext="edit" aspectratio="f"/>
                </v:line>
                <w10:wrap type="none"/>
                <w10:anchorlock/>
              </v:group>
            </w:pict>
          </mc:Fallback>
        </mc:AlternateContent>
      </w:r>
    </w:p>
    <w:p>
      <w:pPr>
        <w:pStyle w:val="4"/>
        <w:bidi w:val="0"/>
        <w:rPr>
          <w:rFonts w:hint="default" w:ascii="Times New Roman" w:hAnsi="Times New Roman" w:cs="Times New Roman"/>
        </w:rPr>
      </w:pPr>
      <w:bookmarkStart w:id="409" w:name="_Toc10798"/>
      <w:bookmarkStart w:id="410" w:name="_Toc25920"/>
      <w:bookmarkStart w:id="411" w:name="_Toc3484"/>
      <w:r>
        <w:rPr>
          <w:rFonts w:hint="default" w:ascii="Times New Roman" w:hAnsi="Times New Roman" w:cs="Times New Roman"/>
        </w:rPr>
        <w:t>7水土保持投资估算及效益分析</w:t>
      </w:r>
      <w:bookmarkEnd w:id="409"/>
      <w:bookmarkEnd w:id="410"/>
      <w:bookmarkEnd w:id="411"/>
    </w:p>
    <w:p>
      <w:pPr>
        <w:pStyle w:val="5"/>
        <w:bidi w:val="0"/>
        <w:rPr>
          <w:rFonts w:hint="default" w:ascii="Times New Roman" w:hAnsi="Times New Roman" w:cs="Times New Roman"/>
        </w:rPr>
      </w:pPr>
      <w:bookmarkStart w:id="412" w:name="_7.1_编制原则及依据"/>
      <w:bookmarkEnd w:id="412"/>
      <w:bookmarkStart w:id="413" w:name="_Toc3255"/>
      <w:bookmarkStart w:id="414" w:name="_Toc5548"/>
      <w:bookmarkStart w:id="415" w:name="_Toc9995"/>
      <w:r>
        <w:rPr>
          <w:rFonts w:hint="default" w:ascii="Times New Roman" w:hAnsi="Times New Roman" w:cs="Times New Roman"/>
        </w:rPr>
        <w:t>7.1投资估算</w:t>
      </w:r>
      <w:bookmarkEnd w:id="413"/>
      <w:bookmarkEnd w:id="414"/>
      <w:bookmarkEnd w:id="415"/>
    </w:p>
    <w:p>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7.1.1编制原则及依据</w:t>
      </w:r>
    </w:p>
    <w:p>
      <w:pPr>
        <w:pStyle w:val="8"/>
        <w:keepNext/>
        <w:keepLines/>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baseline"/>
        <w:rPr>
          <w:rFonts w:hint="default" w:ascii="Times New Roman" w:hAnsi="Times New Roman" w:eastAsia="仿宋_GB2312" w:cs="Times New Roman"/>
          <w:b/>
          <w:bCs/>
          <w:kern w:val="2"/>
          <w:sz w:val="24"/>
          <w:szCs w:val="24"/>
          <w:highlight w:val="none"/>
        </w:rPr>
      </w:pPr>
      <w:r>
        <w:rPr>
          <w:rFonts w:hint="default" w:ascii="Times New Roman" w:hAnsi="Times New Roman" w:eastAsia="仿宋_GB2312" w:cs="Times New Roman"/>
          <w:b/>
          <w:bCs/>
          <w:kern w:val="2"/>
          <w:sz w:val="24"/>
          <w:szCs w:val="24"/>
          <w:highlight w:val="none"/>
        </w:rPr>
        <w:t>7.1.1.1编制原则</w:t>
      </w:r>
    </w:p>
    <w:p>
      <w:pPr>
        <w:pageBreakBefore w:val="0"/>
        <w:kinsoku/>
        <w:wordWrap/>
        <w:bidi w:val="0"/>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（1）水土保持投资包括主体工程设计的水土保持功能工程投资及新增水土保持投资水土保持投资估算作为主体工程投资估算的重要组成部分，计入主体工程总投资估算中；</w:t>
      </w:r>
    </w:p>
    <w:p>
      <w:pPr>
        <w:pageBreakBefore w:val="0"/>
        <w:kinsoku/>
        <w:wordWrap/>
        <w:bidi w:val="0"/>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（2）投资估算编制的项目划分、费用构成、表格形式等应依据水土保持工程概（估）算编制规定编写；</w:t>
      </w:r>
    </w:p>
    <w:p>
      <w:pPr>
        <w:pageBreakBefore w:val="0"/>
        <w:kinsoku/>
        <w:wordWrap/>
        <w:bidi w:val="0"/>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（3）概算定额、取费项目及费率与主体工程一致，主体工程定额中没有的工程项目，应采用水土保持或相关行业的定额、取费项目及费率；</w:t>
      </w:r>
    </w:p>
    <w:p>
      <w:pPr>
        <w:pageBreakBefore w:val="0"/>
        <w:kinsoku/>
        <w:wordWrap/>
        <w:bidi w:val="0"/>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（4）水土保持补偿费单独计列；</w:t>
      </w:r>
    </w:p>
    <w:p>
      <w:pPr>
        <w:pageBreakBefore w:val="0"/>
        <w:kinsoku/>
        <w:wordWrap/>
        <w:bidi w:val="0"/>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（5）价格水平年与主体保持一致，为202</w:t>
      </w:r>
      <w:r>
        <w:rPr>
          <w:rFonts w:hint="eastAsia" w:eastAsia="仿宋_GB2312" w:cs="Times New Roman"/>
          <w:sz w:val="24"/>
          <w:highlight w:val="none"/>
          <w:lang w:val="en-US" w:eastAsia="zh-CN"/>
        </w:rPr>
        <w:t>3</w:t>
      </w:r>
      <w:r>
        <w:rPr>
          <w:rFonts w:hint="default" w:ascii="Times New Roman" w:hAnsi="Times New Roman" w:eastAsia="仿宋_GB2312" w:cs="Times New Roman"/>
          <w:sz w:val="24"/>
          <w:highlight w:val="none"/>
        </w:rPr>
        <w:t>年第</w:t>
      </w:r>
      <w:r>
        <w:rPr>
          <w:rFonts w:hint="eastAsia" w:eastAsia="仿宋_GB2312" w:cs="Times New Roman"/>
          <w:sz w:val="24"/>
          <w:highlight w:val="none"/>
          <w:lang w:val="en-US" w:eastAsia="zh-CN"/>
        </w:rPr>
        <w:t>一</w:t>
      </w:r>
      <w:r>
        <w:rPr>
          <w:rFonts w:hint="default" w:ascii="Times New Roman" w:hAnsi="Times New Roman" w:eastAsia="仿宋_GB2312" w:cs="Times New Roman"/>
          <w:sz w:val="24"/>
          <w:highlight w:val="none"/>
        </w:rPr>
        <w:t>季度价格水平。</w:t>
      </w:r>
    </w:p>
    <w:p>
      <w:pPr>
        <w:pStyle w:val="8"/>
        <w:keepNext/>
        <w:keepLines/>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baseline"/>
        <w:rPr>
          <w:rFonts w:hint="default" w:ascii="Times New Roman" w:hAnsi="Times New Roman" w:eastAsia="仿宋_GB2312" w:cs="Times New Roman"/>
          <w:b/>
          <w:bCs/>
          <w:kern w:val="2"/>
          <w:sz w:val="24"/>
          <w:szCs w:val="24"/>
          <w:highlight w:val="none"/>
        </w:rPr>
      </w:pPr>
      <w:r>
        <w:rPr>
          <w:rFonts w:hint="default" w:ascii="Times New Roman" w:hAnsi="Times New Roman" w:eastAsia="仿宋_GB2312" w:cs="Times New Roman"/>
          <w:b/>
          <w:bCs/>
          <w:kern w:val="2"/>
          <w:sz w:val="24"/>
          <w:szCs w:val="24"/>
          <w:highlight w:val="none"/>
        </w:rPr>
        <w:t>7.1.1.2编制依据</w:t>
      </w:r>
    </w:p>
    <w:p>
      <w:pPr>
        <w:pageBreakBefore w:val="0"/>
        <w:kinsoku/>
        <w:wordWrap/>
        <w:bidi w:val="0"/>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（1）《水土保持工程概（估）算编制规定和定额》</w:t>
      </w:r>
      <w:r>
        <w:rPr>
          <w:rFonts w:hint="default" w:ascii="Times New Roman" w:hAnsi="Times New Roman" w:eastAsia="仿宋_GB2312" w:cs="Times New Roman"/>
          <w:sz w:val="24"/>
          <w:highlight w:val="none"/>
          <w:lang w:eastAsia="zh-CN"/>
        </w:rPr>
        <w:t>（</w:t>
      </w:r>
      <w:r>
        <w:rPr>
          <w:rFonts w:hint="default" w:ascii="Times New Roman" w:hAnsi="Times New Roman" w:eastAsia="仿宋_GB2312" w:cs="Times New Roman"/>
          <w:sz w:val="24"/>
          <w:highlight w:val="none"/>
        </w:rPr>
        <w:t>水利部</w:t>
      </w:r>
      <w:r>
        <w:rPr>
          <w:rFonts w:hint="default" w:ascii="Times New Roman" w:hAnsi="Times New Roman" w:eastAsia="仿宋_GB2312" w:cs="Times New Roman"/>
          <w:sz w:val="24"/>
          <w:highlight w:val="none"/>
          <w:lang w:eastAsia="zh-CN"/>
        </w:rPr>
        <w:t>，</w:t>
      </w:r>
      <w:r>
        <w:rPr>
          <w:rFonts w:hint="default" w:ascii="Times New Roman" w:hAnsi="Times New Roman" w:eastAsia="仿宋_GB2312" w:cs="Times New Roman"/>
          <w:sz w:val="24"/>
          <w:highlight w:val="none"/>
        </w:rPr>
        <w:t>水总〔2003〕67号</w:t>
      </w:r>
      <w:r>
        <w:rPr>
          <w:rFonts w:hint="default" w:ascii="Times New Roman" w:hAnsi="Times New Roman" w:eastAsia="仿宋_GB2312" w:cs="Times New Roman"/>
          <w:sz w:val="24"/>
          <w:highlight w:val="none"/>
          <w:lang w:eastAsia="zh-CN"/>
        </w:rPr>
        <w:t>）</w:t>
      </w:r>
      <w:r>
        <w:rPr>
          <w:rFonts w:hint="default" w:ascii="Times New Roman" w:hAnsi="Times New Roman" w:eastAsia="仿宋_GB2312" w:cs="Times New Roman"/>
          <w:sz w:val="24"/>
          <w:highlight w:val="none"/>
        </w:rPr>
        <w:t>；</w:t>
      </w:r>
    </w:p>
    <w:p>
      <w:pPr>
        <w:pageBreakBefore w:val="0"/>
        <w:kinsoku/>
        <w:wordWrap/>
        <w:bidi w:val="0"/>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（2）《开发建设项目水土保持工程概（估）算编制规定》；</w:t>
      </w:r>
    </w:p>
    <w:p>
      <w:pPr>
        <w:pageBreakBefore w:val="0"/>
        <w:kinsoku/>
        <w:wordWrap/>
        <w:bidi w:val="0"/>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w:t>
      </w:r>
      <w:r>
        <w:rPr>
          <w:rFonts w:hint="eastAsia" w:eastAsia="仿宋_GB2312" w:cs="Times New Roman"/>
          <w:sz w:val="24"/>
          <w:highlight w:val="none"/>
          <w:lang w:val="en-US" w:eastAsia="zh-CN"/>
        </w:rPr>
        <w:t>3</w:t>
      </w:r>
      <w:r>
        <w:rPr>
          <w:rFonts w:hint="default" w:ascii="Times New Roman" w:hAnsi="Times New Roman" w:eastAsia="仿宋_GB2312" w:cs="Times New Roman"/>
          <w:sz w:val="24"/>
          <w:highlight w:val="none"/>
        </w:rPr>
        <w:t>）《关于进一步放开建设项目专业服务价格的通知》（国家发展改革委发改价格〔2015〕299号）；</w:t>
      </w:r>
    </w:p>
    <w:p>
      <w:pPr>
        <w:pageBreakBefore w:val="0"/>
        <w:kinsoku/>
        <w:wordWrap/>
        <w:bidi w:val="0"/>
        <w:spacing w:line="360" w:lineRule="auto"/>
        <w:ind w:firstLine="480" w:firstLineChars="200"/>
        <w:rPr>
          <w:rFonts w:hint="default" w:ascii="Times New Roman" w:hAnsi="Times New Roman" w:eastAsia="仿宋_GB2312" w:cs="Times New Roman"/>
          <w:snapToGrid w:val="0"/>
          <w:sz w:val="24"/>
          <w:highlight w:val="none"/>
        </w:rPr>
      </w:pPr>
      <w:r>
        <w:rPr>
          <w:rFonts w:hint="default" w:ascii="Times New Roman" w:hAnsi="Times New Roman" w:eastAsia="仿宋_GB2312" w:cs="Times New Roman"/>
          <w:sz w:val="24"/>
          <w:highlight w:val="none"/>
        </w:rPr>
        <w:t>（</w:t>
      </w:r>
      <w:r>
        <w:rPr>
          <w:rFonts w:hint="eastAsia" w:eastAsia="仿宋_GB2312" w:cs="Times New Roman"/>
          <w:sz w:val="24"/>
          <w:highlight w:val="none"/>
          <w:lang w:val="en-US" w:eastAsia="zh-CN"/>
        </w:rPr>
        <w:t>4</w:t>
      </w:r>
      <w:r>
        <w:rPr>
          <w:rFonts w:hint="default" w:ascii="Times New Roman" w:hAnsi="Times New Roman" w:eastAsia="仿宋_GB2312" w:cs="Times New Roman"/>
          <w:sz w:val="24"/>
          <w:highlight w:val="none"/>
        </w:rPr>
        <w:t>）《水利部办公厅关于调整水利工程计价依据增值税计算标准的通知》（办财务函〔2019〕448号</w:t>
      </w:r>
      <w:r>
        <w:rPr>
          <w:rFonts w:hint="default" w:ascii="Times New Roman" w:hAnsi="Times New Roman" w:eastAsia="仿宋_GB2312" w:cs="Times New Roman"/>
          <w:snapToGrid w:val="0"/>
          <w:sz w:val="24"/>
          <w:highlight w:val="none"/>
        </w:rPr>
        <w:t>）；</w:t>
      </w:r>
    </w:p>
    <w:p>
      <w:pPr>
        <w:pageBreakBefore w:val="0"/>
        <w:kinsoku/>
        <w:wordWrap/>
        <w:bidi w:val="0"/>
        <w:spacing w:line="360" w:lineRule="auto"/>
        <w:ind w:firstLine="480" w:firstLineChars="200"/>
        <w:rPr>
          <w:rFonts w:hint="default" w:ascii="Times New Roman" w:hAnsi="Times New Roman" w:eastAsia="仿宋_GB2312" w:cs="Times New Roman"/>
          <w:snapToGrid w:val="0"/>
          <w:sz w:val="24"/>
          <w:highlight w:val="none"/>
        </w:rPr>
      </w:pPr>
      <w:r>
        <w:rPr>
          <w:rFonts w:hint="default" w:ascii="Times New Roman" w:hAnsi="Times New Roman" w:eastAsia="仿宋_GB2312" w:cs="Times New Roman"/>
          <w:sz w:val="24"/>
          <w:highlight w:val="none"/>
        </w:rPr>
        <w:t>（</w:t>
      </w:r>
      <w:r>
        <w:rPr>
          <w:rFonts w:hint="eastAsia" w:eastAsia="仿宋_GB2312" w:cs="Times New Roman"/>
          <w:sz w:val="24"/>
          <w:highlight w:val="none"/>
          <w:lang w:val="en-US" w:eastAsia="zh-CN"/>
        </w:rPr>
        <w:t>5</w:t>
      </w:r>
      <w:r>
        <w:rPr>
          <w:rFonts w:hint="default" w:ascii="Times New Roman" w:hAnsi="Times New Roman" w:eastAsia="仿宋_GB2312" w:cs="Times New Roman"/>
          <w:sz w:val="24"/>
          <w:highlight w:val="none"/>
        </w:rPr>
        <w:t>）《吉林省住房和城乡建设厅关于调整定额人工综合工日单价和定额机械费的的通知》（吉建造〔2020〕4号</w:t>
      </w:r>
      <w:r>
        <w:rPr>
          <w:rFonts w:hint="default" w:ascii="Times New Roman" w:hAnsi="Times New Roman" w:eastAsia="仿宋_GB2312" w:cs="Times New Roman"/>
          <w:snapToGrid w:val="0"/>
          <w:sz w:val="24"/>
          <w:highlight w:val="none"/>
        </w:rPr>
        <w:t>）；</w:t>
      </w:r>
    </w:p>
    <w:p>
      <w:pPr>
        <w:pageBreakBefore w:val="0"/>
        <w:kinsoku/>
        <w:wordWrap/>
        <w:bidi w:val="0"/>
        <w:spacing w:line="360" w:lineRule="auto"/>
        <w:ind w:firstLine="480" w:firstLineChars="200"/>
        <w:rPr>
          <w:rFonts w:hint="default" w:ascii="Times New Roman" w:hAnsi="Times New Roman" w:eastAsia="仿宋_GB2312" w:cs="Times New Roman"/>
          <w:snapToGrid w:val="0"/>
          <w:kern w:val="0"/>
          <w:sz w:val="24"/>
          <w:highlight w:val="none"/>
        </w:rPr>
      </w:pPr>
      <w:r>
        <w:rPr>
          <w:rFonts w:hint="default" w:ascii="Times New Roman" w:hAnsi="Times New Roman" w:eastAsia="仿宋_GB2312" w:cs="Times New Roman"/>
          <w:sz w:val="24"/>
          <w:highlight w:val="none"/>
        </w:rPr>
        <w:t>（</w:t>
      </w:r>
      <w:r>
        <w:rPr>
          <w:rFonts w:hint="eastAsia" w:eastAsia="仿宋_GB2312" w:cs="Times New Roman"/>
          <w:sz w:val="24"/>
          <w:highlight w:val="none"/>
          <w:lang w:val="en-US" w:eastAsia="zh-CN"/>
        </w:rPr>
        <w:t>6</w:t>
      </w:r>
      <w:r>
        <w:rPr>
          <w:rFonts w:hint="default" w:ascii="Times New Roman" w:hAnsi="Times New Roman" w:eastAsia="仿宋_GB2312" w:cs="Times New Roman"/>
          <w:sz w:val="24"/>
          <w:highlight w:val="none"/>
        </w:rPr>
        <w:t>）《财政部 国家发展和改革委员会 水利部 中国人民银行关于印发&lt;水土保持补偿费征收使用管理办法&gt;的通知》（财综〔2014〕8号）</w:t>
      </w:r>
      <w:r>
        <w:rPr>
          <w:rFonts w:hint="default" w:ascii="Times New Roman" w:hAnsi="Times New Roman" w:eastAsia="仿宋_GB2312" w:cs="Times New Roman"/>
          <w:snapToGrid w:val="0"/>
          <w:kern w:val="0"/>
          <w:sz w:val="24"/>
          <w:highlight w:val="none"/>
        </w:rPr>
        <w:t>；</w:t>
      </w:r>
    </w:p>
    <w:p>
      <w:pPr>
        <w:spacing w:line="360" w:lineRule="auto"/>
        <w:ind w:firstLine="48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w:t>
      </w:r>
      <w:r>
        <w:rPr>
          <w:rFonts w:hint="eastAsia" w:eastAsia="仿宋_GB2312" w:cs="Times New Roman"/>
          <w:sz w:val="24"/>
          <w:highlight w:val="none"/>
          <w:lang w:val="en-US" w:eastAsia="zh-CN"/>
        </w:rPr>
        <w:t>7</w:t>
      </w:r>
      <w:r>
        <w:rPr>
          <w:rFonts w:hint="default" w:ascii="Times New Roman" w:hAnsi="Times New Roman" w:eastAsia="仿宋_GB2312" w:cs="Times New Roman"/>
          <w:sz w:val="24"/>
          <w:highlight w:val="none"/>
        </w:rPr>
        <w:t>）《财政部关于水土保持补偿费等四项非税收入划转税务部门征收的通知》（财税〔2020〕58号）</w:t>
      </w:r>
    </w:p>
    <w:p>
      <w:pPr>
        <w:spacing w:line="360" w:lineRule="auto"/>
        <w:ind w:firstLine="480"/>
        <w:rPr>
          <w:rFonts w:hint="default" w:ascii="Times New Roman" w:hAnsi="Times New Roman" w:eastAsia="仿宋_GB2312" w:cs="Times New Roman"/>
          <w:sz w:val="24"/>
          <w:highlight w:val="none"/>
          <w:lang w:eastAsia="zh-CN"/>
        </w:rPr>
      </w:pPr>
      <w:r>
        <w:rPr>
          <w:rFonts w:hint="default" w:ascii="Times New Roman" w:hAnsi="Times New Roman" w:eastAsia="仿宋_GB2312" w:cs="Times New Roman"/>
          <w:sz w:val="24"/>
          <w:highlight w:val="none"/>
        </w:rPr>
        <w:t>（</w:t>
      </w:r>
      <w:r>
        <w:rPr>
          <w:rFonts w:hint="eastAsia" w:eastAsia="仿宋_GB2312" w:cs="Times New Roman"/>
          <w:sz w:val="24"/>
          <w:highlight w:val="none"/>
          <w:lang w:val="en-US" w:eastAsia="zh-CN"/>
        </w:rPr>
        <w:t>8</w:t>
      </w:r>
      <w:r>
        <w:rPr>
          <w:rFonts w:hint="default" w:ascii="Times New Roman" w:hAnsi="Times New Roman" w:eastAsia="仿宋_GB2312" w:cs="Times New Roman"/>
          <w:sz w:val="24"/>
          <w:highlight w:val="none"/>
        </w:rPr>
        <w:t>）《吉林省财政厅 吉林省发展和改革委员会 吉林省水利厅 国家税务总局吉林省税务局 中国人民银行长春中心支行关于印发&lt;吉林省水土保持补偿费征收使用管理办法&gt;的通知》（吉财税〔2022〕952号）</w:t>
      </w:r>
      <w:r>
        <w:rPr>
          <w:rFonts w:hint="default" w:ascii="Times New Roman" w:hAnsi="Times New Roman" w:eastAsia="仿宋_GB2312" w:cs="Times New Roman"/>
          <w:sz w:val="24"/>
          <w:highlight w:val="none"/>
          <w:lang w:eastAsia="zh-CN"/>
        </w:rPr>
        <w:t>；</w:t>
      </w:r>
    </w:p>
    <w:p>
      <w:pPr>
        <w:pageBreakBefore w:val="0"/>
        <w:kinsoku/>
        <w:wordWrap/>
        <w:bidi w:val="0"/>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w:t>
      </w:r>
      <w:r>
        <w:rPr>
          <w:rFonts w:hint="eastAsia" w:eastAsia="仿宋_GB2312" w:cs="Times New Roman"/>
          <w:sz w:val="24"/>
          <w:highlight w:val="none"/>
          <w:lang w:val="en-US" w:eastAsia="zh-CN"/>
        </w:rPr>
        <w:t>9</w:t>
      </w:r>
      <w:r>
        <w:rPr>
          <w:rFonts w:hint="default" w:ascii="Times New Roman" w:hAnsi="Times New Roman" w:eastAsia="仿宋_GB2312" w:cs="Times New Roman"/>
          <w:sz w:val="24"/>
          <w:highlight w:val="none"/>
        </w:rPr>
        <w:t>）《吉林省发展改革委 吉林省财政厅 吉林省水利厅关于核定吉林省水土保持补偿费收费标准及有关问题的通知》（吉发改收费联〔2022〕670号）；</w:t>
      </w:r>
    </w:p>
    <w:p>
      <w:pPr>
        <w:pageBreakBefore w:val="0"/>
        <w:kinsoku/>
        <w:wordWrap/>
        <w:bidi w:val="0"/>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w:t>
      </w:r>
      <w:r>
        <w:rPr>
          <w:rFonts w:hint="eastAsia" w:ascii="Times New Roman" w:hAnsi="Times New Roman" w:eastAsia="仿宋_GB2312" w:cs="Times New Roman"/>
          <w:sz w:val="24"/>
          <w:highlight w:val="none"/>
          <w:lang w:val="en-US" w:eastAsia="zh-CN"/>
        </w:rPr>
        <w:t>1</w:t>
      </w:r>
      <w:r>
        <w:rPr>
          <w:rFonts w:hint="eastAsia" w:eastAsia="仿宋_GB2312" w:cs="Times New Roman"/>
          <w:sz w:val="24"/>
          <w:highlight w:val="none"/>
          <w:lang w:val="en-US" w:eastAsia="zh-CN"/>
        </w:rPr>
        <w:t>0</w:t>
      </w:r>
      <w:r>
        <w:rPr>
          <w:rFonts w:hint="default" w:ascii="Times New Roman" w:hAnsi="Times New Roman" w:eastAsia="仿宋_GB2312" w:cs="Times New Roman"/>
          <w:sz w:val="24"/>
          <w:highlight w:val="none"/>
        </w:rPr>
        <w:t>）《国家税务总局吉林省税务局 吉林省财政厅 吉林省水利厅关于印发&lt;吉林省水土保持补偿费、地方水库移民扶持基金征管职责划转工作实施方案&gt;的通知》（吉税发〔2020〕67号）</w:t>
      </w:r>
    </w:p>
    <w:p>
      <w:pPr>
        <w:pageBreakBefore w:val="0"/>
        <w:kinsoku/>
        <w:wordWrap/>
        <w:bidi w:val="0"/>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w:t>
      </w:r>
      <w:r>
        <w:rPr>
          <w:rFonts w:hint="eastAsia" w:ascii="Times New Roman" w:hAnsi="Times New Roman" w:eastAsia="仿宋_GB2312" w:cs="Times New Roman"/>
          <w:sz w:val="24"/>
          <w:highlight w:val="none"/>
          <w:lang w:val="en-US" w:eastAsia="zh-CN"/>
        </w:rPr>
        <w:t>1</w:t>
      </w:r>
      <w:r>
        <w:rPr>
          <w:rFonts w:hint="eastAsia" w:eastAsia="仿宋_GB2312" w:cs="Times New Roman"/>
          <w:sz w:val="24"/>
          <w:highlight w:val="none"/>
          <w:lang w:val="en-US" w:eastAsia="zh-CN"/>
        </w:rPr>
        <w:t>1</w:t>
      </w:r>
      <w:r>
        <w:rPr>
          <w:rFonts w:hint="default" w:ascii="Times New Roman" w:hAnsi="Times New Roman" w:eastAsia="仿宋_GB2312" w:cs="Times New Roman"/>
          <w:sz w:val="24"/>
          <w:highlight w:val="none"/>
        </w:rPr>
        <w:t>）《吉林省水利厅关于进一步</w:t>
      </w:r>
      <w:r>
        <w:rPr>
          <w:rFonts w:hint="default" w:ascii="Times New Roman" w:hAnsi="Times New Roman" w:eastAsia="仿宋_GB2312" w:cs="Times New Roman"/>
          <w:sz w:val="24"/>
          <w:highlight w:val="none"/>
          <w:lang w:val="en-US" w:eastAsia="zh-CN"/>
        </w:rPr>
        <w:t>做好全省</w:t>
      </w:r>
      <w:r>
        <w:rPr>
          <w:rFonts w:hint="default" w:ascii="Times New Roman" w:hAnsi="Times New Roman" w:eastAsia="仿宋_GB2312" w:cs="Times New Roman"/>
          <w:sz w:val="24"/>
          <w:highlight w:val="none"/>
        </w:rPr>
        <w:t>水土保持补偿费征收</w:t>
      </w:r>
      <w:r>
        <w:rPr>
          <w:rFonts w:hint="default" w:ascii="Times New Roman" w:hAnsi="Times New Roman" w:eastAsia="仿宋_GB2312" w:cs="Times New Roman"/>
          <w:sz w:val="24"/>
          <w:highlight w:val="none"/>
          <w:lang w:val="en-US" w:eastAsia="zh-CN"/>
        </w:rPr>
        <w:t>使用</w:t>
      </w:r>
      <w:r>
        <w:rPr>
          <w:rFonts w:hint="default" w:ascii="Times New Roman" w:hAnsi="Times New Roman" w:eastAsia="仿宋_GB2312" w:cs="Times New Roman"/>
          <w:sz w:val="24"/>
          <w:highlight w:val="none"/>
        </w:rPr>
        <w:t>有关工作的通知》（吉水保函〔202</w:t>
      </w:r>
      <w:r>
        <w:rPr>
          <w:rFonts w:hint="default" w:ascii="Times New Roman" w:hAnsi="Times New Roman" w:eastAsia="仿宋_GB2312" w:cs="Times New Roman"/>
          <w:sz w:val="24"/>
          <w:highlight w:val="none"/>
          <w:lang w:val="en-US" w:eastAsia="zh-CN"/>
        </w:rPr>
        <w:t>3</w:t>
      </w:r>
      <w:r>
        <w:rPr>
          <w:rFonts w:hint="default" w:ascii="Times New Roman" w:hAnsi="Times New Roman" w:eastAsia="仿宋_GB2312" w:cs="Times New Roman"/>
          <w:sz w:val="24"/>
          <w:highlight w:val="none"/>
        </w:rPr>
        <w:t>〕1号）。</w:t>
      </w:r>
    </w:p>
    <w:p>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7.1.2编制说明与估算成果</w:t>
      </w:r>
    </w:p>
    <w:p>
      <w:pPr>
        <w:pStyle w:val="8"/>
        <w:keepNext/>
        <w:keepLines/>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baseline"/>
        <w:rPr>
          <w:rFonts w:hint="default" w:ascii="Times New Roman" w:hAnsi="Times New Roman" w:eastAsia="仿宋_GB2312" w:cs="Times New Roman"/>
          <w:b/>
          <w:bCs/>
          <w:kern w:val="2"/>
          <w:sz w:val="24"/>
          <w:szCs w:val="24"/>
          <w:highlight w:val="none"/>
        </w:rPr>
      </w:pPr>
      <w:r>
        <w:rPr>
          <w:rFonts w:hint="default" w:ascii="Times New Roman" w:hAnsi="Times New Roman" w:eastAsia="仿宋_GB2312" w:cs="Times New Roman"/>
          <w:b/>
          <w:bCs/>
          <w:kern w:val="2"/>
          <w:sz w:val="24"/>
          <w:szCs w:val="24"/>
          <w:highlight w:val="none"/>
        </w:rPr>
        <w:t>7.1.2.1基础单价</w:t>
      </w:r>
    </w:p>
    <w:p>
      <w:pPr>
        <w:pageBreakBefore w:val="0"/>
        <w:kinsoku/>
        <w:wordWrap/>
        <w:bidi w:val="0"/>
        <w:spacing w:line="360" w:lineRule="auto"/>
        <w:ind w:firstLine="480" w:firstLineChars="200"/>
        <w:rPr>
          <w:rFonts w:hint="default" w:ascii="Times New Roman" w:hAnsi="Times New Roman" w:eastAsia="仿宋_GB2312" w:cs="Times New Roman"/>
          <w:sz w:val="24"/>
          <w:highlight w:val="none"/>
        </w:rPr>
      </w:pPr>
      <w:bookmarkStart w:id="416" w:name="_7.2_费用构成"/>
      <w:bookmarkEnd w:id="416"/>
      <w:r>
        <w:rPr>
          <w:rFonts w:hint="default" w:ascii="Times New Roman" w:hAnsi="Times New Roman" w:eastAsia="仿宋_GB2312" w:cs="Times New Roman"/>
          <w:sz w:val="24"/>
          <w:highlight w:val="none"/>
        </w:rPr>
        <w:t>水土保持工程投资概（估）算以水利部水总〔2003〕67号文发布的《水土保持生态建设工程概（估）算编制规定》为主要依据，并根据国家有关水土保持工程的规程、规范和有关标准，结合</w:t>
      </w:r>
      <w:r>
        <w:rPr>
          <w:rFonts w:hint="default" w:ascii="Times New Roman" w:hAnsi="Times New Roman" w:eastAsia="仿宋_GB2312" w:cs="Times New Roman"/>
          <w:sz w:val="24"/>
          <w:highlight w:val="none"/>
          <w:lang w:eastAsia="zh-CN"/>
        </w:rPr>
        <w:t>本期工程</w:t>
      </w:r>
      <w:r>
        <w:rPr>
          <w:rFonts w:hint="default" w:ascii="Times New Roman" w:hAnsi="Times New Roman" w:eastAsia="仿宋_GB2312" w:cs="Times New Roman"/>
          <w:sz w:val="24"/>
          <w:highlight w:val="none"/>
        </w:rPr>
        <w:t>的具体情况进行编制。水土保持工程投资包括水土保持工程费和水土保持补偿费两部分。水土保持工程费用由水土保持工程措施、植物措施、临时工程、独立费用及基本预备费组成。</w:t>
      </w:r>
    </w:p>
    <w:p>
      <w:pPr>
        <w:pageBreakBefore w:val="0"/>
        <w:kinsoku/>
        <w:wordWrap/>
        <w:bidi w:val="0"/>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（1）人工工资预算价格</w:t>
      </w:r>
    </w:p>
    <w:p>
      <w:pPr>
        <w:pageBreakBefore w:val="0"/>
        <w:kinsoku/>
        <w:wordWrap/>
        <w:bidi w:val="0"/>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bCs/>
          <w:iCs/>
          <w:sz w:val="24"/>
          <w:highlight w:val="none"/>
        </w:rPr>
        <w:t>人工工资预算单价与主体工程一致，</w:t>
      </w:r>
      <w:r>
        <w:rPr>
          <w:rFonts w:hint="default" w:ascii="Times New Roman" w:hAnsi="Times New Roman" w:eastAsia="仿宋_GB2312" w:cs="Times New Roman"/>
          <w:sz w:val="24"/>
          <w:highlight w:val="none"/>
        </w:rPr>
        <w:t>人工工时估算单价为20.00元/工时。</w:t>
      </w:r>
    </w:p>
    <w:p>
      <w:pPr>
        <w:pageBreakBefore w:val="0"/>
        <w:kinsoku/>
        <w:wordWrap/>
        <w:bidi w:val="0"/>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lang w:eastAsia="zh-CN"/>
        </w:rPr>
        <w:t>（</w:t>
      </w:r>
      <w:r>
        <w:rPr>
          <w:rFonts w:hint="default" w:ascii="Times New Roman" w:hAnsi="Times New Roman" w:eastAsia="仿宋_GB2312" w:cs="Times New Roman"/>
          <w:sz w:val="24"/>
          <w:highlight w:val="none"/>
          <w:lang w:val="en-US" w:eastAsia="zh-CN"/>
        </w:rPr>
        <w:t>2</w:t>
      </w:r>
      <w:r>
        <w:rPr>
          <w:rFonts w:hint="default" w:ascii="Times New Roman" w:hAnsi="Times New Roman" w:eastAsia="仿宋_GB2312" w:cs="Times New Roman"/>
          <w:sz w:val="24"/>
          <w:highlight w:val="none"/>
          <w:lang w:eastAsia="zh-CN"/>
        </w:rPr>
        <w:t>）</w:t>
      </w:r>
      <w:r>
        <w:rPr>
          <w:rFonts w:hint="default" w:ascii="Times New Roman" w:hAnsi="Times New Roman" w:eastAsia="仿宋_GB2312" w:cs="Times New Roman"/>
          <w:sz w:val="24"/>
          <w:highlight w:val="none"/>
        </w:rPr>
        <w:t>主要材料价格估算价格</w:t>
      </w:r>
    </w:p>
    <w:p>
      <w:pPr>
        <w:pageBreakBefore w:val="0"/>
        <w:kinsoku/>
        <w:wordWrap/>
        <w:bidi w:val="0"/>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材料价格中主要包括材料原价、材料运杂费、材料采购保险费等。工程所需主要材料均可就近供应，其材料及植物价格均参照当地现行价格计算。</w:t>
      </w:r>
    </w:p>
    <w:p>
      <w:pPr>
        <w:pageBreakBefore w:val="0"/>
        <w:kinsoku/>
        <w:wordWrap/>
        <w:bidi w:val="0"/>
        <w:spacing w:line="360" w:lineRule="auto"/>
        <w:ind w:firstLine="480" w:firstLineChars="20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（3）定额及取费标准</w:t>
      </w:r>
    </w:p>
    <w:p>
      <w:pPr>
        <w:pageBreakBefore w:val="0"/>
        <w:kinsoku/>
        <w:wordWrap/>
        <w:bidi w:val="0"/>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color w:val="auto"/>
          <w:sz w:val="24"/>
        </w:rPr>
        <w:t>水土保持工程定额执行水利部水总〔2003〕67号文发布的《水土保持工程概算定额》。费率计取依据《开发建设项目水土保持工程概（估）算编制规定》。</w:t>
      </w:r>
    </w:p>
    <w:p>
      <w:pPr>
        <w:pageBreakBefore w:val="0"/>
        <w:kinsoku/>
        <w:wordWrap/>
        <w:bidi w:val="0"/>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lang w:eastAsia="zh-CN"/>
        </w:rPr>
        <w:t>（</w:t>
      </w:r>
      <w:r>
        <w:rPr>
          <w:rFonts w:hint="default" w:ascii="Times New Roman" w:hAnsi="Times New Roman" w:eastAsia="仿宋_GB2312" w:cs="Times New Roman"/>
          <w:sz w:val="24"/>
          <w:highlight w:val="none"/>
          <w:lang w:val="en-US" w:eastAsia="zh-CN"/>
        </w:rPr>
        <w:t>4</w:t>
      </w:r>
      <w:r>
        <w:rPr>
          <w:rFonts w:hint="default" w:ascii="Times New Roman" w:hAnsi="Times New Roman" w:eastAsia="仿宋_GB2312" w:cs="Times New Roman"/>
          <w:sz w:val="24"/>
          <w:highlight w:val="none"/>
          <w:lang w:eastAsia="zh-CN"/>
        </w:rPr>
        <w:t>）</w:t>
      </w:r>
      <w:r>
        <w:rPr>
          <w:rFonts w:hint="default" w:ascii="Times New Roman" w:hAnsi="Times New Roman" w:eastAsia="仿宋_GB2312" w:cs="Times New Roman"/>
          <w:sz w:val="24"/>
          <w:highlight w:val="none"/>
        </w:rPr>
        <w:t>水电费</w:t>
      </w:r>
    </w:p>
    <w:p>
      <w:pPr>
        <w:pageBreakBefore w:val="0"/>
        <w:kinsoku/>
        <w:wordWrap/>
        <w:bidi w:val="0"/>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工程用水按2.50元/t计，电费按1.00元/kw.h计。</w:t>
      </w:r>
    </w:p>
    <w:p>
      <w:pPr>
        <w:pStyle w:val="8"/>
        <w:keepNext/>
        <w:keepLines/>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baseline"/>
        <w:rPr>
          <w:rFonts w:hint="default" w:ascii="Times New Roman" w:hAnsi="Times New Roman" w:eastAsia="仿宋_GB2312" w:cs="Times New Roman"/>
          <w:b/>
          <w:bCs/>
          <w:kern w:val="2"/>
          <w:sz w:val="24"/>
          <w:szCs w:val="24"/>
          <w:highlight w:val="none"/>
        </w:rPr>
      </w:pPr>
      <w:r>
        <w:rPr>
          <w:rFonts w:hint="default" w:ascii="Times New Roman" w:hAnsi="Times New Roman" w:eastAsia="仿宋_GB2312" w:cs="Times New Roman"/>
          <w:b/>
          <w:bCs/>
          <w:kern w:val="2"/>
          <w:sz w:val="24"/>
          <w:szCs w:val="24"/>
          <w:highlight w:val="none"/>
        </w:rPr>
        <w:t>7.1.2.2费用构成</w:t>
      </w:r>
    </w:p>
    <w:p>
      <w:pPr>
        <w:pageBreakBefore w:val="0"/>
        <w:kinsoku/>
        <w:wordWrap/>
        <w:bidi w:val="0"/>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工程措施定额与主体工程一致，不足部分采用水土保持定额，植物措施采用《开发建设项目水土保持工程概（估）算编制规定》（水利部水总〔2003〕67号文）及</w:t>
      </w:r>
      <w:r>
        <w:rPr>
          <w:rFonts w:hint="default" w:ascii="Times New Roman" w:hAnsi="Times New Roman" w:eastAsia="仿宋_GB2312" w:cs="Times New Roman"/>
          <w:snapToGrid w:val="0"/>
          <w:color w:val="auto"/>
          <w:kern w:val="0"/>
          <w:sz w:val="24"/>
        </w:rPr>
        <w:t>《水利部办公厅关于调整水利工程计价依据增值税计算标准的通知》（办财务函〔2019〕448号）计取。</w:t>
      </w:r>
    </w:p>
    <w:p>
      <w:pPr>
        <w:pageBreakBefore w:val="0"/>
        <w:kinsoku/>
        <w:wordWrap/>
        <w:bidi w:val="0"/>
        <w:spacing w:line="360" w:lineRule="auto"/>
        <w:ind w:firstLine="480" w:firstLineChars="200"/>
        <w:rPr>
          <w:rFonts w:hint="default" w:ascii="Times New Roman" w:hAnsi="Times New Roman" w:eastAsia="仿宋_GB2312" w:cs="Times New Roman"/>
          <w:bCs/>
          <w:sz w:val="24"/>
          <w:highlight w:val="none"/>
        </w:rPr>
      </w:pPr>
      <w:r>
        <w:rPr>
          <w:rFonts w:hint="default" w:ascii="Times New Roman" w:hAnsi="Times New Roman" w:eastAsia="仿宋_GB2312" w:cs="Times New Roman"/>
          <w:bCs/>
          <w:sz w:val="24"/>
          <w:highlight w:val="none"/>
        </w:rPr>
        <w:t>（1）其他直接费：按直接费的4.00%计取，植物措施按直接费的2.50%计取。</w:t>
      </w:r>
    </w:p>
    <w:p>
      <w:pPr>
        <w:pageBreakBefore w:val="0"/>
        <w:kinsoku/>
        <w:wordWrap/>
        <w:bidi w:val="0"/>
        <w:spacing w:line="360" w:lineRule="auto"/>
        <w:ind w:firstLine="480" w:firstLineChars="200"/>
        <w:rPr>
          <w:rFonts w:hint="default" w:ascii="Times New Roman" w:hAnsi="Times New Roman" w:eastAsia="仿宋_GB2312" w:cs="Times New Roman"/>
          <w:bCs/>
          <w:sz w:val="24"/>
          <w:highlight w:val="none"/>
        </w:rPr>
      </w:pPr>
      <w:r>
        <w:rPr>
          <w:rFonts w:hint="default" w:ascii="Times New Roman" w:hAnsi="Times New Roman" w:eastAsia="仿宋_GB2312" w:cs="Times New Roman"/>
          <w:bCs/>
          <w:sz w:val="24"/>
          <w:highlight w:val="none"/>
        </w:rPr>
        <w:t>（2）现场经费：以直接费为计费基础，工程措施取5.00%；植物措施按直接费的4.00%计取。</w:t>
      </w:r>
    </w:p>
    <w:p>
      <w:pPr>
        <w:pageBreakBefore w:val="0"/>
        <w:kinsoku/>
        <w:wordWrap/>
        <w:bidi w:val="0"/>
        <w:spacing w:line="360" w:lineRule="auto"/>
        <w:ind w:firstLine="480" w:firstLineChars="200"/>
        <w:rPr>
          <w:rFonts w:hint="default" w:ascii="Times New Roman" w:hAnsi="Times New Roman" w:eastAsia="仿宋_GB2312" w:cs="Times New Roman"/>
          <w:bCs/>
          <w:sz w:val="24"/>
          <w:highlight w:val="none"/>
        </w:rPr>
      </w:pPr>
      <w:r>
        <w:rPr>
          <w:rFonts w:hint="default" w:ascii="Times New Roman" w:hAnsi="Times New Roman" w:eastAsia="仿宋_GB2312" w:cs="Times New Roman"/>
          <w:bCs/>
          <w:sz w:val="24"/>
          <w:highlight w:val="none"/>
        </w:rPr>
        <w:t>（3）间接费：工程措施以直接工程费为计费基础，工程措施取4.40%；植物措施按直接工程费的3.30%计取。</w:t>
      </w:r>
    </w:p>
    <w:p>
      <w:pPr>
        <w:pageBreakBefore w:val="0"/>
        <w:kinsoku/>
        <w:wordWrap/>
        <w:bidi w:val="0"/>
        <w:spacing w:line="360" w:lineRule="auto"/>
        <w:ind w:firstLine="480" w:firstLineChars="200"/>
        <w:rPr>
          <w:rFonts w:hint="default" w:ascii="Times New Roman" w:hAnsi="Times New Roman" w:eastAsia="仿宋_GB2312" w:cs="Times New Roman"/>
          <w:bCs/>
          <w:sz w:val="24"/>
          <w:highlight w:val="none"/>
        </w:rPr>
      </w:pPr>
      <w:r>
        <w:rPr>
          <w:rFonts w:hint="default" w:ascii="Times New Roman" w:hAnsi="Times New Roman" w:eastAsia="仿宋_GB2312" w:cs="Times New Roman"/>
          <w:bCs/>
          <w:sz w:val="24"/>
          <w:highlight w:val="none"/>
        </w:rPr>
        <w:t>（4）企业利润：工程措施按直接工程费和间接费之和的7.00%计取。植物措施按直接工程费和间接费之和的5.00%计取。</w:t>
      </w:r>
    </w:p>
    <w:p>
      <w:pPr>
        <w:pageBreakBefore w:val="0"/>
        <w:kinsoku/>
        <w:wordWrap/>
        <w:bidi w:val="0"/>
        <w:spacing w:line="360" w:lineRule="auto"/>
        <w:ind w:firstLine="480" w:firstLineChars="200"/>
        <w:rPr>
          <w:rFonts w:hint="default" w:ascii="Times New Roman" w:hAnsi="Times New Roman" w:eastAsia="仿宋_GB2312" w:cs="Times New Roman"/>
          <w:bCs/>
          <w:sz w:val="24"/>
          <w:highlight w:val="none"/>
        </w:rPr>
      </w:pPr>
      <w:r>
        <w:rPr>
          <w:rFonts w:hint="default" w:ascii="Times New Roman" w:hAnsi="Times New Roman" w:eastAsia="仿宋_GB2312" w:cs="Times New Roman"/>
          <w:bCs/>
          <w:sz w:val="24"/>
          <w:highlight w:val="none"/>
        </w:rPr>
        <w:t>（5）税金：部分工程措施和植物措施，均按直接工程费、间接费、企业利润之和的9.00%计取。</w:t>
      </w:r>
    </w:p>
    <w:p>
      <w:pPr>
        <w:pageBreakBefore w:val="0"/>
        <w:kinsoku/>
        <w:wordWrap/>
        <w:bidi w:val="0"/>
        <w:spacing w:line="360" w:lineRule="auto"/>
        <w:ind w:firstLine="480" w:firstLineChars="200"/>
        <w:rPr>
          <w:rFonts w:hint="default" w:ascii="Times New Roman" w:hAnsi="Times New Roman" w:eastAsia="仿宋_GB2312" w:cs="Times New Roman"/>
          <w:bCs/>
          <w:sz w:val="24"/>
          <w:highlight w:val="none"/>
        </w:rPr>
      </w:pPr>
      <w:r>
        <w:rPr>
          <w:rFonts w:hint="default" w:ascii="Times New Roman" w:hAnsi="Times New Roman" w:eastAsia="仿宋_GB2312" w:cs="Times New Roman"/>
          <w:bCs/>
          <w:sz w:val="24"/>
          <w:highlight w:val="none"/>
        </w:rPr>
        <w:t>（6）扩大系数：由于</w:t>
      </w:r>
      <w:r>
        <w:rPr>
          <w:rFonts w:hint="default" w:ascii="Times New Roman" w:hAnsi="Times New Roman" w:eastAsia="仿宋_GB2312" w:cs="Times New Roman"/>
          <w:bCs/>
          <w:sz w:val="24"/>
          <w:highlight w:val="none"/>
          <w:lang w:eastAsia="zh-CN"/>
        </w:rPr>
        <w:t>本期项目</w:t>
      </w:r>
      <w:r>
        <w:rPr>
          <w:rFonts w:hint="default" w:ascii="Times New Roman" w:hAnsi="Times New Roman" w:eastAsia="仿宋_GB2312" w:cs="Times New Roman"/>
          <w:bCs/>
          <w:sz w:val="24"/>
          <w:highlight w:val="none"/>
        </w:rPr>
        <w:t>设计阶段为可行性研究，故单价乘以10.00%的扩大系数。</w:t>
      </w:r>
    </w:p>
    <w:p>
      <w:pPr>
        <w:pageBreakBefore w:val="0"/>
        <w:kinsoku/>
        <w:wordWrap/>
        <w:bidi w:val="0"/>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费用构成及取费标准详见表7-1。</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表7-1</w:t>
      </w:r>
      <w:r>
        <w:rPr>
          <w:rFonts w:hint="default" w:ascii="Times New Roman" w:hAnsi="Times New Roman" w:eastAsia="微软雅黑" w:cs="Times New Roman"/>
          <w:sz w:val="21"/>
          <w:szCs w:val="21"/>
          <w:lang w:val="en-US" w:eastAsia="zh-CN"/>
        </w:rPr>
        <w:t xml:space="preserve">  </w:t>
      </w:r>
      <w:r>
        <w:rPr>
          <w:rFonts w:hint="default" w:ascii="Times New Roman" w:hAnsi="Times New Roman" w:eastAsia="微软雅黑" w:cs="Times New Roman"/>
          <w:sz w:val="21"/>
          <w:szCs w:val="21"/>
        </w:rPr>
        <w:t>工程费率表</w:t>
      </w:r>
    </w:p>
    <w:tbl>
      <w:tblPr>
        <w:tblStyle w:val="88"/>
        <w:tblW w:w="5000" w:type="pct"/>
        <w:jc w:val="center"/>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35"/>
        <w:gridCol w:w="1747"/>
        <w:gridCol w:w="3563"/>
        <w:gridCol w:w="1242"/>
        <w:gridCol w:w="1242"/>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31" w:type="pct"/>
            <w:vMerge w:val="restart"/>
            <w:tcBorders>
              <w:tl2br w:val="nil"/>
              <w:tr2bl w:val="nil"/>
            </w:tcBorders>
            <w:noWrap w:val="0"/>
            <w:vAlign w:val="center"/>
          </w:tcPr>
          <w:p>
            <w:pPr>
              <w:pageBreakBefore w:val="0"/>
              <w:kinsoku/>
              <w:wordWrap/>
              <w:bidi w:val="0"/>
              <w:jc w:val="center"/>
              <w:rPr>
                <w:rFonts w:hint="default" w:ascii="Times New Roman" w:hAnsi="Times New Roman" w:eastAsia="仿宋_GB2312" w:cs="Times New Roman"/>
                <w:b/>
                <w:snapToGrid w:val="0"/>
                <w:kern w:val="0"/>
                <w:szCs w:val="21"/>
                <w:highlight w:val="none"/>
              </w:rPr>
            </w:pPr>
            <w:r>
              <w:rPr>
                <w:rFonts w:hint="default" w:ascii="Times New Roman" w:hAnsi="Times New Roman" w:eastAsia="仿宋_GB2312" w:cs="Times New Roman"/>
                <w:b/>
                <w:snapToGrid w:val="0"/>
                <w:kern w:val="0"/>
                <w:szCs w:val="21"/>
                <w:highlight w:val="none"/>
              </w:rPr>
              <w:t>序号</w:t>
            </w:r>
          </w:p>
        </w:tc>
        <w:tc>
          <w:tcPr>
            <w:tcW w:w="1024" w:type="pct"/>
            <w:vMerge w:val="restart"/>
            <w:tcBorders>
              <w:tl2br w:val="nil"/>
              <w:tr2bl w:val="nil"/>
            </w:tcBorders>
            <w:noWrap w:val="0"/>
            <w:vAlign w:val="center"/>
          </w:tcPr>
          <w:p>
            <w:pPr>
              <w:pageBreakBefore w:val="0"/>
              <w:kinsoku/>
              <w:wordWrap/>
              <w:bidi w:val="0"/>
              <w:jc w:val="center"/>
              <w:rPr>
                <w:rFonts w:hint="default" w:ascii="Times New Roman" w:hAnsi="Times New Roman" w:eastAsia="仿宋_GB2312" w:cs="Times New Roman"/>
                <w:b/>
                <w:snapToGrid w:val="0"/>
                <w:kern w:val="0"/>
                <w:szCs w:val="21"/>
                <w:highlight w:val="none"/>
              </w:rPr>
            </w:pPr>
            <w:r>
              <w:rPr>
                <w:rFonts w:hint="default" w:ascii="Times New Roman" w:hAnsi="Times New Roman" w:eastAsia="仿宋_GB2312" w:cs="Times New Roman"/>
                <w:b/>
                <w:snapToGrid w:val="0"/>
                <w:kern w:val="0"/>
                <w:szCs w:val="21"/>
                <w:highlight w:val="none"/>
              </w:rPr>
              <w:t>项目</w:t>
            </w:r>
          </w:p>
        </w:tc>
        <w:tc>
          <w:tcPr>
            <w:tcW w:w="2088" w:type="pct"/>
            <w:vMerge w:val="restart"/>
            <w:tcBorders>
              <w:tl2br w:val="nil"/>
              <w:tr2bl w:val="nil"/>
            </w:tcBorders>
            <w:noWrap w:val="0"/>
            <w:vAlign w:val="center"/>
          </w:tcPr>
          <w:p>
            <w:pPr>
              <w:pageBreakBefore w:val="0"/>
              <w:kinsoku/>
              <w:wordWrap/>
              <w:bidi w:val="0"/>
              <w:jc w:val="center"/>
              <w:rPr>
                <w:rFonts w:hint="default" w:ascii="Times New Roman" w:hAnsi="Times New Roman" w:eastAsia="仿宋_GB2312" w:cs="Times New Roman"/>
                <w:b/>
                <w:snapToGrid w:val="0"/>
                <w:kern w:val="0"/>
                <w:szCs w:val="21"/>
                <w:highlight w:val="none"/>
              </w:rPr>
            </w:pPr>
            <w:r>
              <w:rPr>
                <w:rFonts w:hint="default" w:ascii="Times New Roman" w:hAnsi="Times New Roman" w:eastAsia="仿宋_GB2312" w:cs="Times New Roman"/>
                <w:b/>
                <w:snapToGrid w:val="0"/>
                <w:kern w:val="0"/>
                <w:szCs w:val="21"/>
                <w:highlight w:val="none"/>
              </w:rPr>
              <w:t>计算基数</w:t>
            </w:r>
          </w:p>
        </w:tc>
        <w:tc>
          <w:tcPr>
            <w:tcW w:w="1455" w:type="pct"/>
            <w:gridSpan w:val="2"/>
            <w:tcBorders>
              <w:tl2br w:val="nil"/>
              <w:tr2bl w:val="nil"/>
            </w:tcBorders>
            <w:noWrap w:val="0"/>
            <w:vAlign w:val="center"/>
          </w:tcPr>
          <w:p>
            <w:pPr>
              <w:pageBreakBefore w:val="0"/>
              <w:kinsoku/>
              <w:wordWrap/>
              <w:bidi w:val="0"/>
              <w:jc w:val="center"/>
              <w:rPr>
                <w:rFonts w:hint="default" w:ascii="Times New Roman" w:hAnsi="Times New Roman" w:eastAsia="仿宋_GB2312" w:cs="Times New Roman"/>
                <w:b/>
                <w:snapToGrid w:val="0"/>
                <w:kern w:val="0"/>
                <w:szCs w:val="21"/>
                <w:highlight w:val="none"/>
              </w:rPr>
            </w:pPr>
            <w:r>
              <w:rPr>
                <w:rFonts w:hint="default" w:ascii="Times New Roman" w:hAnsi="Times New Roman" w:eastAsia="仿宋_GB2312" w:cs="Times New Roman"/>
                <w:b/>
                <w:snapToGrid w:val="0"/>
                <w:kern w:val="0"/>
                <w:szCs w:val="21"/>
                <w:highlight w:val="none"/>
              </w:rPr>
              <w:t>费率（%）</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31" w:type="pct"/>
            <w:vMerge w:val="continue"/>
            <w:tcBorders>
              <w:tl2br w:val="nil"/>
              <w:tr2bl w:val="nil"/>
            </w:tcBorders>
            <w:noWrap w:val="0"/>
            <w:vAlign w:val="center"/>
          </w:tcPr>
          <w:p>
            <w:pPr>
              <w:pageBreakBefore w:val="0"/>
              <w:kinsoku/>
              <w:wordWrap/>
              <w:bidi w:val="0"/>
              <w:jc w:val="center"/>
              <w:rPr>
                <w:rFonts w:hint="default" w:ascii="Times New Roman" w:hAnsi="Times New Roman" w:eastAsia="仿宋_GB2312" w:cs="Times New Roman"/>
                <w:b/>
                <w:snapToGrid w:val="0"/>
                <w:kern w:val="0"/>
                <w:szCs w:val="21"/>
                <w:highlight w:val="none"/>
              </w:rPr>
            </w:pPr>
          </w:p>
        </w:tc>
        <w:tc>
          <w:tcPr>
            <w:tcW w:w="1024" w:type="pct"/>
            <w:vMerge w:val="continue"/>
            <w:tcBorders>
              <w:tl2br w:val="nil"/>
              <w:tr2bl w:val="nil"/>
            </w:tcBorders>
            <w:noWrap w:val="0"/>
            <w:vAlign w:val="center"/>
          </w:tcPr>
          <w:p>
            <w:pPr>
              <w:pageBreakBefore w:val="0"/>
              <w:kinsoku/>
              <w:wordWrap/>
              <w:bidi w:val="0"/>
              <w:jc w:val="center"/>
              <w:rPr>
                <w:rFonts w:hint="default" w:ascii="Times New Roman" w:hAnsi="Times New Roman" w:eastAsia="仿宋_GB2312" w:cs="Times New Roman"/>
                <w:b/>
                <w:snapToGrid w:val="0"/>
                <w:kern w:val="0"/>
                <w:szCs w:val="21"/>
                <w:highlight w:val="none"/>
              </w:rPr>
            </w:pPr>
          </w:p>
        </w:tc>
        <w:tc>
          <w:tcPr>
            <w:tcW w:w="2088" w:type="pct"/>
            <w:vMerge w:val="continue"/>
            <w:tcBorders>
              <w:tl2br w:val="nil"/>
              <w:tr2bl w:val="nil"/>
            </w:tcBorders>
            <w:noWrap w:val="0"/>
            <w:vAlign w:val="center"/>
          </w:tcPr>
          <w:p>
            <w:pPr>
              <w:pageBreakBefore w:val="0"/>
              <w:kinsoku/>
              <w:wordWrap/>
              <w:bidi w:val="0"/>
              <w:jc w:val="center"/>
              <w:rPr>
                <w:rFonts w:hint="default" w:ascii="Times New Roman" w:hAnsi="Times New Roman" w:eastAsia="仿宋_GB2312" w:cs="Times New Roman"/>
                <w:b/>
                <w:snapToGrid w:val="0"/>
                <w:kern w:val="0"/>
                <w:szCs w:val="21"/>
                <w:highlight w:val="none"/>
              </w:rPr>
            </w:pPr>
          </w:p>
        </w:tc>
        <w:tc>
          <w:tcPr>
            <w:tcW w:w="728" w:type="pct"/>
            <w:tcBorders>
              <w:tl2br w:val="nil"/>
              <w:tr2bl w:val="nil"/>
            </w:tcBorders>
            <w:noWrap w:val="0"/>
            <w:vAlign w:val="center"/>
          </w:tcPr>
          <w:p>
            <w:pPr>
              <w:pageBreakBefore w:val="0"/>
              <w:kinsoku/>
              <w:wordWrap/>
              <w:bidi w:val="0"/>
              <w:jc w:val="center"/>
              <w:rPr>
                <w:rFonts w:hint="default" w:ascii="Times New Roman" w:hAnsi="Times New Roman" w:eastAsia="仿宋_GB2312" w:cs="Times New Roman"/>
                <w:b/>
                <w:snapToGrid w:val="0"/>
                <w:kern w:val="0"/>
                <w:szCs w:val="21"/>
                <w:highlight w:val="none"/>
              </w:rPr>
            </w:pPr>
            <w:r>
              <w:rPr>
                <w:rFonts w:hint="default" w:ascii="Times New Roman" w:hAnsi="Times New Roman" w:eastAsia="仿宋_GB2312" w:cs="Times New Roman"/>
                <w:b/>
                <w:snapToGrid w:val="0"/>
                <w:kern w:val="0"/>
                <w:szCs w:val="21"/>
                <w:highlight w:val="none"/>
              </w:rPr>
              <w:t>工程措施</w:t>
            </w:r>
          </w:p>
        </w:tc>
        <w:tc>
          <w:tcPr>
            <w:tcW w:w="726" w:type="pct"/>
            <w:tcBorders>
              <w:tl2br w:val="nil"/>
              <w:tr2bl w:val="nil"/>
            </w:tcBorders>
            <w:noWrap w:val="0"/>
            <w:vAlign w:val="center"/>
          </w:tcPr>
          <w:p>
            <w:pPr>
              <w:pageBreakBefore w:val="0"/>
              <w:kinsoku/>
              <w:wordWrap/>
              <w:bidi w:val="0"/>
              <w:jc w:val="center"/>
              <w:rPr>
                <w:rFonts w:hint="default" w:ascii="Times New Roman" w:hAnsi="Times New Roman" w:eastAsia="仿宋_GB2312" w:cs="Times New Roman"/>
                <w:b/>
                <w:snapToGrid w:val="0"/>
                <w:kern w:val="0"/>
                <w:szCs w:val="21"/>
                <w:highlight w:val="none"/>
              </w:rPr>
            </w:pPr>
            <w:r>
              <w:rPr>
                <w:rFonts w:hint="default" w:ascii="Times New Roman" w:hAnsi="Times New Roman" w:eastAsia="仿宋_GB2312" w:cs="Times New Roman"/>
                <w:b/>
                <w:snapToGrid w:val="0"/>
                <w:kern w:val="0"/>
                <w:szCs w:val="21"/>
                <w:highlight w:val="none"/>
              </w:rPr>
              <w:t>植物措施</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31" w:type="pct"/>
            <w:tcBorders>
              <w:tl2br w:val="nil"/>
              <w:tr2bl w:val="nil"/>
            </w:tcBorders>
            <w:noWrap w:val="0"/>
            <w:vAlign w:val="center"/>
          </w:tcPr>
          <w:p>
            <w:pPr>
              <w:pageBreakBefore w:val="0"/>
              <w:kinsoku/>
              <w:wordWrap/>
              <w:bidi w:val="0"/>
              <w:jc w:val="center"/>
              <w:rPr>
                <w:rFonts w:hint="default" w:ascii="Times New Roman" w:hAnsi="Times New Roman" w:eastAsia="仿宋_GB2312" w:cs="Times New Roman"/>
                <w:snapToGrid w:val="0"/>
                <w:kern w:val="0"/>
                <w:szCs w:val="21"/>
                <w:highlight w:val="none"/>
              </w:rPr>
            </w:pPr>
            <w:r>
              <w:rPr>
                <w:rFonts w:hint="default" w:ascii="Times New Roman" w:hAnsi="Times New Roman" w:eastAsia="仿宋_GB2312" w:cs="Times New Roman"/>
                <w:snapToGrid w:val="0"/>
                <w:kern w:val="0"/>
                <w:szCs w:val="21"/>
                <w:highlight w:val="none"/>
              </w:rPr>
              <w:t>1</w:t>
            </w:r>
          </w:p>
        </w:tc>
        <w:tc>
          <w:tcPr>
            <w:tcW w:w="1024" w:type="pct"/>
            <w:tcBorders>
              <w:tl2br w:val="nil"/>
              <w:tr2bl w:val="nil"/>
            </w:tcBorders>
            <w:noWrap w:val="0"/>
            <w:vAlign w:val="center"/>
          </w:tcPr>
          <w:p>
            <w:pPr>
              <w:pageBreakBefore w:val="0"/>
              <w:kinsoku/>
              <w:wordWrap/>
              <w:bidi w:val="0"/>
              <w:jc w:val="center"/>
              <w:rPr>
                <w:rFonts w:hint="default" w:ascii="Times New Roman" w:hAnsi="Times New Roman" w:eastAsia="仿宋_GB2312" w:cs="Times New Roman"/>
                <w:snapToGrid w:val="0"/>
                <w:kern w:val="0"/>
                <w:szCs w:val="21"/>
                <w:highlight w:val="none"/>
              </w:rPr>
            </w:pPr>
            <w:r>
              <w:rPr>
                <w:rFonts w:hint="default" w:ascii="Times New Roman" w:hAnsi="Times New Roman" w:eastAsia="仿宋_GB2312" w:cs="Times New Roman"/>
                <w:snapToGrid w:val="0"/>
                <w:kern w:val="0"/>
                <w:szCs w:val="21"/>
                <w:highlight w:val="none"/>
              </w:rPr>
              <w:t>其他直接费率</w:t>
            </w:r>
          </w:p>
        </w:tc>
        <w:tc>
          <w:tcPr>
            <w:tcW w:w="2088" w:type="pct"/>
            <w:tcBorders>
              <w:tl2br w:val="nil"/>
              <w:tr2bl w:val="nil"/>
            </w:tcBorders>
            <w:noWrap w:val="0"/>
            <w:vAlign w:val="center"/>
          </w:tcPr>
          <w:p>
            <w:pPr>
              <w:pageBreakBefore w:val="0"/>
              <w:kinsoku/>
              <w:wordWrap/>
              <w:bidi w:val="0"/>
              <w:jc w:val="center"/>
              <w:rPr>
                <w:rFonts w:hint="default" w:ascii="Times New Roman" w:hAnsi="Times New Roman" w:eastAsia="仿宋_GB2312" w:cs="Times New Roman"/>
                <w:snapToGrid w:val="0"/>
                <w:kern w:val="0"/>
                <w:szCs w:val="21"/>
                <w:highlight w:val="none"/>
              </w:rPr>
            </w:pPr>
            <w:r>
              <w:rPr>
                <w:rFonts w:hint="default" w:ascii="Times New Roman" w:hAnsi="Times New Roman" w:eastAsia="仿宋_GB2312" w:cs="Times New Roman"/>
                <w:snapToGrid w:val="0"/>
                <w:kern w:val="0"/>
                <w:szCs w:val="21"/>
                <w:highlight w:val="none"/>
              </w:rPr>
              <w:t>直接费</w:t>
            </w:r>
          </w:p>
        </w:tc>
        <w:tc>
          <w:tcPr>
            <w:tcW w:w="728" w:type="pct"/>
            <w:tcBorders>
              <w:tl2br w:val="nil"/>
              <w:tr2bl w:val="nil"/>
            </w:tcBorders>
            <w:noWrap w:val="0"/>
            <w:vAlign w:val="center"/>
          </w:tcPr>
          <w:p>
            <w:pPr>
              <w:pageBreakBefore w:val="0"/>
              <w:kinsoku/>
              <w:wordWrap/>
              <w:bidi w:val="0"/>
              <w:jc w:val="center"/>
              <w:rPr>
                <w:rFonts w:hint="default" w:ascii="Times New Roman" w:hAnsi="Times New Roman" w:eastAsia="仿宋_GB2312" w:cs="Times New Roman"/>
                <w:snapToGrid w:val="0"/>
                <w:kern w:val="0"/>
                <w:szCs w:val="21"/>
                <w:highlight w:val="none"/>
              </w:rPr>
            </w:pPr>
            <w:r>
              <w:rPr>
                <w:rFonts w:hint="default" w:ascii="Times New Roman" w:hAnsi="Times New Roman" w:eastAsia="仿宋_GB2312" w:cs="Times New Roman"/>
                <w:snapToGrid w:val="0"/>
                <w:kern w:val="0"/>
                <w:szCs w:val="21"/>
                <w:highlight w:val="none"/>
              </w:rPr>
              <w:t>4.00</w:t>
            </w:r>
          </w:p>
        </w:tc>
        <w:tc>
          <w:tcPr>
            <w:tcW w:w="726" w:type="pct"/>
            <w:tcBorders>
              <w:tl2br w:val="nil"/>
              <w:tr2bl w:val="nil"/>
            </w:tcBorders>
            <w:noWrap w:val="0"/>
            <w:vAlign w:val="center"/>
          </w:tcPr>
          <w:p>
            <w:pPr>
              <w:pageBreakBefore w:val="0"/>
              <w:kinsoku/>
              <w:wordWrap/>
              <w:bidi w:val="0"/>
              <w:jc w:val="center"/>
              <w:rPr>
                <w:rFonts w:hint="default" w:ascii="Times New Roman" w:hAnsi="Times New Roman" w:eastAsia="仿宋_GB2312" w:cs="Times New Roman"/>
                <w:snapToGrid w:val="0"/>
                <w:kern w:val="0"/>
                <w:szCs w:val="21"/>
                <w:highlight w:val="none"/>
              </w:rPr>
            </w:pPr>
            <w:r>
              <w:rPr>
                <w:rFonts w:hint="default" w:ascii="Times New Roman" w:hAnsi="Times New Roman" w:eastAsia="仿宋_GB2312" w:cs="Times New Roman"/>
                <w:snapToGrid w:val="0"/>
                <w:kern w:val="0"/>
                <w:szCs w:val="21"/>
                <w:highlight w:val="none"/>
              </w:rPr>
              <w:t>2.50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31" w:type="pct"/>
            <w:tcBorders>
              <w:tl2br w:val="nil"/>
              <w:tr2bl w:val="nil"/>
            </w:tcBorders>
            <w:noWrap w:val="0"/>
            <w:vAlign w:val="center"/>
          </w:tcPr>
          <w:p>
            <w:pPr>
              <w:pageBreakBefore w:val="0"/>
              <w:kinsoku/>
              <w:wordWrap/>
              <w:bidi w:val="0"/>
              <w:jc w:val="center"/>
              <w:rPr>
                <w:rFonts w:hint="default" w:ascii="Times New Roman" w:hAnsi="Times New Roman" w:eastAsia="仿宋_GB2312" w:cs="Times New Roman"/>
                <w:snapToGrid w:val="0"/>
                <w:kern w:val="0"/>
                <w:szCs w:val="21"/>
                <w:highlight w:val="none"/>
              </w:rPr>
            </w:pPr>
            <w:r>
              <w:rPr>
                <w:rFonts w:hint="default" w:ascii="Times New Roman" w:hAnsi="Times New Roman" w:eastAsia="仿宋_GB2312" w:cs="Times New Roman"/>
                <w:snapToGrid w:val="0"/>
                <w:kern w:val="0"/>
                <w:szCs w:val="21"/>
                <w:highlight w:val="none"/>
              </w:rPr>
              <w:t>2</w:t>
            </w:r>
          </w:p>
        </w:tc>
        <w:tc>
          <w:tcPr>
            <w:tcW w:w="1024" w:type="pct"/>
            <w:tcBorders>
              <w:tl2br w:val="nil"/>
              <w:tr2bl w:val="nil"/>
            </w:tcBorders>
            <w:noWrap w:val="0"/>
            <w:vAlign w:val="center"/>
          </w:tcPr>
          <w:p>
            <w:pPr>
              <w:pageBreakBefore w:val="0"/>
              <w:kinsoku/>
              <w:wordWrap/>
              <w:bidi w:val="0"/>
              <w:jc w:val="center"/>
              <w:rPr>
                <w:rFonts w:hint="default" w:ascii="Times New Roman" w:hAnsi="Times New Roman" w:eastAsia="仿宋_GB2312" w:cs="Times New Roman"/>
                <w:snapToGrid w:val="0"/>
                <w:kern w:val="0"/>
                <w:szCs w:val="21"/>
                <w:highlight w:val="none"/>
              </w:rPr>
            </w:pPr>
            <w:r>
              <w:rPr>
                <w:rFonts w:hint="default" w:ascii="Times New Roman" w:hAnsi="Times New Roman" w:eastAsia="仿宋_GB2312" w:cs="Times New Roman"/>
                <w:snapToGrid w:val="0"/>
                <w:kern w:val="0"/>
                <w:szCs w:val="21"/>
                <w:highlight w:val="none"/>
              </w:rPr>
              <w:t>现场经费费率</w:t>
            </w:r>
          </w:p>
        </w:tc>
        <w:tc>
          <w:tcPr>
            <w:tcW w:w="2088" w:type="pct"/>
            <w:tcBorders>
              <w:tl2br w:val="nil"/>
              <w:tr2bl w:val="nil"/>
            </w:tcBorders>
            <w:noWrap w:val="0"/>
            <w:vAlign w:val="center"/>
          </w:tcPr>
          <w:p>
            <w:pPr>
              <w:pageBreakBefore w:val="0"/>
              <w:kinsoku/>
              <w:wordWrap/>
              <w:bidi w:val="0"/>
              <w:jc w:val="center"/>
              <w:rPr>
                <w:rFonts w:hint="default" w:ascii="Times New Roman" w:hAnsi="Times New Roman" w:eastAsia="仿宋_GB2312" w:cs="Times New Roman"/>
                <w:snapToGrid w:val="0"/>
                <w:kern w:val="0"/>
                <w:szCs w:val="21"/>
                <w:highlight w:val="none"/>
              </w:rPr>
            </w:pPr>
            <w:r>
              <w:rPr>
                <w:rFonts w:hint="default" w:ascii="Times New Roman" w:hAnsi="Times New Roman" w:eastAsia="仿宋_GB2312" w:cs="Times New Roman"/>
                <w:snapToGrid w:val="0"/>
                <w:kern w:val="0"/>
                <w:szCs w:val="21"/>
                <w:highlight w:val="none"/>
              </w:rPr>
              <w:t>直接费</w:t>
            </w:r>
          </w:p>
        </w:tc>
        <w:tc>
          <w:tcPr>
            <w:tcW w:w="728" w:type="pct"/>
            <w:tcBorders>
              <w:tl2br w:val="nil"/>
              <w:tr2bl w:val="nil"/>
            </w:tcBorders>
            <w:noWrap w:val="0"/>
            <w:vAlign w:val="center"/>
          </w:tcPr>
          <w:p>
            <w:pPr>
              <w:pageBreakBefore w:val="0"/>
              <w:kinsoku/>
              <w:wordWrap/>
              <w:bidi w:val="0"/>
              <w:jc w:val="center"/>
              <w:rPr>
                <w:rFonts w:hint="default" w:ascii="Times New Roman" w:hAnsi="Times New Roman" w:eastAsia="仿宋_GB2312" w:cs="Times New Roman"/>
                <w:snapToGrid w:val="0"/>
                <w:kern w:val="0"/>
                <w:szCs w:val="21"/>
                <w:highlight w:val="none"/>
              </w:rPr>
            </w:pPr>
            <w:r>
              <w:rPr>
                <w:rFonts w:hint="default" w:ascii="Times New Roman" w:hAnsi="Times New Roman" w:eastAsia="仿宋_GB2312" w:cs="Times New Roman"/>
                <w:snapToGrid w:val="0"/>
                <w:kern w:val="0"/>
                <w:szCs w:val="21"/>
                <w:highlight w:val="none"/>
              </w:rPr>
              <w:t>5.00</w:t>
            </w:r>
          </w:p>
        </w:tc>
        <w:tc>
          <w:tcPr>
            <w:tcW w:w="726" w:type="pct"/>
            <w:tcBorders>
              <w:tl2br w:val="nil"/>
              <w:tr2bl w:val="nil"/>
            </w:tcBorders>
            <w:noWrap w:val="0"/>
            <w:vAlign w:val="center"/>
          </w:tcPr>
          <w:p>
            <w:pPr>
              <w:pageBreakBefore w:val="0"/>
              <w:kinsoku/>
              <w:wordWrap/>
              <w:bidi w:val="0"/>
              <w:jc w:val="center"/>
              <w:rPr>
                <w:rFonts w:hint="default" w:ascii="Times New Roman" w:hAnsi="Times New Roman" w:eastAsia="仿宋_GB2312" w:cs="Times New Roman"/>
                <w:snapToGrid w:val="0"/>
                <w:kern w:val="0"/>
                <w:szCs w:val="21"/>
                <w:highlight w:val="none"/>
              </w:rPr>
            </w:pPr>
            <w:r>
              <w:rPr>
                <w:rFonts w:hint="default" w:ascii="Times New Roman" w:hAnsi="Times New Roman" w:eastAsia="仿宋_GB2312" w:cs="Times New Roman"/>
                <w:snapToGrid w:val="0"/>
                <w:kern w:val="0"/>
                <w:szCs w:val="21"/>
                <w:highlight w:val="none"/>
              </w:rPr>
              <w:t>4.00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31" w:type="pct"/>
            <w:tcBorders>
              <w:tl2br w:val="nil"/>
              <w:tr2bl w:val="nil"/>
            </w:tcBorders>
            <w:noWrap w:val="0"/>
            <w:vAlign w:val="center"/>
          </w:tcPr>
          <w:p>
            <w:pPr>
              <w:pageBreakBefore w:val="0"/>
              <w:kinsoku/>
              <w:wordWrap/>
              <w:bidi w:val="0"/>
              <w:jc w:val="center"/>
              <w:rPr>
                <w:rFonts w:hint="default" w:ascii="Times New Roman" w:hAnsi="Times New Roman" w:eastAsia="仿宋_GB2312" w:cs="Times New Roman"/>
                <w:snapToGrid w:val="0"/>
                <w:kern w:val="0"/>
                <w:szCs w:val="21"/>
                <w:highlight w:val="none"/>
              </w:rPr>
            </w:pPr>
            <w:r>
              <w:rPr>
                <w:rFonts w:hint="default" w:ascii="Times New Roman" w:hAnsi="Times New Roman" w:eastAsia="仿宋_GB2312" w:cs="Times New Roman"/>
                <w:snapToGrid w:val="0"/>
                <w:kern w:val="0"/>
                <w:szCs w:val="21"/>
                <w:highlight w:val="none"/>
              </w:rPr>
              <w:t>3</w:t>
            </w:r>
          </w:p>
        </w:tc>
        <w:tc>
          <w:tcPr>
            <w:tcW w:w="1024" w:type="pct"/>
            <w:tcBorders>
              <w:tl2br w:val="nil"/>
              <w:tr2bl w:val="nil"/>
            </w:tcBorders>
            <w:noWrap w:val="0"/>
            <w:vAlign w:val="center"/>
          </w:tcPr>
          <w:p>
            <w:pPr>
              <w:pageBreakBefore w:val="0"/>
              <w:kinsoku/>
              <w:wordWrap/>
              <w:bidi w:val="0"/>
              <w:jc w:val="center"/>
              <w:rPr>
                <w:rFonts w:hint="default" w:ascii="Times New Roman" w:hAnsi="Times New Roman" w:eastAsia="仿宋_GB2312" w:cs="Times New Roman"/>
                <w:snapToGrid w:val="0"/>
                <w:kern w:val="0"/>
                <w:szCs w:val="21"/>
                <w:highlight w:val="none"/>
              </w:rPr>
            </w:pPr>
            <w:r>
              <w:rPr>
                <w:rFonts w:hint="default" w:ascii="Times New Roman" w:hAnsi="Times New Roman" w:eastAsia="仿宋_GB2312" w:cs="Times New Roman"/>
                <w:snapToGrid w:val="0"/>
                <w:kern w:val="0"/>
                <w:szCs w:val="21"/>
                <w:highlight w:val="none"/>
              </w:rPr>
              <w:t>间接费率</w:t>
            </w:r>
          </w:p>
        </w:tc>
        <w:tc>
          <w:tcPr>
            <w:tcW w:w="2088" w:type="pct"/>
            <w:tcBorders>
              <w:tl2br w:val="nil"/>
              <w:tr2bl w:val="nil"/>
            </w:tcBorders>
            <w:noWrap w:val="0"/>
            <w:vAlign w:val="center"/>
          </w:tcPr>
          <w:p>
            <w:pPr>
              <w:pageBreakBefore w:val="0"/>
              <w:kinsoku/>
              <w:wordWrap/>
              <w:bidi w:val="0"/>
              <w:jc w:val="center"/>
              <w:rPr>
                <w:rFonts w:hint="default" w:ascii="Times New Roman" w:hAnsi="Times New Roman" w:eastAsia="仿宋_GB2312" w:cs="Times New Roman"/>
                <w:snapToGrid w:val="0"/>
                <w:kern w:val="0"/>
                <w:szCs w:val="21"/>
                <w:highlight w:val="none"/>
              </w:rPr>
            </w:pPr>
            <w:r>
              <w:rPr>
                <w:rFonts w:hint="default" w:ascii="Times New Roman" w:hAnsi="Times New Roman" w:eastAsia="仿宋_GB2312" w:cs="Times New Roman"/>
                <w:snapToGrid w:val="0"/>
                <w:kern w:val="0"/>
                <w:szCs w:val="21"/>
                <w:highlight w:val="none"/>
              </w:rPr>
              <w:t>直接工程费</w:t>
            </w:r>
          </w:p>
        </w:tc>
        <w:tc>
          <w:tcPr>
            <w:tcW w:w="728" w:type="pct"/>
            <w:tcBorders>
              <w:tl2br w:val="nil"/>
              <w:tr2bl w:val="nil"/>
            </w:tcBorders>
            <w:noWrap w:val="0"/>
            <w:vAlign w:val="center"/>
          </w:tcPr>
          <w:p>
            <w:pPr>
              <w:pageBreakBefore w:val="0"/>
              <w:kinsoku/>
              <w:wordWrap/>
              <w:bidi w:val="0"/>
              <w:jc w:val="center"/>
              <w:rPr>
                <w:rFonts w:hint="default" w:ascii="Times New Roman" w:hAnsi="Times New Roman" w:eastAsia="仿宋_GB2312" w:cs="Times New Roman"/>
                <w:snapToGrid w:val="0"/>
                <w:kern w:val="0"/>
                <w:szCs w:val="21"/>
                <w:highlight w:val="none"/>
              </w:rPr>
            </w:pPr>
            <w:r>
              <w:rPr>
                <w:rFonts w:hint="default" w:ascii="Times New Roman" w:hAnsi="Times New Roman" w:eastAsia="仿宋_GB2312" w:cs="Times New Roman"/>
                <w:snapToGrid w:val="0"/>
                <w:kern w:val="0"/>
                <w:szCs w:val="21"/>
                <w:highlight w:val="none"/>
              </w:rPr>
              <w:t>4.40</w:t>
            </w:r>
          </w:p>
        </w:tc>
        <w:tc>
          <w:tcPr>
            <w:tcW w:w="726" w:type="pct"/>
            <w:tcBorders>
              <w:tl2br w:val="nil"/>
              <w:tr2bl w:val="nil"/>
            </w:tcBorders>
            <w:noWrap w:val="0"/>
            <w:vAlign w:val="center"/>
          </w:tcPr>
          <w:p>
            <w:pPr>
              <w:pageBreakBefore w:val="0"/>
              <w:kinsoku/>
              <w:wordWrap/>
              <w:bidi w:val="0"/>
              <w:jc w:val="center"/>
              <w:rPr>
                <w:rFonts w:hint="default" w:ascii="Times New Roman" w:hAnsi="Times New Roman" w:eastAsia="仿宋_GB2312" w:cs="Times New Roman"/>
                <w:snapToGrid w:val="0"/>
                <w:kern w:val="0"/>
                <w:szCs w:val="21"/>
                <w:highlight w:val="none"/>
              </w:rPr>
            </w:pPr>
            <w:r>
              <w:rPr>
                <w:rFonts w:hint="default" w:ascii="Times New Roman" w:hAnsi="Times New Roman" w:eastAsia="仿宋_GB2312" w:cs="Times New Roman"/>
                <w:snapToGrid w:val="0"/>
                <w:kern w:val="0"/>
                <w:szCs w:val="21"/>
                <w:highlight w:val="none"/>
              </w:rPr>
              <w:t>3.30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31" w:type="pct"/>
            <w:tcBorders>
              <w:tl2br w:val="nil"/>
              <w:tr2bl w:val="nil"/>
            </w:tcBorders>
            <w:noWrap w:val="0"/>
            <w:vAlign w:val="center"/>
          </w:tcPr>
          <w:p>
            <w:pPr>
              <w:pageBreakBefore w:val="0"/>
              <w:kinsoku/>
              <w:wordWrap/>
              <w:bidi w:val="0"/>
              <w:jc w:val="center"/>
              <w:rPr>
                <w:rFonts w:hint="default" w:ascii="Times New Roman" w:hAnsi="Times New Roman" w:eastAsia="仿宋_GB2312" w:cs="Times New Roman"/>
                <w:snapToGrid w:val="0"/>
                <w:kern w:val="0"/>
                <w:szCs w:val="21"/>
                <w:highlight w:val="none"/>
              </w:rPr>
            </w:pPr>
            <w:r>
              <w:rPr>
                <w:rFonts w:hint="default" w:ascii="Times New Roman" w:hAnsi="Times New Roman" w:eastAsia="仿宋_GB2312" w:cs="Times New Roman"/>
                <w:snapToGrid w:val="0"/>
                <w:kern w:val="0"/>
                <w:szCs w:val="21"/>
                <w:highlight w:val="none"/>
              </w:rPr>
              <w:t>4</w:t>
            </w:r>
          </w:p>
        </w:tc>
        <w:tc>
          <w:tcPr>
            <w:tcW w:w="1024" w:type="pct"/>
            <w:tcBorders>
              <w:tl2br w:val="nil"/>
              <w:tr2bl w:val="nil"/>
            </w:tcBorders>
            <w:noWrap w:val="0"/>
            <w:vAlign w:val="center"/>
          </w:tcPr>
          <w:p>
            <w:pPr>
              <w:pageBreakBefore w:val="0"/>
              <w:kinsoku/>
              <w:wordWrap/>
              <w:bidi w:val="0"/>
              <w:jc w:val="center"/>
              <w:rPr>
                <w:rFonts w:hint="default" w:ascii="Times New Roman" w:hAnsi="Times New Roman" w:eastAsia="仿宋_GB2312" w:cs="Times New Roman"/>
                <w:snapToGrid w:val="0"/>
                <w:kern w:val="0"/>
                <w:szCs w:val="21"/>
                <w:highlight w:val="none"/>
              </w:rPr>
            </w:pPr>
            <w:r>
              <w:rPr>
                <w:rFonts w:hint="default" w:ascii="Times New Roman" w:hAnsi="Times New Roman" w:eastAsia="仿宋_GB2312" w:cs="Times New Roman"/>
                <w:snapToGrid w:val="0"/>
                <w:kern w:val="0"/>
                <w:szCs w:val="21"/>
                <w:highlight w:val="none"/>
              </w:rPr>
              <w:t>企业利润</w:t>
            </w:r>
          </w:p>
        </w:tc>
        <w:tc>
          <w:tcPr>
            <w:tcW w:w="2088" w:type="pct"/>
            <w:tcBorders>
              <w:tl2br w:val="nil"/>
              <w:tr2bl w:val="nil"/>
            </w:tcBorders>
            <w:noWrap w:val="0"/>
            <w:vAlign w:val="center"/>
          </w:tcPr>
          <w:p>
            <w:pPr>
              <w:pageBreakBefore w:val="0"/>
              <w:kinsoku/>
              <w:wordWrap/>
              <w:bidi w:val="0"/>
              <w:jc w:val="center"/>
              <w:rPr>
                <w:rFonts w:hint="default" w:ascii="Times New Roman" w:hAnsi="Times New Roman" w:eastAsia="仿宋_GB2312" w:cs="Times New Roman"/>
                <w:snapToGrid w:val="0"/>
                <w:kern w:val="0"/>
                <w:szCs w:val="21"/>
                <w:highlight w:val="none"/>
              </w:rPr>
            </w:pPr>
            <w:r>
              <w:rPr>
                <w:rFonts w:hint="default" w:ascii="Times New Roman" w:hAnsi="Times New Roman" w:eastAsia="仿宋_GB2312" w:cs="Times New Roman"/>
                <w:snapToGrid w:val="0"/>
                <w:kern w:val="0"/>
                <w:szCs w:val="21"/>
                <w:highlight w:val="none"/>
              </w:rPr>
              <w:t>直接工程费+间接费</w:t>
            </w:r>
          </w:p>
        </w:tc>
        <w:tc>
          <w:tcPr>
            <w:tcW w:w="728" w:type="pct"/>
            <w:tcBorders>
              <w:tl2br w:val="nil"/>
              <w:tr2bl w:val="nil"/>
            </w:tcBorders>
            <w:noWrap w:val="0"/>
            <w:vAlign w:val="center"/>
          </w:tcPr>
          <w:p>
            <w:pPr>
              <w:pageBreakBefore w:val="0"/>
              <w:kinsoku/>
              <w:wordWrap/>
              <w:bidi w:val="0"/>
              <w:jc w:val="center"/>
              <w:rPr>
                <w:rFonts w:hint="default" w:ascii="Times New Roman" w:hAnsi="Times New Roman" w:eastAsia="仿宋_GB2312" w:cs="Times New Roman"/>
                <w:snapToGrid w:val="0"/>
                <w:kern w:val="0"/>
                <w:szCs w:val="21"/>
                <w:highlight w:val="none"/>
              </w:rPr>
            </w:pPr>
            <w:r>
              <w:rPr>
                <w:rFonts w:hint="default" w:ascii="Times New Roman" w:hAnsi="Times New Roman" w:eastAsia="仿宋_GB2312" w:cs="Times New Roman"/>
                <w:snapToGrid w:val="0"/>
                <w:kern w:val="0"/>
                <w:szCs w:val="21"/>
                <w:highlight w:val="none"/>
              </w:rPr>
              <w:t>7.00</w:t>
            </w:r>
          </w:p>
        </w:tc>
        <w:tc>
          <w:tcPr>
            <w:tcW w:w="726" w:type="pct"/>
            <w:tcBorders>
              <w:tl2br w:val="nil"/>
              <w:tr2bl w:val="nil"/>
            </w:tcBorders>
            <w:noWrap w:val="0"/>
            <w:vAlign w:val="center"/>
          </w:tcPr>
          <w:p>
            <w:pPr>
              <w:pageBreakBefore w:val="0"/>
              <w:kinsoku/>
              <w:wordWrap/>
              <w:bidi w:val="0"/>
              <w:jc w:val="center"/>
              <w:rPr>
                <w:rFonts w:hint="default" w:ascii="Times New Roman" w:hAnsi="Times New Roman" w:eastAsia="仿宋_GB2312" w:cs="Times New Roman"/>
                <w:snapToGrid w:val="0"/>
                <w:kern w:val="0"/>
                <w:szCs w:val="21"/>
                <w:highlight w:val="none"/>
              </w:rPr>
            </w:pPr>
            <w:r>
              <w:rPr>
                <w:rFonts w:hint="default" w:ascii="Times New Roman" w:hAnsi="Times New Roman" w:eastAsia="仿宋_GB2312" w:cs="Times New Roman"/>
                <w:snapToGrid w:val="0"/>
                <w:kern w:val="0"/>
                <w:szCs w:val="21"/>
                <w:highlight w:val="none"/>
              </w:rPr>
              <w:t>5.00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31" w:type="pct"/>
            <w:tcBorders>
              <w:tl2br w:val="nil"/>
              <w:tr2bl w:val="nil"/>
            </w:tcBorders>
            <w:noWrap w:val="0"/>
            <w:vAlign w:val="center"/>
          </w:tcPr>
          <w:p>
            <w:pPr>
              <w:pageBreakBefore w:val="0"/>
              <w:kinsoku/>
              <w:wordWrap/>
              <w:bidi w:val="0"/>
              <w:jc w:val="center"/>
              <w:rPr>
                <w:rFonts w:hint="default" w:ascii="Times New Roman" w:hAnsi="Times New Roman" w:eastAsia="仿宋_GB2312" w:cs="Times New Roman"/>
                <w:snapToGrid w:val="0"/>
                <w:kern w:val="0"/>
                <w:szCs w:val="21"/>
                <w:highlight w:val="none"/>
              </w:rPr>
            </w:pPr>
            <w:r>
              <w:rPr>
                <w:rFonts w:hint="default" w:ascii="Times New Roman" w:hAnsi="Times New Roman" w:eastAsia="仿宋_GB2312" w:cs="Times New Roman"/>
                <w:snapToGrid w:val="0"/>
                <w:kern w:val="0"/>
                <w:szCs w:val="21"/>
                <w:highlight w:val="none"/>
              </w:rPr>
              <w:t>5</w:t>
            </w:r>
          </w:p>
        </w:tc>
        <w:tc>
          <w:tcPr>
            <w:tcW w:w="1024" w:type="pct"/>
            <w:tcBorders>
              <w:tl2br w:val="nil"/>
              <w:tr2bl w:val="nil"/>
            </w:tcBorders>
            <w:noWrap w:val="0"/>
            <w:vAlign w:val="center"/>
          </w:tcPr>
          <w:p>
            <w:pPr>
              <w:pageBreakBefore w:val="0"/>
              <w:kinsoku/>
              <w:wordWrap/>
              <w:bidi w:val="0"/>
              <w:jc w:val="center"/>
              <w:rPr>
                <w:rFonts w:hint="default" w:ascii="Times New Roman" w:hAnsi="Times New Roman" w:eastAsia="仿宋_GB2312" w:cs="Times New Roman"/>
                <w:snapToGrid w:val="0"/>
                <w:kern w:val="0"/>
                <w:szCs w:val="21"/>
                <w:highlight w:val="none"/>
              </w:rPr>
            </w:pPr>
            <w:r>
              <w:rPr>
                <w:rFonts w:hint="default" w:ascii="Times New Roman" w:hAnsi="Times New Roman" w:eastAsia="仿宋_GB2312" w:cs="Times New Roman"/>
                <w:snapToGrid w:val="0"/>
                <w:kern w:val="0"/>
                <w:szCs w:val="21"/>
                <w:highlight w:val="none"/>
              </w:rPr>
              <w:t>税金</w:t>
            </w:r>
          </w:p>
        </w:tc>
        <w:tc>
          <w:tcPr>
            <w:tcW w:w="2088" w:type="pct"/>
            <w:tcBorders>
              <w:tl2br w:val="nil"/>
              <w:tr2bl w:val="nil"/>
            </w:tcBorders>
            <w:noWrap w:val="0"/>
            <w:vAlign w:val="center"/>
          </w:tcPr>
          <w:p>
            <w:pPr>
              <w:pageBreakBefore w:val="0"/>
              <w:kinsoku/>
              <w:wordWrap/>
              <w:bidi w:val="0"/>
              <w:jc w:val="center"/>
              <w:rPr>
                <w:rFonts w:hint="default" w:ascii="Times New Roman" w:hAnsi="Times New Roman" w:eastAsia="仿宋_GB2312" w:cs="Times New Roman"/>
                <w:snapToGrid w:val="0"/>
                <w:kern w:val="0"/>
                <w:szCs w:val="21"/>
                <w:highlight w:val="none"/>
              </w:rPr>
            </w:pPr>
            <w:r>
              <w:rPr>
                <w:rFonts w:hint="default" w:ascii="Times New Roman" w:hAnsi="Times New Roman" w:eastAsia="仿宋_GB2312" w:cs="Times New Roman"/>
                <w:snapToGrid w:val="0"/>
                <w:kern w:val="0"/>
                <w:szCs w:val="21"/>
                <w:highlight w:val="none"/>
              </w:rPr>
              <w:t>直接工程费+间接费+企业利润</w:t>
            </w:r>
          </w:p>
        </w:tc>
        <w:tc>
          <w:tcPr>
            <w:tcW w:w="728" w:type="pct"/>
            <w:tcBorders>
              <w:tl2br w:val="nil"/>
              <w:tr2bl w:val="nil"/>
            </w:tcBorders>
            <w:noWrap w:val="0"/>
            <w:vAlign w:val="center"/>
          </w:tcPr>
          <w:p>
            <w:pPr>
              <w:pageBreakBefore w:val="0"/>
              <w:kinsoku/>
              <w:wordWrap/>
              <w:bidi w:val="0"/>
              <w:jc w:val="center"/>
              <w:rPr>
                <w:rFonts w:hint="default" w:ascii="Times New Roman" w:hAnsi="Times New Roman" w:eastAsia="仿宋_GB2312" w:cs="Times New Roman"/>
                <w:snapToGrid w:val="0"/>
                <w:kern w:val="0"/>
                <w:szCs w:val="21"/>
                <w:highlight w:val="none"/>
              </w:rPr>
            </w:pPr>
            <w:r>
              <w:rPr>
                <w:rFonts w:hint="default" w:ascii="Times New Roman" w:hAnsi="Times New Roman" w:eastAsia="仿宋_GB2312" w:cs="Times New Roman"/>
                <w:snapToGrid w:val="0"/>
                <w:kern w:val="0"/>
                <w:szCs w:val="21"/>
                <w:highlight w:val="none"/>
              </w:rPr>
              <w:t>9.00</w:t>
            </w:r>
          </w:p>
        </w:tc>
        <w:tc>
          <w:tcPr>
            <w:tcW w:w="726" w:type="pct"/>
            <w:tcBorders>
              <w:tl2br w:val="nil"/>
              <w:tr2bl w:val="nil"/>
            </w:tcBorders>
            <w:noWrap w:val="0"/>
            <w:vAlign w:val="center"/>
          </w:tcPr>
          <w:p>
            <w:pPr>
              <w:pageBreakBefore w:val="0"/>
              <w:kinsoku/>
              <w:wordWrap/>
              <w:bidi w:val="0"/>
              <w:jc w:val="center"/>
              <w:rPr>
                <w:rFonts w:hint="default" w:ascii="Times New Roman" w:hAnsi="Times New Roman" w:eastAsia="仿宋_GB2312" w:cs="Times New Roman"/>
                <w:snapToGrid w:val="0"/>
                <w:kern w:val="0"/>
                <w:szCs w:val="21"/>
                <w:highlight w:val="none"/>
              </w:rPr>
            </w:pPr>
            <w:r>
              <w:rPr>
                <w:rFonts w:hint="default" w:ascii="Times New Roman" w:hAnsi="Times New Roman" w:eastAsia="仿宋_GB2312" w:cs="Times New Roman"/>
                <w:snapToGrid w:val="0"/>
                <w:kern w:val="0"/>
                <w:szCs w:val="21"/>
                <w:highlight w:val="none"/>
              </w:rPr>
              <w:t>9.00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31" w:type="pct"/>
            <w:tcBorders>
              <w:tl2br w:val="nil"/>
              <w:tr2bl w:val="nil"/>
            </w:tcBorders>
            <w:noWrap w:val="0"/>
            <w:vAlign w:val="center"/>
          </w:tcPr>
          <w:p>
            <w:pPr>
              <w:pageBreakBefore w:val="0"/>
              <w:kinsoku/>
              <w:wordWrap/>
              <w:bidi w:val="0"/>
              <w:jc w:val="center"/>
              <w:rPr>
                <w:rFonts w:hint="default" w:ascii="Times New Roman" w:hAnsi="Times New Roman" w:eastAsia="仿宋_GB2312" w:cs="Times New Roman"/>
                <w:snapToGrid w:val="0"/>
                <w:kern w:val="0"/>
                <w:szCs w:val="21"/>
                <w:highlight w:val="none"/>
              </w:rPr>
            </w:pPr>
            <w:r>
              <w:rPr>
                <w:rFonts w:hint="default" w:ascii="Times New Roman" w:hAnsi="Times New Roman" w:eastAsia="仿宋_GB2312" w:cs="Times New Roman"/>
                <w:snapToGrid w:val="0"/>
                <w:kern w:val="0"/>
                <w:szCs w:val="21"/>
                <w:highlight w:val="none"/>
              </w:rPr>
              <w:t>6</w:t>
            </w:r>
          </w:p>
        </w:tc>
        <w:tc>
          <w:tcPr>
            <w:tcW w:w="1024" w:type="pct"/>
            <w:tcBorders>
              <w:tl2br w:val="nil"/>
              <w:tr2bl w:val="nil"/>
            </w:tcBorders>
            <w:noWrap w:val="0"/>
            <w:vAlign w:val="center"/>
          </w:tcPr>
          <w:p>
            <w:pPr>
              <w:pageBreakBefore w:val="0"/>
              <w:kinsoku/>
              <w:wordWrap/>
              <w:bidi w:val="0"/>
              <w:jc w:val="center"/>
              <w:rPr>
                <w:rFonts w:hint="default" w:ascii="Times New Roman" w:hAnsi="Times New Roman" w:eastAsia="仿宋_GB2312" w:cs="Times New Roman"/>
                <w:snapToGrid w:val="0"/>
                <w:kern w:val="0"/>
                <w:szCs w:val="21"/>
                <w:highlight w:val="none"/>
              </w:rPr>
            </w:pPr>
            <w:r>
              <w:rPr>
                <w:rFonts w:hint="default" w:ascii="Times New Roman" w:hAnsi="Times New Roman" w:eastAsia="仿宋_GB2312" w:cs="Times New Roman"/>
                <w:snapToGrid w:val="0"/>
                <w:kern w:val="0"/>
                <w:szCs w:val="21"/>
                <w:highlight w:val="none"/>
              </w:rPr>
              <w:t>扩大系数</w:t>
            </w:r>
          </w:p>
        </w:tc>
        <w:tc>
          <w:tcPr>
            <w:tcW w:w="2088" w:type="pct"/>
            <w:tcBorders>
              <w:tl2br w:val="nil"/>
              <w:tr2bl w:val="nil"/>
            </w:tcBorders>
            <w:noWrap w:val="0"/>
            <w:vAlign w:val="center"/>
          </w:tcPr>
          <w:p>
            <w:pPr>
              <w:pageBreakBefore w:val="0"/>
              <w:kinsoku/>
              <w:wordWrap/>
              <w:bidi w:val="0"/>
              <w:jc w:val="center"/>
              <w:rPr>
                <w:rFonts w:hint="default" w:ascii="Times New Roman" w:hAnsi="Times New Roman" w:eastAsia="仿宋_GB2312" w:cs="Times New Roman"/>
                <w:snapToGrid w:val="0"/>
                <w:kern w:val="0"/>
                <w:szCs w:val="21"/>
                <w:highlight w:val="none"/>
              </w:rPr>
            </w:pPr>
            <w:r>
              <w:rPr>
                <w:rFonts w:hint="default" w:ascii="Times New Roman" w:hAnsi="Times New Roman" w:eastAsia="仿宋_GB2312" w:cs="Times New Roman"/>
                <w:snapToGrid w:val="0"/>
                <w:kern w:val="0"/>
                <w:szCs w:val="21"/>
                <w:highlight w:val="none"/>
              </w:rPr>
              <w:t>直接工程费+间接费+企业利润+税金</w:t>
            </w:r>
          </w:p>
        </w:tc>
        <w:tc>
          <w:tcPr>
            <w:tcW w:w="728" w:type="pct"/>
            <w:tcBorders>
              <w:tl2br w:val="nil"/>
              <w:tr2bl w:val="nil"/>
            </w:tcBorders>
            <w:noWrap w:val="0"/>
            <w:vAlign w:val="center"/>
          </w:tcPr>
          <w:p>
            <w:pPr>
              <w:pageBreakBefore w:val="0"/>
              <w:kinsoku/>
              <w:wordWrap/>
              <w:bidi w:val="0"/>
              <w:jc w:val="center"/>
              <w:rPr>
                <w:rFonts w:hint="default" w:ascii="Times New Roman" w:hAnsi="Times New Roman" w:eastAsia="仿宋_GB2312" w:cs="Times New Roman"/>
                <w:snapToGrid w:val="0"/>
                <w:kern w:val="0"/>
                <w:szCs w:val="21"/>
                <w:highlight w:val="none"/>
              </w:rPr>
            </w:pPr>
            <w:r>
              <w:rPr>
                <w:rFonts w:hint="default" w:ascii="Times New Roman" w:hAnsi="Times New Roman" w:eastAsia="仿宋_GB2312" w:cs="Times New Roman"/>
                <w:snapToGrid w:val="0"/>
                <w:kern w:val="0"/>
                <w:szCs w:val="21"/>
                <w:highlight w:val="none"/>
              </w:rPr>
              <w:t>10.00</w:t>
            </w:r>
          </w:p>
        </w:tc>
        <w:tc>
          <w:tcPr>
            <w:tcW w:w="726" w:type="pct"/>
            <w:tcBorders>
              <w:tl2br w:val="nil"/>
              <w:tr2bl w:val="nil"/>
            </w:tcBorders>
            <w:noWrap w:val="0"/>
            <w:vAlign w:val="center"/>
          </w:tcPr>
          <w:p>
            <w:pPr>
              <w:pageBreakBefore w:val="0"/>
              <w:kinsoku/>
              <w:wordWrap/>
              <w:bidi w:val="0"/>
              <w:jc w:val="center"/>
              <w:rPr>
                <w:rFonts w:hint="default" w:ascii="Times New Roman" w:hAnsi="Times New Roman" w:eastAsia="仿宋_GB2312" w:cs="Times New Roman"/>
                <w:snapToGrid w:val="0"/>
                <w:kern w:val="0"/>
                <w:szCs w:val="21"/>
                <w:highlight w:val="none"/>
              </w:rPr>
            </w:pPr>
            <w:r>
              <w:rPr>
                <w:rFonts w:hint="default" w:ascii="Times New Roman" w:hAnsi="Times New Roman" w:eastAsia="仿宋_GB2312" w:cs="Times New Roman"/>
                <w:snapToGrid w:val="0"/>
                <w:kern w:val="0"/>
                <w:szCs w:val="21"/>
                <w:highlight w:val="none"/>
              </w:rPr>
              <w:t>10.00</w:t>
            </w:r>
          </w:p>
        </w:tc>
      </w:tr>
    </w:tbl>
    <w:p>
      <w:pPr>
        <w:pStyle w:val="8"/>
        <w:keepNext/>
        <w:keepLines/>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baseline"/>
        <w:rPr>
          <w:rFonts w:hint="default" w:ascii="Times New Roman" w:hAnsi="Times New Roman" w:eastAsia="仿宋_GB2312" w:cs="Times New Roman"/>
          <w:b/>
          <w:bCs/>
          <w:kern w:val="2"/>
          <w:sz w:val="24"/>
          <w:szCs w:val="24"/>
          <w:highlight w:val="none"/>
        </w:rPr>
      </w:pPr>
      <w:r>
        <w:rPr>
          <w:rFonts w:hint="default" w:ascii="Times New Roman" w:hAnsi="Times New Roman" w:eastAsia="仿宋_GB2312" w:cs="Times New Roman"/>
          <w:b/>
          <w:bCs/>
          <w:kern w:val="2"/>
          <w:sz w:val="24"/>
          <w:szCs w:val="24"/>
          <w:highlight w:val="none"/>
        </w:rPr>
        <w:t>7.1.2.3独立费用</w:t>
      </w:r>
    </w:p>
    <w:p>
      <w:pPr>
        <w:pageBreakBefore w:val="0"/>
        <w:kinsoku/>
        <w:wordWrap/>
        <w:topLinePunct/>
        <w:bidi w:val="0"/>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水土保持独立费用主要包括建设管理费、科研勘测设计费、水土保持监理费、水土保持监测费、</w:t>
      </w:r>
      <w:r>
        <w:rPr>
          <w:rFonts w:hint="default" w:ascii="Times New Roman" w:hAnsi="Times New Roman" w:eastAsia="仿宋_GB2312" w:cs="Times New Roman"/>
          <w:bCs/>
          <w:sz w:val="24"/>
          <w:highlight w:val="none"/>
        </w:rPr>
        <w:t>水土保持设施验收费</w:t>
      </w:r>
      <w:r>
        <w:rPr>
          <w:rFonts w:hint="default" w:ascii="Times New Roman" w:hAnsi="Times New Roman" w:eastAsia="仿宋_GB2312" w:cs="Times New Roman"/>
          <w:sz w:val="24"/>
          <w:highlight w:val="none"/>
        </w:rPr>
        <w:t>。</w:t>
      </w:r>
    </w:p>
    <w:p>
      <w:pPr>
        <w:pageBreakBefore w:val="0"/>
        <w:kinsoku/>
        <w:wordWrap/>
        <w:bidi w:val="0"/>
        <w:spacing w:line="360" w:lineRule="auto"/>
        <w:ind w:firstLine="480" w:firstLineChars="200"/>
        <w:rPr>
          <w:rFonts w:hint="default" w:ascii="Times New Roman" w:hAnsi="Times New Roman" w:eastAsia="仿宋_GB2312" w:cs="Times New Roman"/>
          <w:bCs/>
          <w:sz w:val="24"/>
          <w:highlight w:val="none"/>
        </w:rPr>
      </w:pPr>
      <w:r>
        <w:rPr>
          <w:rFonts w:hint="default" w:ascii="Times New Roman" w:hAnsi="Times New Roman" w:eastAsia="仿宋_GB2312" w:cs="Times New Roman"/>
          <w:sz w:val="24"/>
          <w:highlight w:val="none"/>
        </w:rPr>
        <w:t>（1）建设管理费：按水土保持投资中第一至第三部分（工程措施、植物措施、</w:t>
      </w:r>
      <w:r>
        <w:rPr>
          <w:rFonts w:hint="default" w:ascii="Times New Roman" w:hAnsi="Times New Roman" w:eastAsia="仿宋_GB2312" w:cs="Times New Roman"/>
          <w:bCs/>
          <w:sz w:val="24"/>
          <w:highlight w:val="none"/>
        </w:rPr>
        <w:t>临时措施）新增投资和的2%计算；</w:t>
      </w:r>
    </w:p>
    <w:p>
      <w:pPr>
        <w:pageBreakBefore w:val="0"/>
        <w:kinsoku/>
        <w:wordWrap/>
        <w:bidi w:val="0"/>
        <w:spacing w:line="360" w:lineRule="auto"/>
        <w:ind w:firstLine="480" w:firstLineChars="200"/>
        <w:rPr>
          <w:rFonts w:hint="default" w:ascii="Times New Roman" w:hAnsi="Times New Roman" w:eastAsia="仿宋_GB2312" w:cs="Times New Roman"/>
          <w:bCs/>
          <w:sz w:val="24"/>
          <w:highlight w:val="none"/>
        </w:rPr>
      </w:pPr>
      <w:r>
        <w:rPr>
          <w:rFonts w:hint="default" w:ascii="Times New Roman" w:hAnsi="Times New Roman" w:eastAsia="仿宋_GB2312" w:cs="Times New Roman"/>
          <w:bCs/>
          <w:sz w:val="24"/>
          <w:highlight w:val="none"/>
        </w:rPr>
        <w:t>（2）水土保持监理费：按《关于进一步放开建设项目专业服务价格的通知》（发改价格〔2015〕299号），参考市场价格计列；</w:t>
      </w:r>
    </w:p>
    <w:p>
      <w:pPr>
        <w:pageBreakBefore w:val="0"/>
        <w:kinsoku/>
        <w:wordWrap/>
        <w:bidi w:val="0"/>
        <w:spacing w:line="360" w:lineRule="auto"/>
        <w:ind w:firstLine="480" w:firstLineChars="200"/>
        <w:rPr>
          <w:rFonts w:hint="default" w:ascii="Times New Roman" w:hAnsi="Times New Roman" w:eastAsia="仿宋_GB2312" w:cs="Times New Roman"/>
          <w:bCs/>
          <w:sz w:val="24"/>
          <w:highlight w:val="none"/>
        </w:rPr>
      </w:pPr>
      <w:r>
        <w:rPr>
          <w:rFonts w:hint="default" w:ascii="Times New Roman" w:hAnsi="Times New Roman" w:eastAsia="仿宋_GB2312" w:cs="Times New Roman"/>
          <w:bCs/>
          <w:sz w:val="24"/>
          <w:highlight w:val="none"/>
        </w:rPr>
        <w:t>（3）科研勘测设计费：方案编制费按签订的技术咨询合同计列，后续设计费按《关于进一步放开建设项目专业服务价格的通知》（发改价格〔2015〕299号），参考市场价格计列；</w:t>
      </w:r>
    </w:p>
    <w:p>
      <w:pPr>
        <w:pageBreakBefore w:val="0"/>
        <w:kinsoku/>
        <w:wordWrap/>
        <w:bidi w:val="0"/>
        <w:spacing w:line="360" w:lineRule="auto"/>
        <w:ind w:firstLine="480" w:firstLineChars="200"/>
        <w:rPr>
          <w:rFonts w:hint="default" w:ascii="Times New Roman" w:hAnsi="Times New Roman" w:eastAsia="仿宋_GB2312" w:cs="Times New Roman"/>
          <w:bCs/>
          <w:sz w:val="24"/>
          <w:highlight w:val="none"/>
        </w:rPr>
      </w:pPr>
      <w:r>
        <w:rPr>
          <w:rFonts w:hint="default" w:ascii="Times New Roman" w:hAnsi="Times New Roman" w:eastAsia="仿宋_GB2312" w:cs="Times New Roman"/>
          <w:bCs/>
          <w:sz w:val="24"/>
          <w:highlight w:val="none"/>
        </w:rPr>
        <w:t>（4）水土保持监测费：水土保持监测费包含人工费、土建设施费、监测设备使用费和消耗性材料费，参考相关资料，结合实际工作量结果监测费用计算表计列。其中监测外业人工费按600元/工日计取、内业人工费按400元/工日计取；</w:t>
      </w:r>
    </w:p>
    <w:p>
      <w:pPr>
        <w:pageBreakBefore w:val="0"/>
        <w:kinsoku/>
        <w:wordWrap/>
        <w:topLinePunct/>
        <w:bidi w:val="0"/>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bCs/>
          <w:sz w:val="24"/>
          <w:highlight w:val="none"/>
        </w:rPr>
        <w:t>（5）水土保持设施验收费：按《关于进一步放开建设项目专业服务价格的通知》（国家发展改革委发改价格〔2015〕299号），参考市场价格计列。</w:t>
      </w:r>
    </w:p>
    <w:p>
      <w:pPr>
        <w:pStyle w:val="8"/>
        <w:keepNext/>
        <w:keepLines/>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baseline"/>
        <w:rPr>
          <w:rFonts w:hint="default" w:ascii="Times New Roman" w:hAnsi="Times New Roman" w:eastAsia="仿宋_GB2312" w:cs="Times New Roman"/>
          <w:b/>
          <w:bCs/>
          <w:kern w:val="2"/>
          <w:sz w:val="24"/>
          <w:szCs w:val="24"/>
          <w:highlight w:val="none"/>
        </w:rPr>
      </w:pPr>
      <w:r>
        <w:rPr>
          <w:rFonts w:hint="default" w:ascii="Times New Roman" w:hAnsi="Times New Roman" w:eastAsia="仿宋_GB2312" w:cs="Times New Roman"/>
          <w:b/>
          <w:bCs/>
          <w:kern w:val="2"/>
          <w:sz w:val="24"/>
          <w:szCs w:val="24"/>
          <w:highlight w:val="none"/>
        </w:rPr>
        <w:t>7.1.2.4基本预备费</w:t>
      </w:r>
    </w:p>
    <w:p>
      <w:pPr>
        <w:pageBreakBefore w:val="0"/>
        <w:kinsoku/>
        <w:wordWrap/>
        <w:bidi w:val="0"/>
        <w:spacing w:line="360" w:lineRule="auto"/>
        <w:ind w:firstLine="480" w:firstLineChars="200"/>
        <w:rPr>
          <w:rFonts w:hint="default" w:ascii="Times New Roman" w:hAnsi="Times New Roman" w:eastAsia="仿宋_GB2312" w:cs="Times New Roman"/>
          <w:bCs/>
          <w:sz w:val="24"/>
          <w:highlight w:val="none"/>
        </w:rPr>
      </w:pPr>
      <w:r>
        <w:rPr>
          <w:rFonts w:hint="default" w:ascii="Times New Roman" w:hAnsi="Times New Roman" w:eastAsia="仿宋_GB2312" w:cs="Times New Roman"/>
          <w:bCs/>
          <w:sz w:val="24"/>
          <w:highlight w:val="none"/>
        </w:rPr>
        <w:t>基本预备费按一到四部分新增投资和的6.00％计取。</w:t>
      </w:r>
    </w:p>
    <w:p>
      <w:pPr>
        <w:pStyle w:val="8"/>
        <w:keepNext/>
        <w:keepLines/>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baseline"/>
        <w:rPr>
          <w:rFonts w:hint="default" w:ascii="Times New Roman" w:hAnsi="Times New Roman" w:eastAsia="仿宋_GB2312" w:cs="Times New Roman"/>
          <w:b/>
          <w:bCs/>
          <w:kern w:val="2"/>
          <w:sz w:val="24"/>
          <w:szCs w:val="24"/>
          <w:highlight w:val="none"/>
        </w:rPr>
      </w:pPr>
      <w:r>
        <w:rPr>
          <w:rFonts w:hint="default" w:ascii="Times New Roman" w:hAnsi="Times New Roman" w:eastAsia="仿宋_GB2312" w:cs="Times New Roman"/>
          <w:b/>
          <w:bCs/>
          <w:kern w:val="2"/>
          <w:sz w:val="24"/>
          <w:szCs w:val="24"/>
          <w:highlight w:val="none"/>
        </w:rPr>
        <w:t>7.1.2.5水土保持补偿费</w:t>
      </w:r>
    </w:p>
    <w:p>
      <w:pPr>
        <w:pageBreakBefore w:val="0"/>
        <w:kinsoku/>
        <w:wordWrap/>
        <w:bidi w:val="0"/>
        <w:spacing w:line="360" w:lineRule="auto"/>
        <w:ind w:firstLine="480" w:firstLineChars="200"/>
        <w:rPr>
          <w:rFonts w:hint="default" w:ascii="Times New Roman" w:hAnsi="Times New Roman" w:eastAsia="仿宋_GB2312" w:cs="Times New Roman"/>
          <w:bCs/>
          <w:sz w:val="24"/>
          <w:highlight w:val="none"/>
        </w:rPr>
      </w:pPr>
      <w:r>
        <w:rPr>
          <w:rFonts w:hint="default" w:ascii="Times New Roman" w:hAnsi="Times New Roman" w:eastAsia="仿宋_GB2312" w:cs="Times New Roman"/>
          <w:bCs/>
          <w:sz w:val="24"/>
          <w:highlight w:val="none"/>
        </w:rPr>
        <w:t>依据</w:t>
      </w:r>
      <w:r>
        <w:rPr>
          <w:rFonts w:hint="eastAsia" w:eastAsia="仿宋_GB2312" w:cs="Times New Roman"/>
          <w:bCs/>
          <w:sz w:val="24"/>
          <w:highlight w:val="none"/>
          <w:lang w:val="en-US" w:eastAsia="zh-CN"/>
        </w:rPr>
        <w:t>水土保持法律法规</w:t>
      </w:r>
      <w:r>
        <w:rPr>
          <w:rFonts w:hint="default" w:ascii="Times New Roman" w:hAnsi="Times New Roman" w:eastAsia="仿宋_GB2312" w:cs="Times New Roman"/>
          <w:bCs/>
          <w:sz w:val="24"/>
          <w:highlight w:val="none"/>
        </w:rPr>
        <w:t>、《吉林省财政厅 吉林省发展和改革委员会 吉林省水利厅 国家税务总局吉林省税务局 中国人民银行长春中心支行关于印发&lt;吉林省水土保持补偿费征收使用管理办法&gt;的通知》（吉财税〔2022〕952号）</w:t>
      </w:r>
      <w:r>
        <w:rPr>
          <w:rFonts w:hint="eastAsia" w:eastAsia="仿宋_GB2312" w:cs="Times New Roman"/>
          <w:bCs/>
          <w:sz w:val="24"/>
          <w:highlight w:val="none"/>
          <w:lang w:eastAsia="zh-CN"/>
        </w:rPr>
        <w:t>、</w:t>
      </w:r>
      <w:r>
        <w:rPr>
          <w:rFonts w:hint="default" w:ascii="Times New Roman" w:hAnsi="Times New Roman" w:eastAsia="仿宋_GB2312" w:cs="Times New Roman"/>
          <w:bCs/>
          <w:sz w:val="24"/>
          <w:highlight w:val="none"/>
        </w:rPr>
        <w:t>《吉林省发展改革委 吉林省财政厅 吉林省水利厅关于核定吉林省水土保持补偿费收费标准及有关问题的通知》（吉发改收费联〔2022〕670号）</w:t>
      </w:r>
      <w:r>
        <w:rPr>
          <w:rFonts w:hint="eastAsia" w:eastAsia="仿宋_GB2312" w:cs="Times New Roman"/>
          <w:bCs/>
          <w:sz w:val="24"/>
          <w:highlight w:val="none"/>
          <w:lang w:val="en-US" w:eastAsia="zh-CN"/>
        </w:rPr>
        <w:t>等有关规定，</w:t>
      </w:r>
      <w:r>
        <w:rPr>
          <w:rFonts w:hint="default" w:ascii="Times New Roman" w:hAnsi="Times New Roman" w:eastAsia="仿宋_GB2312" w:cs="Times New Roman"/>
          <w:bCs/>
          <w:sz w:val="24"/>
          <w:highlight w:val="none"/>
        </w:rPr>
        <w:t>对一般性生产建设项目，</w:t>
      </w:r>
      <w:r>
        <w:rPr>
          <w:rFonts w:hint="eastAsia" w:eastAsia="仿宋_GB2312" w:cs="Times New Roman"/>
          <w:bCs/>
          <w:sz w:val="24"/>
          <w:highlight w:val="none"/>
          <w:lang w:val="en-US" w:eastAsia="zh-CN"/>
        </w:rPr>
        <w:t>建设期水土保持补偿费</w:t>
      </w:r>
      <w:r>
        <w:rPr>
          <w:rFonts w:hint="default" w:ascii="Times New Roman" w:hAnsi="Times New Roman" w:eastAsia="仿宋_GB2312" w:cs="Times New Roman"/>
          <w:bCs/>
          <w:sz w:val="24"/>
          <w:highlight w:val="none"/>
        </w:rPr>
        <w:t>按照征占用土地面积一次性计征，</w:t>
      </w:r>
      <w:r>
        <w:rPr>
          <w:rFonts w:hint="eastAsia" w:eastAsia="仿宋_GB2312" w:cs="Times New Roman"/>
          <w:bCs/>
          <w:sz w:val="24"/>
          <w:highlight w:val="none"/>
          <w:lang w:val="en-US" w:eastAsia="zh-CN"/>
        </w:rPr>
        <w:t>执行</w:t>
      </w:r>
      <w:r>
        <w:rPr>
          <w:rFonts w:hint="default" w:ascii="Times New Roman" w:hAnsi="Times New Roman" w:eastAsia="仿宋_GB2312" w:cs="Times New Roman"/>
          <w:bCs/>
          <w:sz w:val="24"/>
          <w:highlight w:val="none"/>
        </w:rPr>
        <w:t>每平方米0.45元</w:t>
      </w:r>
      <w:r>
        <w:rPr>
          <w:rFonts w:hint="default" w:ascii="Times New Roman" w:hAnsi="Times New Roman" w:eastAsia="仿宋_GB2312" w:cs="Times New Roman"/>
          <w:bCs/>
          <w:sz w:val="24"/>
          <w:highlight w:val="none"/>
          <w:lang w:eastAsia="zh-CN"/>
        </w:rPr>
        <w:t>（</w:t>
      </w:r>
      <w:r>
        <w:rPr>
          <w:rFonts w:hint="default" w:ascii="Times New Roman" w:hAnsi="Times New Roman" w:eastAsia="仿宋_GB2312" w:cs="Times New Roman"/>
          <w:bCs/>
          <w:sz w:val="24"/>
          <w:highlight w:val="none"/>
        </w:rPr>
        <w:t>不足1平方米的按1平方米计</w:t>
      </w:r>
      <w:r>
        <w:rPr>
          <w:rFonts w:hint="default" w:ascii="Times New Roman" w:hAnsi="Times New Roman" w:eastAsia="仿宋_GB2312" w:cs="Times New Roman"/>
          <w:bCs/>
          <w:sz w:val="24"/>
          <w:highlight w:val="none"/>
          <w:lang w:eastAsia="zh-CN"/>
        </w:rPr>
        <w:t>）</w:t>
      </w:r>
      <w:r>
        <w:rPr>
          <w:rFonts w:hint="eastAsia" w:eastAsia="仿宋_GB2312" w:cs="Times New Roman"/>
          <w:bCs/>
          <w:sz w:val="24"/>
          <w:highlight w:val="none"/>
          <w:lang w:val="en-US" w:eastAsia="zh-CN"/>
        </w:rPr>
        <w:t>收费标准</w:t>
      </w:r>
      <w:r>
        <w:rPr>
          <w:rFonts w:hint="default" w:ascii="Times New Roman" w:hAnsi="Times New Roman" w:eastAsia="仿宋_GB2312" w:cs="Times New Roman"/>
          <w:bCs/>
          <w:sz w:val="24"/>
          <w:highlight w:val="none"/>
        </w:rPr>
        <w:t>。缴纳义务人应当在项目开工前一次性缴纳水土保持补偿费。</w:t>
      </w:r>
      <w:r>
        <w:rPr>
          <w:rFonts w:hint="eastAsia" w:eastAsia="仿宋_GB2312" w:cs="Times New Roman"/>
          <w:sz w:val="24"/>
          <w:szCs w:val="24"/>
          <w:highlight w:val="none"/>
          <w:lang w:val="en-US" w:eastAsia="zh-CN"/>
        </w:rPr>
        <w:t>在《</w:t>
      </w:r>
      <w:r>
        <w:rPr>
          <w:rFonts w:hint="default" w:ascii="Times New Roman" w:hAnsi="Times New Roman" w:eastAsia="仿宋_GB2312" w:cs="Times New Roman"/>
          <w:snapToGrid w:val="0"/>
          <w:kern w:val="0"/>
          <w:sz w:val="24"/>
          <w:highlight w:val="none"/>
          <w:lang w:eastAsia="zh-CN"/>
        </w:rPr>
        <w:t>长春国际物流经济开发区新兴建材产业园区建设项目水土保持方案报告书</w:t>
      </w:r>
      <w:r>
        <w:rPr>
          <w:rFonts w:hint="eastAsia" w:eastAsia="仿宋_GB2312" w:cs="Times New Roman"/>
          <w:sz w:val="24"/>
          <w:szCs w:val="24"/>
          <w:highlight w:val="none"/>
          <w:lang w:val="en-US" w:eastAsia="zh-CN"/>
        </w:rPr>
        <w:t>》中已计列B地块水土保持补偿费，并按要求</w:t>
      </w:r>
      <w:r>
        <w:rPr>
          <w:rFonts w:hint="default" w:ascii="Times New Roman" w:hAnsi="Times New Roman" w:eastAsia="仿宋_GB2312" w:cs="Times New Roman"/>
          <w:color w:val="auto"/>
          <w:sz w:val="24"/>
          <w:szCs w:val="24"/>
          <w:lang w:val="en-US" w:eastAsia="zh-CN"/>
        </w:rPr>
        <w:t>一次性缴纳完整项目的水土保持补偿费</w:t>
      </w:r>
      <w:r>
        <w:rPr>
          <w:rFonts w:hint="eastAsia" w:ascii="Times New Roman" w:hAnsi="Times New Roman" w:eastAsia="仿宋_GB2312" w:cs="Times New Roman"/>
          <w:color w:val="auto"/>
          <w:sz w:val="24"/>
          <w:szCs w:val="24"/>
          <w:lang w:val="en-US" w:eastAsia="zh-CN"/>
        </w:rPr>
        <w:t>，故本方案不再重复计列</w:t>
      </w:r>
      <w:r>
        <w:rPr>
          <w:rFonts w:hint="eastAsia" w:eastAsia="仿宋_GB2312" w:cs="Times New Roman"/>
          <w:color w:val="auto"/>
          <w:sz w:val="24"/>
          <w:szCs w:val="24"/>
          <w:lang w:val="en-US" w:eastAsia="zh-CN"/>
        </w:rPr>
        <w:t>。</w:t>
      </w:r>
    </w:p>
    <w:p>
      <w:pPr>
        <w:pStyle w:val="8"/>
        <w:keepNext/>
        <w:keepLines/>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baseline"/>
        <w:rPr>
          <w:rFonts w:hint="default" w:ascii="Times New Roman" w:hAnsi="Times New Roman" w:eastAsia="仿宋_GB2312" w:cs="Times New Roman"/>
          <w:b/>
          <w:bCs/>
          <w:kern w:val="2"/>
          <w:sz w:val="24"/>
          <w:szCs w:val="24"/>
          <w:highlight w:val="none"/>
        </w:rPr>
      </w:pPr>
      <w:r>
        <w:rPr>
          <w:rFonts w:hint="default" w:ascii="Times New Roman" w:hAnsi="Times New Roman" w:eastAsia="仿宋_GB2312" w:cs="Times New Roman"/>
          <w:b/>
          <w:bCs/>
          <w:kern w:val="2"/>
          <w:sz w:val="24"/>
          <w:szCs w:val="24"/>
          <w:highlight w:val="none"/>
        </w:rPr>
        <w:t>7.1.2.6水土保持投资估算</w:t>
      </w:r>
    </w:p>
    <w:p>
      <w:pPr>
        <w:pageBreakBefore w:val="0"/>
        <w:kinsoku/>
        <w:wordWrap/>
        <w:bidi w:val="0"/>
        <w:spacing w:line="360" w:lineRule="auto"/>
        <w:ind w:firstLine="480" w:firstLineChars="200"/>
        <w:rPr>
          <w:rFonts w:hint="default" w:ascii="Times New Roman" w:hAnsi="Times New Roman" w:eastAsia="仿宋_GB2312" w:cs="Times New Roman"/>
          <w:bCs/>
          <w:sz w:val="24"/>
          <w:highlight w:val="none"/>
        </w:rPr>
      </w:pPr>
      <w:r>
        <w:rPr>
          <w:rFonts w:hint="default" w:ascii="Times New Roman" w:hAnsi="Times New Roman" w:eastAsia="仿宋_GB2312" w:cs="Times New Roman"/>
          <w:bCs/>
          <w:sz w:val="24"/>
          <w:highlight w:val="none"/>
          <w:lang w:eastAsia="zh-CN"/>
        </w:rPr>
        <w:t>本期项目</w:t>
      </w:r>
      <w:r>
        <w:rPr>
          <w:rFonts w:hint="default" w:ascii="Times New Roman" w:hAnsi="Times New Roman" w:eastAsia="仿宋_GB2312" w:cs="Times New Roman"/>
          <w:bCs/>
          <w:sz w:val="24"/>
          <w:highlight w:val="none"/>
        </w:rPr>
        <w:t>水土保持总投资为</w:t>
      </w:r>
      <w:r>
        <w:rPr>
          <w:rFonts w:hint="eastAsia" w:eastAsia="仿宋_GB2312" w:cs="Times New Roman"/>
          <w:bCs/>
          <w:sz w:val="24"/>
          <w:highlight w:val="none"/>
          <w:lang w:eastAsia="zh-CN"/>
        </w:rPr>
        <w:t>842.14</w:t>
      </w:r>
      <w:r>
        <w:rPr>
          <w:rFonts w:hint="default" w:ascii="Times New Roman" w:hAnsi="Times New Roman" w:eastAsia="仿宋_GB2312" w:cs="Times New Roman"/>
          <w:bCs/>
          <w:sz w:val="24"/>
          <w:highlight w:val="none"/>
        </w:rPr>
        <w:t>万元，其中：工程措施投资</w:t>
      </w:r>
      <w:r>
        <w:rPr>
          <w:rFonts w:hint="eastAsia" w:eastAsia="仿宋_GB2312" w:cs="Times New Roman"/>
          <w:bCs/>
          <w:sz w:val="24"/>
          <w:highlight w:val="none"/>
          <w:lang w:eastAsia="zh-CN"/>
        </w:rPr>
        <w:t>285.61</w:t>
      </w:r>
      <w:r>
        <w:rPr>
          <w:rFonts w:hint="default" w:ascii="Times New Roman" w:hAnsi="Times New Roman" w:eastAsia="仿宋_GB2312" w:cs="Times New Roman"/>
          <w:bCs/>
          <w:sz w:val="24"/>
          <w:highlight w:val="none"/>
        </w:rPr>
        <w:t>万元、植物措施投资</w:t>
      </w:r>
      <w:r>
        <w:rPr>
          <w:rFonts w:hint="eastAsia" w:eastAsia="仿宋_GB2312" w:cs="Times New Roman"/>
          <w:bCs/>
          <w:sz w:val="24"/>
          <w:highlight w:val="none"/>
          <w:lang w:eastAsia="zh-CN"/>
        </w:rPr>
        <w:t>479.20</w:t>
      </w:r>
      <w:r>
        <w:rPr>
          <w:rFonts w:hint="default" w:ascii="Times New Roman" w:hAnsi="Times New Roman" w:eastAsia="仿宋_GB2312" w:cs="Times New Roman"/>
          <w:bCs/>
          <w:sz w:val="24"/>
          <w:highlight w:val="none"/>
        </w:rPr>
        <w:t>万元、临时措施投资</w:t>
      </w:r>
      <w:r>
        <w:rPr>
          <w:rFonts w:hint="eastAsia" w:eastAsia="仿宋_GB2312" w:cs="Times New Roman"/>
          <w:bCs/>
          <w:sz w:val="24"/>
          <w:highlight w:val="none"/>
          <w:lang w:val="en-US" w:eastAsia="zh-CN"/>
        </w:rPr>
        <w:t>3.34</w:t>
      </w:r>
      <w:r>
        <w:rPr>
          <w:rFonts w:hint="default" w:ascii="Times New Roman" w:hAnsi="Times New Roman" w:eastAsia="仿宋_GB2312" w:cs="Times New Roman"/>
          <w:bCs/>
          <w:sz w:val="24"/>
          <w:highlight w:val="none"/>
        </w:rPr>
        <w:t>万元、独立费用</w:t>
      </w:r>
      <w:r>
        <w:rPr>
          <w:rFonts w:hint="eastAsia" w:eastAsia="仿宋_GB2312" w:cs="Times New Roman"/>
          <w:bCs/>
          <w:sz w:val="24"/>
          <w:highlight w:val="none"/>
          <w:lang w:val="en-US" w:eastAsia="zh-CN"/>
        </w:rPr>
        <w:t>69.67</w:t>
      </w:r>
      <w:r>
        <w:rPr>
          <w:rFonts w:hint="default" w:ascii="Times New Roman" w:hAnsi="Times New Roman" w:eastAsia="仿宋_GB2312" w:cs="Times New Roman"/>
          <w:bCs/>
          <w:sz w:val="24"/>
          <w:highlight w:val="none"/>
        </w:rPr>
        <w:t>万元（其中建设管理费</w:t>
      </w:r>
      <w:r>
        <w:rPr>
          <w:rFonts w:hint="eastAsia" w:eastAsia="仿宋_GB2312" w:cs="Times New Roman"/>
          <w:bCs/>
          <w:sz w:val="24"/>
          <w:highlight w:val="none"/>
          <w:lang w:val="en-US" w:eastAsia="zh-CN"/>
        </w:rPr>
        <w:t>0.05</w:t>
      </w:r>
      <w:r>
        <w:rPr>
          <w:rFonts w:hint="default" w:ascii="Times New Roman" w:hAnsi="Times New Roman" w:eastAsia="仿宋_GB2312" w:cs="Times New Roman"/>
          <w:bCs/>
          <w:sz w:val="24"/>
          <w:highlight w:val="none"/>
        </w:rPr>
        <w:t>万元、水土保持监理费</w:t>
      </w:r>
      <w:r>
        <w:rPr>
          <w:rFonts w:hint="eastAsia" w:eastAsia="仿宋_GB2312" w:cs="Times New Roman"/>
          <w:bCs/>
          <w:sz w:val="24"/>
          <w:highlight w:val="none"/>
          <w:lang w:val="en-US" w:eastAsia="zh-CN"/>
        </w:rPr>
        <w:t>16</w:t>
      </w:r>
      <w:r>
        <w:rPr>
          <w:rFonts w:hint="default" w:ascii="Times New Roman" w:hAnsi="Times New Roman" w:eastAsia="仿宋_GB2312" w:cs="Times New Roman"/>
          <w:bCs/>
          <w:sz w:val="24"/>
          <w:highlight w:val="none"/>
        </w:rPr>
        <w:t>万元、水土保持监测费</w:t>
      </w:r>
      <w:r>
        <w:rPr>
          <w:rFonts w:hint="eastAsia" w:eastAsia="仿宋_GB2312" w:cs="Times New Roman"/>
          <w:bCs/>
          <w:sz w:val="24"/>
          <w:highlight w:val="none"/>
          <w:lang w:val="en-US" w:eastAsia="zh-CN"/>
        </w:rPr>
        <w:t>15.62</w:t>
      </w:r>
      <w:r>
        <w:rPr>
          <w:rFonts w:hint="default" w:ascii="Times New Roman" w:hAnsi="Times New Roman" w:eastAsia="仿宋_GB2312" w:cs="Times New Roman"/>
          <w:bCs/>
          <w:sz w:val="24"/>
          <w:highlight w:val="none"/>
        </w:rPr>
        <w:t>万元、科研勘测设计费</w:t>
      </w:r>
      <w:r>
        <w:rPr>
          <w:rFonts w:hint="eastAsia" w:eastAsia="仿宋_GB2312" w:cs="Times New Roman"/>
          <w:bCs/>
          <w:sz w:val="24"/>
          <w:highlight w:val="none"/>
          <w:lang w:val="en-US" w:eastAsia="zh-CN"/>
        </w:rPr>
        <w:t>20</w:t>
      </w:r>
      <w:r>
        <w:rPr>
          <w:rFonts w:hint="default" w:ascii="Times New Roman" w:hAnsi="Times New Roman" w:eastAsia="仿宋_GB2312" w:cs="Times New Roman"/>
          <w:bCs/>
          <w:sz w:val="24"/>
          <w:highlight w:val="none"/>
        </w:rPr>
        <w:t>万元、水土保持设施验收费</w:t>
      </w:r>
      <w:r>
        <w:rPr>
          <w:rFonts w:hint="eastAsia" w:eastAsia="仿宋_GB2312" w:cs="Times New Roman"/>
          <w:bCs/>
          <w:sz w:val="24"/>
          <w:highlight w:val="none"/>
          <w:lang w:val="en-US" w:eastAsia="zh-CN"/>
        </w:rPr>
        <w:t>18</w:t>
      </w:r>
      <w:r>
        <w:rPr>
          <w:rFonts w:hint="default" w:ascii="Times New Roman" w:hAnsi="Times New Roman" w:eastAsia="仿宋_GB2312" w:cs="Times New Roman"/>
          <w:bCs/>
          <w:sz w:val="24"/>
          <w:highlight w:val="none"/>
        </w:rPr>
        <w:t>万元）、基本预备费</w:t>
      </w:r>
      <w:r>
        <w:rPr>
          <w:rFonts w:hint="eastAsia" w:eastAsia="仿宋_GB2312" w:cs="Times New Roman"/>
          <w:bCs/>
          <w:sz w:val="24"/>
          <w:highlight w:val="none"/>
          <w:lang w:val="en-US" w:eastAsia="zh-CN"/>
        </w:rPr>
        <w:t>4.33</w:t>
      </w:r>
      <w:r>
        <w:rPr>
          <w:rFonts w:hint="default" w:ascii="Times New Roman" w:hAnsi="Times New Roman" w:eastAsia="仿宋_GB2312" w:cs="Times New Roman"/>
          <w:bCs/>
          <w:sz w:val="24"/>
          <w:highlight w:val="none"/>
        </w:rPr>
        <w:t>万元。该投资由建设单位筹措，并列为主体工程总投资的一部分。</w:t>
      </w:r>
    </w:p>
    <w:p>
      <w:pPr>
        <w:pageBreakBefore w:val="0"/>
        <w:kinsoku/>
        <w:wordWrap/>
        <w:bidi w:val="0"/>
        <w:spacing w:line="360" w:lineRule="auto"/>
        <w:ind w:firstLine="480" w:firstLineChars="200"/>
        <w:rPr>
          <w:rFonts w:hint="default" w:ascii="Times New Roman" w:hAnsi="Times New Roman" w:eastAsia="仿宋_GB2312" w:cs="Times New Roman"/>
          <w:bCs/>
          <w:sz w:val="24"/>
          <w:highlight w:val="none"/>
        </w:rPr>
      </w:pPr>
      <w:r>
        <w:rPr>
          <w:rFonts w:hint="default" w:ascii="Times New Roman" w:hAnsi="Times New Roman" w:eastAsia="仿宋_GB2312" w:cs="Times New Roman"/>
          <w:bCs/>
          <w:sz w:val="24"/>
          <w:highlight w:val="none"/>
        </w:rPr>
        <w:t>水土保持投资估算见表7-2~表7-1</w:t>
      </w:r>
      <w:r>
        <w:rPr>
          <w:rFonts w:hint="eastAsia" w:eastAsia="仿宋_GB2312" w:cs="Times New Roman"/>
          <w:bCs/>
          <w:sz w:val="24"/>
          <w:highlight w:val="none"/>
          <w:lang w:val="en-US" w:eastAsia="zh-CN"/>
        </w:rPr>
        <w:t>0</w:t>
      </w:r>
      <w:r>
        <w:rPr>
          <w:rFonts w:hint="default" w:ascii="Times New Roman" w:hAnsi="Times New Roman" w:eastAsia="仿宋_GB2312" w:cs="Times New Roman"/>
          <w:bCs/>
          <w:sz w:val="24"/>
          <w:highlight w:val="none"/>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sz w:val="21"/>
          <w:szCs w:val="21"/>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sz w:val="21"/>
          <w:szCs w:val="21"/>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sz w:val="21"/>
          <w:szCs w:val="21"/>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sz w:val="21"/>
          <w:szCs w:val="21"/>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sz w:val="21"/>
          <w:szCs w:val="21"/>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sz w:val="21"/>
          <w:szCs w:val="21"/>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sz w:val="21"/>
          <w:szCs w:val="21"/>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sz w:val="21"/>
          <w:szCs w:val="21"/>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sz w:val="21"/>
          <w:szCs w:val="21"/>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sz w:val="21"/>
          <w:szCs w:val="21"/>
          <w:lang w:eastAsia="zh-CN"/>
        </w:rPr>
      </w:pPr>
      <w:r>
        <w:rPr>
          <w:rFonts w:hint="default" w:ascii="Times New Roman" w:hAnsi="Times New Roman" w:eastAsia="微软雅黑" w:cs="Times New Roman"/>
          <w:sz w:val="21"/>
          <w:szCs w:val="21"/>
        </w:rPr>
        <w:t>表7-2</w:t>
      </w:r>
      <w:r>
        <w:rPr>
          <w:rFonts w:hint="default" w:ascii="Times New Roman" w:hAnsi="Times New Roman" w:eastAsia="微软雅黑" w:cs="Times New Roman"/>
          <w:sz w:val="21"/>
          <w:szCs w:val="21"/>
          <w:lang w:val="en-US" w:eastAsia="zh-CN"/>
        </w:rPr>
        <w:t xml:space="preserve">  </w:t>
      </w:r>
      <w:r>
        <w:rPr>
          <w:rFonts w:hint="default" w:ascii="Times New Roman" w:hAnsi="Times New Roman" w:eastAsia="微软雅黑" w:cs="Times New Roman"/>
          <w:sz w:val="21"/>
          <w:szCs w:val="21"/>
        </w:rPr>
        <w:t>水土保持投资估算总表</w:t>
      </w:r>
    </w:p>
    <w:p>
      <w:pPr>
        <w:keepNext w:val="0"/>
        <w:keepLines w:val="0"/>
        <w:pageBreakBefore w:val="0"/>
        <w:widowControl w:val="0"/>
        <w:kinsoku/>
        <w:wordWrap/>
        <w:overflowPunct/>
        <w:topLinePunct w:val="0"/>
        <w:autoSpaceDE/>
        <w:autoSpaceDN/>
        <w:bidi w:val="0"/>
        <w:adjustRightInd/>
        <w:snapToGrid/>
        <w:spacing w:line="240" w:lineRule="auto"/>
        <w:ind w:firstLine="1160" w:firstLineChars="550"/>
        <w:jc w:val="right"/>
        <w:textAlignment w:val="auto"/>
        <w:rPr>
          <w:rFonts w:hint="default" w:ascii="Times New Roman" w:hAnsi="Times New Roman" w:eastAsia="仿宋_GB2312" w:cs="Times New Roman"/>
          <w:b/>
          <w:bCs/>
          <w:sz w:val="21"/>
          <w:szCs w:val="21"/>
          <w:highlight w:val="none"/>
        </w:rPr>
      </w:pPr>
      <w:r>
        <w:rPr>
          <w:rFonts w:hint="default" w:ascii="Times New Roman" w:hAnsi="Times New Roman" w:eastAsia="仿宋_GB2312" w:cs="Times New Roman"/>
          <w:b/>
          <w:bCs/>
          <w:sz w:val="21"/>
          <w:szCs w:val="21"/>
          <w:highlight w:val="none"/>
        </w:rPr>
        <w:t>单位：万元</w:t>
      </w:r>
    </w:p>
    <w:tbl>
      <w:tblPr>
        <w:tblStyle w:val="88"/>
        <w:tblW w:w="4998" w:type="pct"/>
        <w:jc w:val="center"/>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672"/>
        <w:gridCol w:w="2026"/>
        <w:gridCol w:w="1332"/>
        <w:gridCol w:w="1220"/>
        <w:gridCol w:w="1213"/>
        <w:gridCol w:w="1112"/>
        <w:gridCol w:w="951"/>
      </w:tblGrid>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4"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b w:val="0"/>
                <w:bCs w:val="0"/>
                <w:kern w:val="0"/>
                <w:sz w:val="20"/>
                <w:szCs w:val="20"/>
                <w:highlight w:val="none"/>
              </w:rPr>
            </w:pPr>
            <w:r>
              <w:rPr>
                <w:rFonts w:hint="default" w:ascii="Times New Roman" w:hAnsi="Times New Roman" w:eastAsia="仿宋_GB2312" w:cs="Times New Roman"/>
                <w:b w:val="0"/>
                <w:bCs w:val="0"/>
                <w:kern w:val="0"/>
                <w:sz w:val="20"/>
                <w:szCs w:val="20"/>
                <w:highlight w:val="none"/>
              </w:rPr>
              <w:t>序号</w:t>
            </w:r>
          </w:p>
        </w:tc>
        <w:tc>
          <w:tcPr>
            <w:tcW w:w="1188"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b w:val="0"/>
                <w:bCs w:val="0"/>
                <w:kern w:val="0"/>
                <w:sz w:val="20"/>
                <w:szCs w:val="20"/>
                <w:highlight w:val="none"/>
              </w:rPr>
            </w:pPr>
            <w:r>
              <w:rPr>
                <w:rFonts w:hint="default" w:ascii="Times New Roman" w:hAnsi="Times New Roman" w:eastAsia="仿宋_GB2312" w:cs="Times New Roman"/>
                <w:b w:val="0"/>
                <w:bCs w:val="0"/>
                <w:kern w:val="0"/>
                <w:sz w:val="20"/>
                <w:szCs w:val="20"/>
                <w:highlight w:val="none"/>
              </w:rPr>
              <w:t>工程或费用名称</w:t>
            </w:r>
          </w:p>
        </w:tc>
        <w:tc>
          <w:tcPr>
            <w:tcW w:w="781"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b w:val="0"/>
                <w:bCs w:val="0"/>
                <w:kern w:val="0"/>
                <w:sz w:val="20"/>
                <w:szCs w:val="20"/>
                <w:highlight w:val="none"/>
              </w:rPr>
            </w:pPr>
            <w:r>
              <w:rPr>
                <w:rFonts w:hint="default" w:ascii="Times New Roman" w:hAnsi="Times New Roman" w:eastAsia="仿宋_GB2312" w:cs="Times New Roman"/>
                <w:b w:val="0"/>
                <w:bCs w:val="0"/>
                <w:kern w:val="0"/>
                <w:sz w:val="20"/>
                <w:szCs w:val="20"/>
                <w:highlight w:val="none"/>
              </w:rPr>
              <w:t>建安工程费</w:t>
            </w:r>
          </w:p>
        </w:tc>
        <w:tc>
          <w:tcPr>
            <w:tcW w:w="1426"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b w:val="0"/>
                <w:bCs w:val="0"/>
                <w:kern w:val="0"/>
                <w:sz w:val="20"/>
                <w:szCs w:val="20"/>
                <w:highlight w:val="none"/>
              </w:rPr>
            </w:pPr>
            <w:r>
              <w:rPr>
                <w:rFonts w:hint="default" w:ascii="Times New Roman" w:hAnsi="Times New Roman" w:eastAsia="仿宋_GB2312" w:cs="Times New Roman"/>
                <w:b w:val="0"/>
                <w:bCs w:val="0"/>
                <w:kern w:val="0"/>
                <w:sz w:val="20"/>
                <w:szCs w:val="20"/>
                <w:highlight w:val="none"/>
              </w:rPr>
              <w:t>林草工程费</w:t>
            </w:r>
          </w:p>
        </w:tc>
        <w:tc>
          <w:tcPr>
            <w:tcW w:w="65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b w:val="0"/>
                <w:bCs w:val="0"/>
                <w:kern w:val="0"/>
                <w:sz w:val="20"/>
                <w:szCs w:val="20"/>
                <w:highlight w:val="none"/>
              </w:rPr>
            </w:pPr>
            <w:r>
              <w:rPr>
                <w:rFonts w:hint="default" w:ascii="Times New Roman" w:hAnsi="Times New Roman" w:eastAsia="仿宋_GB2312" w:cs="Times New Roman"/>
                <w:b w:val="0"/>
                <w:bCs w:val="0"/>
                <w:kern w:val="0"/>
                <w:sz w:val="20"/>
                <w:szCs w:val="20"/>
                <w:highlight w:val="none"/>
              </w:rPr>
              <w:t>独立费用</w:t>
            </w:r>
          </w:p>
        </w:tc>
        <w:tc>
          <w:tcPr>
            <w:tcW w:w="557"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b w:val="0"/>
                <w:bCs w:val="0"/>
                <w:kern w:val="0"/>
                <w:sz w:val="20"/>
                <w:szCs w:val="20"/>
                <w:highlight w:val="none"/>
              </w:rPr>
            </w:pPr>
            <w:r>
              <w:rPr>
                <w:rFonts w:hint="default" w:ascii="Times New Roman" w:hAnsi="Times New Roman" w:eastAsia="仿宋_GB2312" w:cs="Times New Roman"/>
                <w:b w:val="0"/>
                <w:bCs w:val="0"/>
                <w:kern w:val="0"/>
                <w:sz w:val="20"/>
                <w:szCs w:val="20"/>
                <w:highlight w:val="none"/>
              </w:rPr>
              <w:t>合计</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p>
        </w:tc>
        <w:tc>
          <w:tcPr>
            <w:tcW w:w="118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p>
        </w:tc>
        <w:tc>
          <w:tcPr>
            <w:tcW w:w="78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p>
        </w:tc>
        <w:tc>
          <w:tcPr>
            <w:tcW w:w="71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b/>
                <w:bCs/>
                <w:kern w:val="0"/>
                <w:sz w:val="20"/>
                <w:szCs w:val="20"/>
                <w:highlight w:val="none"/>
              </w:rPr>
            </w:pPr>
            <w:r>
              <w:rPr>
                <w:rFonts w:hint="default" w:ascii="Times New Roman" w:hAnsi="Times New Roman" w:eastAsia="仿宋_GB2312" w:cs="Times New Roman"/>
                <w:color w:val="000000"/>
                <w:kern w:val="0"/>
                <w:sz w:val="20"/>
                <w:szCs w:val="20"/>
                <w:highlight w:val="none"/>
                <w:lang w:bidi="ar"/>
              </w:rPr>
              <w:t>栽植费</w:t>
            </w:r>
          </w:p>
        </w:tc>
        <w:tc>
          <w:tcPr>
            <w:tcW w:w="71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b/>
                <w:bCs/>
                <w:kern w:val="0"/>
                <w:sz w:val="20"/>
                <w:szCs w:val="20"/>
                <w:highlight w:val="none"/>
              </w:rPr>
            </w:pPr>
            <w:r>
              <w:rPr>
                <w:rFonts w:hint="default" w:ascii="Times New Roman" w:hAnsi="Times New Roman" w:eastAsia="仿宋_GB2312" w:cs="Times New Roman"/>
                <w:color w:val="000000"/>
                <w:kern w:val="0"/>
                <w:sz w:val="20"/>
                <w:szCs w:val="20"/>
                <w:highlight w:val="none"/>
                <w:lang w:bidi="ar"/>
              </w:rPr>
              <w:t>种子费</w:t>
            </w:r>
          </w:p>
        </w:tc>
        <w:tc>
          <w:tcPr>
            <w:tcW w:w="65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p>
        </w:tc>
        <w:tc>
          <w:tcPr>
            <w:tcW w:w="55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0"/>
                <w:szCs w:val="20"/>
                <w:highlight w:val="none"/>
              </w:rPr>
            </w:pPr>
            <w:r>
              <w:rPr>
                <w:rFonts w:hint="default" w:ascii="Times New Roman" w:hAnsi="Times New Roman" w:eastAsia="仿宋_GB2312" w:cs="Times New Roman"/>
                <w:b/>
                <w:bCs/>
                <w:kern w:val="0"/>
                <w:sz w:val="20"/>
                <w:szCs w:val="20"/>
                <w:highlight w:val="none"/>
              </w:rPr>
              <w:t>一</w:t>
            </w:r>
          </w:p>
        </w:tc>
        <w:tc>
          <w:tcPr>
            <w:tcW w:w="11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0"/>
                <w:szCs w:val="20"/>
                <w:highlight w:val="none"/>
              </w:rPr>
            </w:pPr>
            <w:r>
              <w:rPr>
                <w:rFonts w:hint="default" w:ascii="Times New Roman" w:hAnsi="Times New Roman" w:eastAsia="仿宋_GB2312" w:cs="Times New Roman"/>
                <w:b/>
                <w:bCs/>
                <w:kern w:val="0"/>
                <w:sz w:val="20"/>
                <w:szCs w:val="20"/>
                <w:highlight w:val="none"/>
              </w:rPr>
              <w:t>工程措施</w:t>
            </w:r>
          </w:p>
        </w:tc>
        <w:tc>
          <w:tcPr>
            <w:tcW w:w="78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b/>
                <w:bCs/>
                <w:kern w:val="0"/>
                <w:sz w:val="20"/>
                <w:szCs w:val="20"/>
                <w:highlight w:val="none"/>
                <w:lang w:val="en-US" w:eastAsia="zh-CN"/>
              </w:rPr>
            </w:pPr>
            <w:r>
              <w:rPr>
                <w:rFonts w:hint="eastAsia" w:eastAsia="仿宋_GB2312" w:cs="Times New Roman"/>
                <w:b/>
                <w:bCs/>
                <w:color w:val="000000"/>
                <w:kern w:val="0"/>
                <w:sz w:val="20"/>
                <w:szCs w:val="20"/>
                <w:highlight w:val="none"/>
                <w:lang w:val="en-US" w:eastAsia="zh-CN" w:bidi="ar"/>
              </w:rPr>
              <w:t>285.61</w:t>
            </w:r>
          </w:p>
        </w:tc>
        <w:tc>
          <w:tcPr>
            <w:tcW w:w="71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0"/>
                <w:szCs w:val="20"/>
                <w:highlight w:val="none"/>
              </w:rPr>
            </w:pPr>
          </w:p>
        </w:tc>
        <w:tc>
          <w:tcPr>
            <w:tcW w:w="71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0"/>
                <w:szCs w:val="20"/>
                <w:highlight w:val="none"/>
              </w:rPr>
            </w:pPr>
          </w:p>
        </w:tc>
        <w:tc>
          <w:tcPr>
            <w:tcW w:w="65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0"/>
                <w:szCs w:val="20"/>
                <w:highlight w:val="none"/>
              </w:rPr>
            </w:pPr>
          </w:p>
        </w:tc>
        <w:tc>
          <w:tcPr>
            <w:tcW w:w="55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b/>
                <w:bCs/>
                <w:kern w:val="0"/>
                <w:sz w:val="20"/>
                <w:szCs w:val="20"/>
                <w:highlight w:val="none"/>
                <w:lang w:eastAsia="zh-CN"/>
              </w:rPr>
            </w:pPr>
            <w:r>
              <w:rPr>
                <w:rFonts w:hint="eastAsia" w:eastAsia="仿宋_GB2312" w:cs="Times New Roman"/>
                <w:b/>
                <w:bCs/>
                <w:color w:val="000000"/>
                <w:kern w:val="0"/>
                <w:sz w:val="20"/>
                <w:szCs w:val="20"/>
                <w:highlight w:val="none"/>
                <w:lang w:eastAsia="zh-CN" w:bidi="ar"/>
              </w:rPr>
              <w:t>285.61</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kern w:val="0"/>
                <w:sz w:val="20"/>
                <w:szCs w:val="20"/>
                <w:highlight w:val="none"/>
              </w:rPr>
              <w:t>1</w:t>
            </w:r>
          </w:p>
        </w:tc>
        <w:tc>
          <w:tcPr>
            <w:tcW w:w="11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kern w:val="0"/>
                <w:sz w:val="20"/>
                <w:szCs w:val="20"/>
                <w:highlight w:val="none"/>
              </w:rPr>
              <w:t>工程建设区</w:t>
            </w:r>
          </w:p>
        </w:tc>
        <w:tc>
          <w:tcPr>
            <w:tcW w:w="78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kern w:val="0"/>
                <w:sz w:val="20"/>
                <w:szCs w:val="20"/>
                <w:highlight w:val="none"/>
                <w:lang w:val="en-US" w:eastAsia="zh-CN"/>
              </w:rPr>
            </w:pPr>
            <w:r>
              <w:rPr>
                <w:rFonts w:hint="eastAsia" w:eastAsia="仿宋_GB2312" w:cs="Times New Roman"/>
                <w:color w:val="000000"/>
                <w:kern w:val="0"/>
                <w:sz w:val="20"/>
                <w:szCs w:val="20"/>
                <w:highlight w:val="none"/>
                <w:lang w:val="en-US" w:eastAsia="zh-CN" w:bidi="ar"/>
              </w:rPr>
              <w:t>285.61</w:t>
            </w:r>
          </w:p>
        </w:tc>
        <w:tc>
          <w:tcPr>
            <w:tcW w:w="71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p>
        </w:tc>
        <w:tc>
          <w:tcPr>
            <w:tcW w:w="71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p>
        </w:tc>
        <w:tc>
          <w:tcPr>
            <w:tcW w:w="65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p>
        </w:tc>
        <w:tc>
          <w:tcPr>
            <w:tcW w:w="55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kern w:val="0"/>
                <w:sz w:val="20"/>
                <w:szCs w:val="20"/>
                <w:highlight w:val="none"/>
                <w:lang w:eastAsia="zh-CN"/>
              </w:rPr>
            </w:pPr>
            <w:r>
              <w:rPr>
                <w:rFonts w:hint="eastAsia" w:eastAsia="仿宋_GB2312" w:cs="Times New Roman"/>
                <w:color w:val="000000"/>
                <w:kern w:val="0"/>
                <w:sz w:val="20"/>
                <w:szCs w:val="20"/>
                <w:highlight w:val="none"/>
                <w:lang w:val="en-US" w:eastAsia="zh-CN" w:bidi="ar"/>
              </w:rPr>
              <w:t>285.61</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0"/>
                <w:szCs w:val="20"/>
                <w:highlight w:val="none"/>
              </w:rPr>
            </w:pPr>
            <w:r>
              <w:rPr>
                <w:rFonts w:hint="default" w:ascii="Times New Roman" w:hAnsi="Times New Roman" w:eastAsia="仿宋_GB2312" w:cs="Times New Roman"/>
                <w:b/>
                <w:bCs/>
                <w:kern w:val="0"/>
                <w:sz w:val="20"/>
                <w:szCs w:val="20"/>
                <w:highlight w:val="none"/>
              </w:rPr>
              <w:t>二</w:t>
            </w:r>
          </w:p>
        </w:tc>
        <w:tc>
          <w:tcPr>
            <w:tcW w:w="11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0"/>
                <w:szCs w:val="20"/>
                <w:highlight w:val="none"/>
              </w:rPr>
            </w:pPr>
            <w:r>
              <w:rPr>
                <w:rFonts w:hint="default" w:ascii="Times New Roman" w:hAnsi="Times New Roman" w:eastAsia="仿宋_GB2312" w:cs="Times New Roman"/>
                <w:b/>
                <w:bCs/>
                <w:kern w:val="0"/>
                <w:sz w:val="20"/>
                <w:szCs w:val="20"/>
                <w:highlight w:val="none"/>
              </w:rPr>
              <w:t>植物措施</w:t>
            </w:r>
          </w:p>
        </w:tc>
        <w:tc>
          <w:tcPr>
            <w:tcW w:w="78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color w:val="000000"/>
                <w:kern w:val="0"/>
                <w:sz w:val="20"/>
                <w:szCs w:val="20"/>
                <w:highlight w:val="none"/>
                <w:lang w:eastAsia="zh-CN" w:bidi="ar"/>
              </w:rPr>
            </w:pPr>
          </w:p>
        </w:tc>
        <w:tc>
          <w:tcPr>
            <w:tcW w:w="1426"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r>
              <w:rPr>
                <w:rFonts w:hint="eastAsia" w:eastAsia="仿宋_GB2312" w:cs="Times New Roman"/>
                <w:b/>
                <w:bCs/>
                <w:color w:val="000000"/>
                <w:kern w:val="0"/>
                <w:sz w:val="20"/>
                <w:szCs w:val="20"/>
                <w:highlight w:val="none"/>
                <w:lang w:eastAsia="zh-CN" w:bidi="ar"/>
              </w:rPr>
              <w:t>479.20</w:t>
            </w:r>
          </w:p>
        </w:tc>
        <w:tc>
          <w:tcPr>
            <w:tcW w:w="65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0"/>
                <w:szCs w:val="20"/>
                <w:highlight w:val="none"/>
              </w:rPr>
            </w:pPr>
          </w:p>
        </w:tc>
        <w:tc>
          <w:tcPr>
            <w:tcW w:w="55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b/>
                <w:bCs/>
                <w:kern w:val="0"/>
                <w:sz w:val="20"/>
                <w:szCs w:val="20"/>
                <w:highlight w:val="none"/>
                <w:lang w:eastAsia="zh-CN"/>
              </w:rPr>
            </w:pPr>
            <w:r>
              <w:rPr>
                <w:rFonts w:hint="eastAsia" w:eastAsia="仿宋_GB2312" w:cs="Times New Roman"/>
                <w:b/>
                <w:bCs/>
                <w:color w:val="000000"/>
                <w:kern w:val="0"/>
                <w:sz w:val="20"/>
                <w:szCs w:val="20"/>
                <w:highlight w:val="none"/>
                <w:lang w:eastAsia="zh-CN" w:bidi="ar"/>
              </w:rPr>
              <w:t>479.20</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kern w:val="0"/>
                <w:sz w:val="20"/>
                <w:szCs w:val="20"/>
                <w:highlight w:val="none"/>
              </w:rPr>
              <w:t>1</w:t>
            </w:r>
          </w:p>
        </w:tc>
        <w:tc>
          <w:tcPr>
            <w:tcW w:w="11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kern w:val="0"/>
                <w:sz w:val="20"/>
                <w:szCs w:val="20"/>
                <w:highlight w:val="none"/>
              </w:rPr>
              <w:t>工程建设区</w:t>
            </w:r>
          </w:p>
        </w:tc>
        <w:tc>
          <w:tcPr>
            <w:tcW w:w="78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kern w:val="0"/>
                <w:sz w:val="20"/>
                <w:szCs w:val="20"/>
                <w:highlight w:val="none"/>
                <w:lang w:val="en-US" w:eastAsia="zh-CN"/>
              </w:rPr>
            </w:pPr>
          </w:p>
        </w:tc>
        <w:tc>
          <w:tcPr>
            <w:tcW w:w="1426"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r>
              <w:rPr>
                <w:rFonts w:hint="eastAsia" w:eastAsia="仿宋_GB2312" w:cs="Times New Roman"/>
                <w:color w:val="000000"/>
                <w:kern w:val="0"/>
                <w:sz w:val="20"/>
                <w:szCs w:val="20"/>
                <w:highlight w:val="none"/>
                <w:lang w:eastAsia="zh-CN" w:bidi="ar"/>
              </w:rPr>
              <w:t>479.20</w:t>
            </w:r>
          </w:p>
        </w:tc>
        <w:tc>
          <w:tcPr>
            <w:tcW w:w="65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p>
        </w:tc>
        <w:tc>
          <w:tcPr>
            <w:tcW w:w="55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kern w:val="0"/>
                <w:sz w:val="20"/>
                <w:szCs w:val="20"/>
                <w:highlight w:val="none"/>
                <w:lang w:eastAsia="zh-CN"/>
              </w:rPr>
            </w:pPr>
            <w:r>
              <w:rPr>
                <w:rFonts w:hint="eastAsia" w:eastAsia="仿宋_GB2312" w:cs="Times New Roman"/>
                <w:color w:val="000000"/>
                <w:kern w:val="0"/>
                <w:sz w:val="20"/>
                <w:szCs w:val="20"/>
                <w:highlight w:val="none"/>
                <w:lang w:eastAsia="zh-CN" w:bidi="ar"/>
              </w:rPr>
              <w:t>479.20</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0"/>
                <w:szCs w:val="20"/>
                <w:highlight w:val="none"/>
              </w:rPr>
            </w:pPr>
            <w:r>
              <w:rPr>
                <w:rFonts w:hint="default" w:ascii="Times New Roman" w:hAnsi="Times New Roman" w:eastAsia="仿宋_GB2312" w:cs="Times New Roman"/>
                <w:b/>
                <w:bCs/>
                <w:kern w:val="0"/>
                <w:sz w:val="20"/>
                <w:szCs w:val="20"/>
                <w:highlight w:val="none"/>
              </w:rPr>
              <w:t>三</w:t>
            </w:r>
          </w:p>
        </w:tc>
        <w:tc>
          <w:tcPr>
            <w:tcW w:w="11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0"/>
                <w:szCs w:val="20"/>
                <w:highlight w:val="none"/>
              </w:rPr>
            </w:pPr>
            <w:r>
              <w:rPr>
                <w:rFonts w:hint="default" w:ascii="Times New Roman" w:hAnsi="Times New Roman" w:eastAsia="仿宋_GB2312" w:cs="Times New Roman"/>
                <w:b/>
                <w:bCs/>
                <w:kern w:val="0"/>
                <w:sz w:val="20"/>
                <w:szCs w:val="20"/>
                <w:highlight w:val="none"/>
              </w:rPr>
              <w:t>临时措施</w:t>
            </w:r>
          </w:p>
        </w:tc>
        <w:tc>
          <w:tcPr>
            <w:tcW w:w="78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b/>
                <w:bCs/>
                <w:kern w:val="0"/>
                <w:sz w:val="20"/>
                <w:szCs w:val="20"/>
                <w:highlight w:val="none"/>
                <w:lang w:val="en-US" w:eastAsia="zh-CN"/>
              </w:rPr>
            </w:pPr>
            <w:r>
              <w:rPr>
                <w:rFonts w:hint="eastAsia" w:eastAsia="仿宋_GB2312" w:cs="Times New Roman"/>
                <w:b/>
                <w:bCs/>
                <w:kern w:val="0"/>
                <w:sz w:val="20"/>
                <w:szCs w:val="20"/>
                <w:highlight w:val="none"/>
                <w:lang w:val="en-US" w:eastAsia="zh-CN"/>
              </w:rPr>
              <w:t>3.34</w:t>
            </w:r>
          </w:p>
        </w:tc>
        <w:tc>
          <w:tcPr>
            <w:tcW w:w="71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b/>
                <w:bCs/>
                <w:kern w:val="0"/>
                <w:sz w:val="20"/>
                <w:szCs w:val="20"/>
                <w:highlight w:val="none"/>
              </w:rPr>
            </w:pPr>
          </w:p>
        </w:tc>
        <w:tc>
          <w:tcPr>
            <w:tcW w:w="71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b/>
                <w:bCs/>
                <w:kern w:val="0"/>
                <w:sz w:val="20"/>
                <w:szCs w:val="20"/>
                <w:highlight w:val="none"/>
              </w:rPr>
            </w:pPr>
          </w:p>
        </w:tc>
        <w:tc>
          <w:tcPr>
            <w:tcW w:w="65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b/>
                <w:bCs/>
                <w:kern w:val="0"/>
                <w:sz w:val="20"/>
                <w:szCs w:val="20"/>
                <w:highlight w:val="none"/>
              </w:rPr>
            </w:pPr>
          </w:p>
        </w:tc>
        <w:tc>
          <w:tcPr>
            <w:tcW w:w="55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b/>
                <w:bCs/>
                <w:kern w:val="0"/>
                <w:sz w:val="20"/>
                <w:szCs w:val="20"/>
                <w:highlight w:val="none"/>
                <w:lang w:val="en-US" w:eastAsia="zh-CN"/>
              </w:rPr>
            </w:pPr>
            <w:r>
              <w:rPr>
                <w:rFonts w:hint="eastAsia" w:eastAsia="仿宋_GB2312" w:cs="Times New Roman"/>
                <w:b/>
                <w:bCs/>
                <w:kern w:val="0"/>
                <w:sz w:val="20"/>
                <w:szCs w:val="20"/>
                <w:highlight w:val="none"/>
                <w:lang w:val="en-US" w:eastAsia="zh-CN"/>
              </w:rPr>
              <w:t>3.34</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kern w:val="0"/>
                <w:sz w:val="20"/>
                <w:szCs w:val="20"/>
                <w:highlight w:val="none"/>
              </w:rPr>
              <w:t>1</w:t>
            </w:r>
          </w:p>
        </w:tc>
        <w:tc>
          <w:tcPr>
            <w:tcW w:w="11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kern w:val="0"/>
                <w:sz w:val="20"/>
                <w:szCs w:val="20"/>
                <w:highlight w:val="none"/>
              </w:rPr>
              <w:t>工程建设区</w:t>
            </w:r>
          </w:p>
        </w:tc>
        <w:tc>
          <w:tcPr>
            <w:tcW w:w="78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kern w:val="0"/>
                <w:sz w:val="20"/>
                <w:szCs w:val="20"/>
                <w:highlight w:val="none"/>
                <w:lang w:val="en-US" w:eastAsia="zh-CN"/>
              </w:rPr>
            </w:pPr>
            <w:r>
              <w:rPr>
                <w:rFonts w:hint="eastAsia" w:eastAsia="仿宋_GB2312" w:cs="Times New Roman"/>
                <w:kern w:val="0"/>
                <w:sz w:val="20"/>
                <w:szCs w:val="20"/>
                <w:highlight w:val="none"/>
                <w:lang w:val="en-US" w:eastAsia="zh-CN"/>
              </w:rPr>
              <w:t>3.33</w:t>
            </w:r>
          </w:p>
        </w:tc>
        <w:tc>
          <w:tcPr>
            <w:tcW w:w="71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p>
        </w:tc>
        <w:tc>
          <w:tcPr>
            <w:tcW w:w="71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p>
        </w:tc>
        <w:tc>
          <w:tcPr>
            <w:tcW w:w="65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p>
        </w:tc>
        <w:tc>
          <w:tcPr>
            <w:tcW w:w="9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kern w:val="0"/>
                <w:sz w:val="20"/>
                <w:szCs w:val="20"/>
                <w:highlight w:val="none"/>
                <w:lang w:val="en-US" w:eastAsia="zh-CN"/>
              </w:rPr>
            </w:pPr>
            <w:r>
              <w:rPr>
                <w:rFonts w:hint="eastAsia" w:eastAsia="仿宋_GB2312" w:cs="Times New Roman"/>
                <w:kern w:val="0"/>
                <w:sz w:val="20"/>
                <w:szCs w:val="20"/>
                <w:highlight w:val="none"/>
                <w:lang w:val="en-US" w:eastAsia="zh-CN"/>
              </w:rPr>
              <w:t>3.33</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kern w:val="0"/>
                <w:sz w:val="20"/>
                <w:szCs w:val="20"/>
                <w:highlight w:val="none"/>
              </w:rPr>
              <w:t>2</w:t>
            </w:r>
          </w:p>
        </w:tc>
        <w:tc>
          <w:tcPr>
            <w:tcW w:w="11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kern w:val="0"/>
                <w:sz w:val="20"/>
                <w:szCs w:val="20"/>
                <w:highlight w:val="none"/>
              </w:rPr>
              <w:t>其他临时措施</w:t>
            </w:r>
          </w:p>
        </w:tc>
        <w:tc>
          <w:tcPr>
            <w:tcW w:w="78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kern w:val="0"/>
                <w:sz w:val="20"/>
                <w:szCs w:val="20"/>
                <w:highlight w:val="none"/>
                <w:lang w:val="en-US" w:eastAsia="zh-CN"/>
              </w:rPr>
            </w:pPr>
            <w:r>
              <w:rPr>
                <w:rFonts w:hint="eastAsia" w:eastAsia="仿宋_GB2312" w:cs="Times New Roman"/>
                <w:color w:val="000000"/>
                <w:kern w:val="0"/>
                <w:sz w:val="20"/>
                <w:szCs w:val="20"/>
                <w:highlight w:val="none"/>
                <w:lang w:val="en-US" w:eastAsia="zh-CN" w:bidi="ar"/>
              </w:rPr>
              <w:t>0.01</w:t>
            </w:r>
          </w:p>
        </w:tc>
        <w:tc>
          <w:tcPr>
            <w:tcW w:w="71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p>
        </w:tc>
        <w:tc>
          <w:tcPr>
            <w:tcW w:w="71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p>
        </w:tc>
        <w:tc>
          <w:tcPr>
            <w:tcW w:w="65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p>
        </w:tc>
        <w:tc>
          <w:tcPr>
            <w:tcW w:w="9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kern w:val="0"/>
                <w:sz w:val="20"/>
                <w:szCs w:val="20"/>
                <w:highlight w:val="none"/>
                <w:lang w:val="en-US" w:eastAsia="zh-CN"/>
              </w:rPr>
            </w:pPr>
            <w:r>
              <w:rPr>
                <w:rFonts w:hint="eastAsia" w:eastAsia="仿宋_GB2312" w:cs="Times New Roman"/>
                <w:color w:val="000000"/>
                <w:kern w:val="0"/>
                <w:sz w:val="20"/>
                <w:szCs w:val="20"/>
                <w:highlight w:val="none"/>
                <w:lang w:val="en-US" w:eastAsia="zh-CN" w:bidi="ar"/>
              </w:rPr>
              <w:t>0.01</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0"/>
                <w:szCs w:val="20"/>
                <w:highlight w:val="none"/>
              </w:rPr>
            </w:pPr>
            <w:r>
              <w:rPr>
                <w:rFonts w:hint="default" w:ascii="Times New Roman" w:hAnsi="Times New Roman" w:eastAsia="仿宋_GB2312" w:cs="Times New Roman"/>
                <w:b/>
                <w:bCs/>
                <w:kern w:val="0"/>
                <w:sz w:val="20"/>
                <w:szCs w:val="20"/>
                <w:highlight w:val="none"/>
              </w:rPr>
              <w:t>四</w:t>
            </w:r>
          </w:p>
        </w:tc>
        <w:tc>
          <w:tcPr>
            <w:tcW w:w="11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0"/>
                <w:szCs w:val="20"/>
                <w:highlight w:val="none"/>
              </w:rPr>
            </w:pPr>
            <w:r>
              <w:rPr>
                <w:rFonts w:hint="default" w:ascii="Times New Roman" w:hAnsi="Times New Roman" w:eastAsia="仿宋_GB2312" w:cs="Times New Roman"/>
                <w:b/>
                <w:bCs/>
                <w:kern w:val="0"/>
                <w:sz w:val="20"/>
                <w:szCs w:val="20"/>
                <w:highlight w:val="none"/>
              </w:rPr>
              <w:t>独立费用</w:t>
            </w:r>
          </w:p>
        </w:tc>
        <w:tc>
          <w:tcPr>
            <w:tcW w:w="78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0"/>
                <w:szCs w:val="20"/>
                <w:highlight w:val="none"/>
              </w:rPr>
            </w:pPr>
          </w:p>
        </w:tc>
        <w:tc>
          <w:tcPr>
            <w:tcW w:w="71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0"/>
                <w:szCs w:val="20"/>
                <w:highlight w:val="none"/>
              </w:rPr>
            </w:pPr>
          </w:p>
        </w:tc>
        <w:tc>
          <w:tcPr>
            <w:tcW w:w="71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0"/>
                <w:szCs w:val="20"/>
                <w:highlight w:val="none"/>
              </w:rPr>
            </w:pPr>
          </w:p>
        </w:tc>
        <w:tc>
          <w:tcPr>
            <w:tcW w:w="65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0"/>
                <w:szCs w:val="20"/>
                <w:highlight w:val="none"/>
              </w:rPr>
            </w:pPr>
            <w:r>
              <w:rPr>
                <w:rFonts w:hint="eastAsia" w:eastAsia="仿宋_GB2312" w:cs="Times New Roman"/>
                <w:b/>
                <w:bCs/>
                <w:sz w:val="20"/>
                <w:szCs w:val="20"/>
                <w:highlight w:val="none"/>
                <w:lang w:val="en-US" w:eastAsia="zh-CN"/>
              </w:rPr>
              <w:t>69.67</w:t>
            </w:r>
          </w:p>
        </w:tc>
        <w:tc>
          <w:tcPr>
            <w:tcW w:w="55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0"/>
                <w:szCs w:val="20"/>
                <w:highlight w:val="none"/>
              </w:rPr>
            </w:pPr>
            <w:r>
              <w:rPr>
                <w:rFonts w:hint="eastAsia" w:eastAsia="仿宋_GB2312" w:cs="Times New Roman"/>
                <w:b/>
                <w:bCs/>
                <w:sz w:val="20"/>
                <w:szCs w:val="20"/>
                <w:highlight w:val="none"/>
                <w:lang w:val="en-US" w:eastAsia="zh-CN"/>
              </w:rPr>
              <w:t>69.67</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kern w:val="0"/>
                <w:sz w:val="20"/>
                <w:szCs w:val="20"/>
                <w:highlight w:val="none"/>
              </w:rPr>
              <w:t>1</w:t>
            </w:r>
          </w:p>
        </w:tc>
        <w:tc>
          <w:tcPr>
            <w:tcW w:w="11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lang w:eastAsia="zh-CN"/>
              </w:rPr>
            </w:pPr>
            <w:r>
              <w:rPr>
                <w:rFonts w:hint="default" w:ascii="Times New Roman" w:hAnsi="Times New Roman" w:eastAsia="仿宋_GB2312" w:cs="Times New Roman"/>
                <w:kern w:val="0"/>
                <w:sz w:val="20"/>
                <w:szCs w:val="20"/>
                <w:highlight w:val="none"/>
              </w:rPr>
              <w:t>建设管理费</w:t>
            </w:r>
          </w:p>
        </w:tc>
        <w:tc>
          <w:tcPr>
            <w:tcW w:w="78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p>
        </w:tc>
        <w:tc>
          <w:tcPr>
            <w:tcW w:w="71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p>
        </w:tc>
        <w:tc>
          <w:tcPr>
            <w:tcW w:w="71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p>
        </w:tc>
        <w:tc>
          <w:tcPr>
            <w:tcW w:w="65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kern w:val="0"/>
                <w:sz w:val="20"/>
                <w:szCs w:val="20"/>
                <w:highlight w:val="none"/>
                <w:lang w:val="en-US" w:eastAsia="zh-CN"/>
              </w:rPr>
            </w:pPr>
            <w:r>
              <w:rPr>
                <w:rFonts w:hint="eastAsia" w:eastAsia="仿宋_GB2312" w:cs="Times New Roman"/>
                <w:color w:val="000000"/>
                <w:kern w:val="0"/>
                <w:sz w:val="20"/>
                <w:szCs w:val="20"/>
                <w:highlight w:val="none"/>
                <w:lang w:val="en-US" w:eastAsia="zh-CN" w:bidi="ar"/>
              </w:rPr>
              <w:t>0.05</w:t>
            </w:r>
          </w:p>
        </w:tc>
        <w:tc>
          <w:tcPr>
            <w:tcW w:w="55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kern w:val="0"/>
                <w:sz w:val="20"/>
                <w:szCs w:val="20"/>
                <w:highlight w:val="none"/>
                <w:lang w:val="en-US" w:eastAsia="zh-CN"/>
              </w:rPr>
            </w:pPr>
            <w:r>
              <w:rPr>
                <w:rFonts w:hint="eastAsia" w:eastAsia="仿宋_GB2312" w:cs="Times New Roman"/>
                <w:kern w:val="0"/>
                <w:sz w:val="20"/>
                <w:szCs w:val="20"/>
                <w:highlight w:val="none"/>
                <w:lang w:val="en-US" w:eastAsia="zh-CN"/>
              </w:rPr>
              <w:t>0.05</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kern w:val="0"/>
                <w:sz w:val="20"/>
                <w:szCs w:val="20"/>
                <w:highlight w:val="none"/>
              </w:rPr>
              <w:t>2</w:t>
            </w:r>
          </w:p>
        </w:tc>
        <w:tc>
          <w:tcPr>
            <w:tcW w:w="11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kern w:val="0"/>
                <w:sz w:val="20"/>
                <w:szCs w:val="20"/>
                <w:highlight w:val="none"/>
              </w:rPr>
              <w:t>水土保持监理费</w:t>
            </w:r>
          </w:p>
        </w:tc>
        <w:tc>
          <w:tcPr>
            <w:tcW w:w="78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p>
        </w:tc>
        <w:tc>
          <w:tcPr>
            <w:tcW w:w="71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p>
        </w:tc>
        <w:tc>
          <w:tcPr>
            <w:tcW w:w="71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p>
        </w:tc>
        <w:tc>
          <w:tcPr>
            <w:tcW w:w="111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kern w:val="0"/>
                <w:sz w:val="20"/>
                <w:szCs w:val="20"/>
                <w:highlight w:val="none"/>
                <w:lang w:val="en-US" w:eastAsia="zh-CN"/>
              </w:rPr>
            </w:pPr>
            <w:r>
              <w:rPr>
                <w:rFonts w:hint="eastAsia" w:eastAsia="仿宋_GB2312" w:cs="Times New Roman"/>
                <w:color w:val="000000"/>
                <w:kern w:val="0"/>
                <w:sz w:val="20"/>
                <w:szCs w:val="20"/>
                <w:highlight w:val="none"/>
                <w:lang w:val="en-US" w:eastAsia="zh-CN" w:bidi="ar"/>
              </w:rPr>
              <w:t>16</w:t>
            </w:r>
          </w:p>
        </w:tc>
        <w:tc>
          <w:tcPr>
            <w:tcW w:w="9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kern w:val="0"/>
                <w:sz w:val="20"/>
                <w:szCs w:val="20"/>
                <w:highlight w:val="none"/>
                <w:lang w:val="en-US" w:eastAsia="zh-CN"/>
              </w:rPr>
            </w:pPr>
            <w:r>
              <w:rPr>
                <w:rFonts w:hint="eastAsia" w:eastAsia="仿宋_GB2312" w:cs="Times New Roman"/>
                <w:color w:val="000000"/>
                <w:kern w:val="0"/>
                <w:sz w:val="20"/>
                <w:szCs w:val="20"/>
                <w:highlight w:val="none"/>
                <w:lang w:val="en-US" w:eastAsia="zh-CN" w:bidi="ar"/>
              </w:rPr>
              <w:t>16</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kern w:val="0"/>
                <w:sz w:val="20"/>
                <w:szCs w:val="20"/>
                <w:highlight w:val="none"/>
              </w:rPr>
              <w:t>3</w:t>
            </w:r>
          </w:p>
        </w:tc>
        <w:tc>
          <w:tcPr>
            <w:tcW w:w="11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kern w:val="0"/>
                <w:sz w:val="20"/>
                <w:szCs w:val="20"/>
                <w:highlight w:val="none"/>
              </w:rPr>
              <w:t>水土保持监测费</w:t>
            </w:r>
          </w:p>
        </w:tc>
        <w:tc>
          <w:tcPr>
            <w:tcW w:w="78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p>
        </w:tc>
        <w:tc>
          <w:tcPr>
            <w:tcW w:w="71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p>
        </w:tc>
        <w:tc>
          <w:tcPr>
            <w:tcW w:w="71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p>
        </w:tc>
        <w:tc>
          <w:tcPr>
            <w:tcW w:w="111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kern w:val="0"/>
                <w:sz w:val="20"/>
                <w:szCs w:val="20"/>
                <w:highlight w:val="none"/>
                <w:lang w:val="en-US" w:eastAsia="zh-CN"/>
              </w:rPr>
            </w:pPr>
            <w:r>
              <w:rPr>
                <w:rFonts w:hint="eastAsia" w:eastAsia="仿宋_GB2312" w:cs="Times New Roman"/>
                <w:color w:val="000000"/>
                <w:kern w:val="0"/>
                <w:sz w:val="20"/>
                <w:szCs w:val="20"/>
                <w:highlight w:val="none"/>
                <w:lang w:val="en-US" w:eastAsia="zh-CN" w:bidi="ar"/>
              </w:rPr>
              <w:t>15.62</w:t>
            </w:r>
          </w:p>
        </w:tc>
        <w:tc>
          <w:tcPr>
            <w:tcW w:w="9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kern w:val="0"/>
                <w:sz w:val="20"/>
                <w:szCs w:val="20"/>
                <w:highlight w:val="none"/>
                <w:lang w:val="en-US" w:eastAsia="zh-CN"/>
              </w:rPr>
            </w:pPr>
            <w:r>
              <w:rPr>
                <w:rFonts w:hint="eastAsia" w:eastAsia="仿宋_GB2312" w:cs="Times New Roman"/>
                <w:color w:val="000000"/>
                <w:kern w:val="0"/>
                <w:sz w:val="20"/>
                <w:szCs w:val="20"/>
                <w:highlight w:val="none"/>
                <w:lang w:val="en-US" w:eastAsia="zh-CN" w:bidi="ar"/>
              </w:rPr>
              <w:t>15.62</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kern w:val="0"/>
                <w:sz w:val="20"/>
                <w:szCs w:val="20"/>
                <w:highlight w:val="none"/>
              </w:rPr>
              <w:t>4</w:t>
            </w:r>
          </w:p>
        </w:tc>
        <w:tc>
          <w:tcPr>
            <w:tcW w:w="11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kern w:val="0"/>
                <w:sz w:val="20"/>
                <w:szCs w:val="20"/>
                <w:highlight w:val="none"/>
              </w:rPr>
              <w:t>科研勘测设计费</w:t>
            </w:r>
          </w:p>
        </w:tc>
        <w:tc>
          <w:tcPr>
            <w:tcW w:w="78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p>
        </w:tc>
        <w:tc>
          <w:tcPr>
            <w:tcW w:w="71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p>
        </w:tc>
        <w:tc>
          <w:tcPr>
            <w:tcW w:w="71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p>
        </w:tc>
        <w:tc>
          <w:tcPr>
            <w:tcW w:w="111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kern w:val="0"/>
                <w:sz w:val="20"/>
                <w:szCs w:val="20"/>
                <w:highlight w:val="none"/>
                <w:lang w:val="en-US" w:eastAsia="zh-CN"/>
              </w:rPr>
            </w:pPr>
            <w:r>
              <w:rPr>
                <w:rFonts w:hint="eastAsia" w:eastAsia="仿宋_GB2312" w:cs="Times New Roman"/>
                <w:color w:val="000000"/>
                <w:kern w:val="0"/>
                <w:sz w:val="20"/>
                <w:szCs w:val="20"/>
                <w:highlight w:val="none"/>
                <w:lang w:val="en-US" w:eastAsia="zh-CN" w:bidi="ar"/>
              </w:rPr>
              <w:t>20</w:t>
            </w:r>
          </w:p>
        </w:tc>
        <w:tc>
          <w:tcPr>
            <w:tcW w:w="9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kern w:val="0"/>
                <w:sz w:val="20"/>
                <w:szCs w:val="20"/>
                <w:highlight w:val="none"/>
                <w:lang w:val="en-US" w:eastAsia="zh-CN"/>
              </w:rPr>
            </w:pPr>
            <w:r>
              <w:rPr>
                <w:rFonts w:hint="eastAsia" w:eastAsia="仿宋_GB2312" w:cs="Times New Roman"/>
                <w:color w:val="000000"/>
                <w:kern w:val="0"/>
                <w:sz w:val="20"/>
                <w:szCs w:val="20"/>
                <w:highlight w:val="none"/>
                <w:lang w:val="en-US" w:eastAsia="zh-CN" w:bidi="ar"/>
              </w:rPr>
              <w:t>20</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kern w:val="0"/>
                <w:sz w:val="20"/>
                <w:szCs w:val="20"/>
                <w:highlight w:val="none"/>
              </w:rPr>
              <w:t>5</w:t>
            </w:r>
          </w:p>
        </w:tc>
        <w:tc>
          <w:tcPr>
            <w:tcW w:w="11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kern w:val="0"/>
                <w:sz w:val="20"/>
                <w:szCs w:val="20"/>
                <w:highlight w:val="none"/>
              </w:rPr>
              <w:t>水土保持设施验收费</w:t>
            </w:r>
          </w:p>
        </w:tc>
        <w:tc>
          <w:tcPr>
            <w:tcW w:w="78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p>
        </w:tc>
        <w:tc>
          <w:tcPr>
            <w:tcW w:w="71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p>
        </w:tc>
        <w:tc>
          <w:tcPr>
            <w:tcW w:w="71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p>
        </w:tc>
        <w:tc>
          <w:tcPr>
            <w:tcW w:w="111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kern w:val="0"/>
                <w:sz w:val="20"/>
                <w:szCs w:val="20"/>
                <w:highlight w:val="none"/>
                <w:lang w:val="en-US" w:eastAsia="zh-CN"/>
              </w:rPr>
            </w:pPr>
            <w:r>
              <w:rPr>
                <w:rFonts w:hint="eastAsia" w:eastAsia="仿宋_GB2312" w:cs="Times New Roman"/>
                <w:color w:val="000000"/>
                <w:kern w:val="0"/>
                <w:sz w:val="20"/>
                <w:szCs w:val="20"/>
                <w:highlight w:val="none"/>
                <w:lang w:val="en-US" w:eastAsia="zh-CN" w:bidi="ar"/>
              </w:rPr>
              <w:t>18</w:t>
            </w:r>
          </w:p>
        </w:tc>
        <w:tc>
          <w:tcPr>
            <w:tcW w:w="9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kern w:val="0"/>
                <w:sz w:val="20"/>
                <w:szCs w:val="20"/>
                <w:highlight w:val="none"/>
                <w:lang w:val="en-US" w:eastAsia="zh-CN"/>
              </w:rPr>
            </w:pPr>
            <w:r>
              <w:rPr>
                <w:rFonts w:hint="eastAsia" w:eastAsia="仿宋_GB2312" w:cs="Times New Roman"/>
                <w:color w:val="000000"/>
                <w:kern w:val="0"/>
                <w:sz w:val="20"/>
                <w:szCs w:val="20"/>
                <w:highlight w:val="none"/>
                <w:lang w:val="en-US" w:eastAsia="zh-CN" w:bidi="ar"/>
              </w:rPr>
              <w:t>18</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0"/>
                <w:szCs w:val="20"/>
                <w:highlight w:val="none"/>
              </w:rPr>
            </w:pPr>
          </w:p>
        </w:tc>
        <w:tc>
          <w:tcPr>
            <w:tcW w:w="11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0"/>
                <w:szCs w:val="20"/>
                <w:highlight w:val="none"/>
              </w:rPr>
            </w:pPr>
            <w:r>
              <w:rPr>
                <w:rFonts w:hint="default" w:ascii="Times New Roman" w:hAnsi="Times New Roman" w:eastAsia="仿宋_GB2312" w:cs="Times New Roman"/>
                <w:b/>
                <w:bCs/>
                <w:kern w:val="0"/>
                <w:sz w:val="20"/>
                <w:szCs w:val="20"/>
                <w:highlight w:val="none"/>
              </w:rPr>
              <w:t>第一至四部分合计</w:t>
            </w:r>
          </w:p>
        </w:tc>
        <w:tc>
          <w:tcPr>
            <w:tcW w:w="78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0"/>
                <w:szCs w:val="20"/>
                <w:highlight w:val="none"/>
              </w:rPr>
            </w:pPr>
          </w:p>
        </w:tc>
        <w:tc>
          <w:tcPr>
            <w:tcW w:w="71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0"/>
                <w:szCs w:val="20"/>
                <w:highlight w:val="none"/>
              </w:rPr>
            </w:pPr>
          </w:p>
        </w:tc>
        <w:tc>
          <w:tcPr>
            <w:tcW w:w="71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0"/>
                <w:szCs w:val="20"/>
                <w:highlight w:val="none"/>
              </w:rPr>
            </w:pPr>
          </w:p>
        </w:tc>
        <w:tc>
          <w:tcPr>
            <w:tcW w:w="65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0"/>
                <w:szCs w:val="20"/>
                <w:highlight w:val="none"/>
              </w:rPr>
            </w:pPr>
          </w:p>
        </w:tc>
        <w:tc>
          <w:tcPr>
            <w:tcW w:w="55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b/>
                <w:bCs/>
                <w:kern w:val="0"/>
                <w:sz w:val="20"/>
                <w:szCs w:val="20"/>
                <w:highlight w:val="none"/>
                <w:lang w:eastAsia="zh-CN"/>
              </w:rPr>
            </w:pPr>
            <w:r>
              <w:rPr>
                <w:rFonts w:hint="eastAsia" w:eastAsia="仿宋_GB2312" w:cs="Times New Roman"/>
                <w:b/>
                <w:bCs/>
                <w:color w:val="000000"/>
                <w:kern w:val="0"/>
                <w:sz w:val="20"/>
                <w:szCs w:val="20"/>
                <w:highlight w:val="none"/>
                <w:lang w:eastAsia="zh-CN" w:bidi="ar"/>
              </w:rPr>
              <w:t>837.81</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0"/>
                <w:szCs w:val="20"/>
                <w:highlight w:val="none"/>
              </w:rPr>
            </w:pPr>
            <w:r>
              <w:rPr>
                <w:rFonts w:hint="default" w:ascii="Times New Roman" w:hAnsi="Times New Roman" w:eastAsia="仿宋_GB2312" w:cs="Times New Roman"/>
                <w:b/>
                <w:bCs/>
                <w:kern w:val="0"/>
                <w:sz w:val="20"/>
                <w:szCs w:val="20"/>
                <w:highlight w:val="none"/>
              </w:rPr>
              <w:t>五</w:t>
            </w:r>
          </w:p>
        </w:tc>
        <w:tc>
          <w:tcPr>
            <w:tcW w:w="11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0"/>
                <w:szCs w:val="20"/>
                <w:highlight w:val="none"/>
              </w:rPr>
            </w:pPr>
            <w:r>
              <w:rPr>
                <w:rFonts w:hint="default" w:ascii="Times New Roman" w:hAnsi="Times New Roman" w:eastAsia="仿宋_GB2312" w:cs="Times New Roman"/>
                <w:b/>
                <w:bCs/>
                <w:kern w:val="0"/>
                <w:sz w:val="20"/>
                <w:szCs w:val="20"/>
                <w:highlight w:val="none"/>
              </w:rPr>
              <w:t>基本预备费</w:t>
            </w:r>
          </w:p>
        </w:tc>
        <w:tc>
          <w:tcPr>
            <w:tcW w:w="78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0"/>
                <w:szCs w:val="20"/>
                <w:highlight w:val="none"/>
              </w:rPr>
            </w:pPr>
          </w:p>
        </w:tc>
        <w:tc>
          <w:tcPr>
            <w:tcW w:w="71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0"/>
                <w:szCs w:val="20"/>
                <w:highlight w:val="none"/>
              </w:rPr>
            </w:pPr>
          </w:p>
        </w:tc>
        <w:tc>
          <w:tcPr>
            <w:tcW w:w="71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0"/>
                <w:szCs w:val="20"/>
                <w:highlight w:val="none"/>
              </w:rPr>
            </w:pPr>
          </w:p>
        </w:tc>
        <w:tc>
          <w:tcPr>
            <w:tcW w:w="65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0"/>
                <w:szCs w:val="20"/>
                <w:highlight w:val="none"/>
              </w:rPr>
            </w:pPr>
          </w:p>
        </w:tc>
        <w:tc>
          <w:tcPr>
            <w:tcW w:w="55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b/>
                <w:bCs/>
                <w:kern w:val="0"/>
                <w:sz w:val="20"/>
                <w:szCs w:val="20"/>
                <w:highlight w:val="none"/>
                <w:lang w:val="en-US" w:eastAsia="zh-CN"/>
              </w:rPr>
            </w:pPr>
            <w:r>
              <w:rPr>
                <w:rFonts w:hint="eastAsia" w:eastAsia="仿宋_GB2312" w:cs="Times New Roman"/>
                <w:b/>
                <w:bCs/>
                <w:color w:val="000000"/>
                <w:kern w:val="0"/>
                <w:sz w:val="20"/>
                <w:szCs w:val="20"/>
                <w:highlight w:val="none"/>
                <w:lang w:val="en-US" w:eastAsia="zh-CN" w:bidi="ar"/>
              </w:rPr>
              <w:t>4.33</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0"/>
                <w:szCs w:val="20"/>
                <w:highlight w:val="none"/>
              </w:rPr>
            </w:pPr>
            <w:r>
              <w:rPr>
                <w:rFonts w:hint="default" w:ascii="Times New Roman" w:hAnsi="Times New Roman" w:eastAsia="仿宋_GB2312" w:cs="Times New Roman"/>
                <w:b/>
                <w:bCs/>
                <w:kern w:val="0"/>
                <w:sz w:val="20"/>
                <w:szCs w:val="20"/>
                <w:highlight w:val="none"/>
              </w:rPr>
              <w:t>六</w:t>
            </w:r>
          </w:p>
        </w:tc>
        <w:tc>
          <w:tcPr>
            <w:tcW w:w="11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0"/>
                <w:szCs w:val="20"/>
                <w:highlight w:val="none"/>
              </w:rPr>
            </w:pPr>
            <w:r>
              <w:rPr>
                <w:rFonts w:hint="default" w:ascii="Times New Roman" w:hAnsi="Times New Roman" w:eastAsia="仿宋_GB2312" w:cs="Times New Roman"/>
                <w:b/>
                <w:bCs/>
                <w:kern w:val="0"/>
                <w:sz w:val="20"/>
                <w:szCs w:val="20"/>
                <w:highlight w:val="none"/>
              </w:rPr>
              <w:t>水土保持补偿费</w:t>
            </w:r>
          </w:p>
        </w:tc>
        <w:tc>
          <w:tcPr>
            <w:tcW w:w="78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0"/>
                <w:szCs w:val="20"/>
                <w:highlight w:val="none"/>
              </w:rPr>
            </w:pPr>
          </w:p>
        </w:tc>
        <w:tc>
          <w:tcPr>
            <w:tcW w:w="71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0"/>
                <w:szCs w:val="20"/>
                <w:highlight w:val="none"/>
              </w:rPr>
            </w:pPr>
          </w:p>
        </w:tc>
        <w:tc>
          <w:tcPr>
            <w:tcW w:w="71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0"/>
                <w:szCs w:val="20"/>
                <w:highlight w:val="none"/>
              </w:rPr>
            </w:pPr>
          </w:p>
        </w:tc>
        <w:tc>
          <w:tcPr>
            <w:tcW w:w="65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0"/>
                <w:szCs w:val="20"/>
                <w:highlight w:val="none"/>
              </w:rPr>
            </w:pPr>
          </w:p>
        </w:tc>
        <w:tc>
          <w:tcPr>
            <w:tcW w:w="55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b/>
                <w:bCs/>
                <w:kern w:val="0"/>
                <w:sz w:val="20"/>
                <w:szCs w:val="20"/>
                <w:highlight w:val="none"/>
                <w:lang w:val="en-US" w:eastAsia="zh-CN"/>
              </w:rPr>
            </w:pPr>
            <w:r>
              <w:rPr>
                <w:rFonts w:hint="eastAsia" w:eastAsia="仿宋_GB2312" w:cs="Times New Roman"/>
                <w:b/>
                <w:bCs/>
                <w:color w:val="000000"/>
                <w:kern w:val="0"/>
                <w:sz w:val="20"/>
                <w:szCs w:val="20"/>
                <w:highlight w:val="none"/>
                <w:lang w:val="en-US" w:eastAsia="zh-CN" w:bidi="ar"/>
              </w:rPr>
              <w:t>0</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82"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0"/>
                <w:szCs w:val="20"/>
                <w:highlight w:val="none"/>
              </w:rPr>
            </w:pPr>
            <w:r>
              <w:rPr>
                <w:rFonts w:hint="default" w:ascii="Times New Roman" w:hAnsi="Times New Roman" w:eastAsia="仿宋_GB2312" w:cs="Times New Roman"/>
                <w:b/>
                <w:bCs/>
                <w:kern w:val="0"/>
                <w:sz w:val="20"/>
                <w:szCs w:val="20"/>
                <w:highlight w:val="none"/>
              </w:rPr>
              <w:t>水土保持工程总投资</w:t>
            </w:r>
          </w:p>
        </w:tc>
        <w:tc>
          <w:tcPr>
            <w:tcW w:w="78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0"/>
                <w:szCs w:val="20"/>
                <w:highlight w:val="none"/>
              </w:rPr>
            </w:pPr>
          </w:p>
        </w:tc>
        <w:tc>
          <w:tcPr>
            <w:tcW w:w="71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0"/>
                <w:szCs w:val="20"/>
                <w:highlight w:val="none"/>
              </w:rPr>
            </w:pPr>
          </w:p>
        </w:tc>
        <w:tc>
          <w:tcPr>
            <w:tcW w:w="71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0"/>
                <w:szCs w:val="20"/>
                <w:highlight w:val="none"/>
              </w:rPr>
            </w:pPr>
          </w:p>
        </w:tc>
        <w:tc>
          <w:tcPr>
            <w:tcW w:w="65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0"/>
                <w:szCs w:val="20"/>
                <w:highlight w:val="none"/>
              </w:rPr>
            </w:pPr>
          </w:p>
        </w:tc>
        <w:tc>
          <w:tcPr>
            <w:tcW w:w="55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b/>
                <w:bCs/>
                <w:kern w:val="0"/>
                <w:sz w:val="20"/>
                <w:szCs w:val="20"/>
                <w:highlight w:val="none"/>
                <w:lang w:eastAsia="zh-CN"/>
              </w:rPr>
            </w:pPr>
            <w:r>
              <w:rPr>
                <w:rFonts w:hint="eastAsia" w:eastAsia="仿宋_GB2312" w:cs="Times New Roman"/>
                <w:b/>
                <w:bCs/>
                <w:color w:val="000000"/>
                <w:kern w:val="0"/>
                <w:sz w:val="20"/>
                <w:szCs w:val="20"/>
                <w:highlight w:val="none"/>
                <w:lang w:eastAsia="zh-CN" w:bidi="ar"/>
              </w:rPr>
              <w:t>842.14</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0" w:firstLineChars="0"/>
        <w:jc w:val="center"/>
        <w:textAlignment w:val="auto"/>
        <w:rPr>
          <w:rFonts w:hint="default" w:ascii="Times New Roman" w:hAnsi="Times New Roman" w:eastAsia="微软雅黑" w:cs="Times New Roman"/>
          <w:b w:val="0"/>
          <w:bCs w:val="0"/>
          <w:sz w:val="21"/>
          <w:szCs w:val="21"/>
          <w:highlight w:val="none"/>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表7-3</w:t>
      </w:r>
      <w:r>
        <w:rPr>
          <w:rFonts w:hint="default" w:ascii="Times New Roman" w:hAnsi="Times New Roman" w:eastAsia="微软雅黑" w:cs="Times New Roman"/>
          <w:sz w:val="21"/>
          <w:szCs w:val="21"/>
          <w:lang w:val="en-US" w:eastAsia="zh-CN"/>
        </w:rPr>
        <w:t xml:space="preserve">  </w:t>
      </w:r>
      <w:r>
        <w:rPr>
          <w:rFonts w:hint="default" w:ascii="Times New Roman" w:hAnsi="Times New Roman" w:eastAsia="微软雅黑" w:cs="Times New Roman"/>
          <w:sz w:val="21"/>
          <w:szCs w:val="21"/>
        </w:rPr>
        <w:t>工程措施投资估算表</w:t>
      </w:r>
    </w:p>
    <w:tbl>
      <w:tblPr>
        <w:tblStyle w:val="88"/>
        <w:tblW w:w="4998" w:type="pct"/>
        <w:jc w:val="center"/>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365"/>
        <w:gridCol w:w="2095"/>
        <w:gridCol w:w="1061"/>
        <w:gridCol w:w="1061"/>
        <w:gridCol w:w="1537"/>
        <w:gridCol w:w="1407"/>
      </w:tblGrid>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0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val="0"/>
                <w:bCs w:val="0"/>
                <w:sz w:val="20"/>
                <w:szCs w:val="20"/>
                <w:highlight w:val="none"/>
              </w:rPr>
            </w:pPr>
            <w:r>
              <w:rPr>
                <w:rFonts w:hint="default" w:ascii="Times New Roman" w:hAnsi="Times New Roman" w:eastAsia="仿宋_GB2312" w:cs="Times New Roman"/>
                <w:b w:val="0"/>
                <w:bCs w:val="0"/>
                <w:sz w:val="20"/>
                <w:szCs w:val="20"/>
                <w:highlight w:val="none"/>
              </w:rPr>
              <w:t>序号</w:t>
            </w:r>
          </w:p>
        </w:tc>
        <w:tc>
          <w:tcPr>
            <w:tcW w:w="122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val="0"/>
                <w:bCs w:val="0"/>
                <w:sz w:val="20"/>
                <w:szCs w:val="20"/>
                <w:highlight w:val="none"/>
              </w:rPr>
            </w:pPr>
            <w:r>
              <w:rPr>
                <w:rFonts w:hint="default" w:ascii="Times New Roman" w:hAnsi="Times New Roman" w:eastAsia="仿宋_GB2312" w:cs="Times New Roman"/>
                <w:b w:val="0"/>
                <w:bCs w:val="0"/>
                <w:sz w:val="20"/>
                <w:szCs w:val="20"/>
                <w:highlight w:val="none"/>
              </w:rPr>
              <w:t>项目</w:t>
            </w:r>
          </w:p>
        </w:tc>
        <w:tc>
          <w:tcPr>
            <w:tcW w:w="62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val="0"/>
                <w:bCs w:val="0"/>
                <w:sz w:val="20"/>
                <w:szCs w:val="20"/>
                <w:highlight w:val="none"/>
              </w:rPr>
            </w:pPr>
            <w:r>
              <w:rPr>
                <w:rFonts w:hint="default" w:ascii="Times New Roman" w:hAnsi="Times New Roman" w:eastAsia="仿宋_GB2312" w:cs="Times New Roman"/>
                <w:b w:val="0"/>
                <w:bCs w:val="0"/>
                <w:sz w:val="20"/>
                <w:szCs w:val="20"/>
                <w:highlight w:val="none"/>
              </w:rPr>
              <w:t>单位</w:t>
            </w:r>
          </w:p>
        </w:tc>
        <w:tc>
          <w:tcPr>
            <w:tcW w:w="62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val="0"/>
                <w:bCs w:val="0"/>
                <w:sz w:val="20"/>
                <w:szCs w:val="20"/>
                <w:highlight w:val="none"/>
              </w:rPr>
            </w:pPr>
            <w:r>
              <w:rPr>
                <w:rFonts w:hint="default" w:ascii="Times New Roman" w:hAnsi="Times New Roman" w:eastAsia="仿宋_GB2312" w:cs="Times New Roman"/>
                <w:b w:val="0"/>
                <w:bCs w:val="0"/>
                <w:sz w:val="20"/>
                <w:szCs w:val="20"/>
                <w:highlight w:val="none"/>
              </w:rPr>
              <w:t>数量</w:t>
            </w:r>
          </w:p>
        </w:tc>
        <w:tc>
          <w:tcPr>
            <w:tcW w:w="90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val="0"/>
                <w:bCs w:val="0"/>
                <w:sz w:val="20"/>
                <w:szCs w:val="20"/>
                <w:highlight w:val="none"/>
              </w:rPr>
            </w:pPr>
            <w:r>
              <w:rPr>
                <w:rFonts w:hint="default" w:ascii="Times New Roman" w:hAnsi="Times New Roman" w:eastAsia="仿宋_GB2312" w:cs="Times New Roman"/>
                <w:b w:val="0"/>
                <w:bCs w:val="0"/>
                <w:sz w:val="20"/>
                <w:szCs w:val="20"/>
                <w:highlight w:val="none"/>
              </w:rPr>
              <w:t>单价</w:t>
            </w:r>
          </w:p>
        </w:tc>
        <w:tc>
          <w:tcPr>
            <w:tcW w:w="82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val="0"/>
                <w:bCs w:val="0"/>
                <w:sz w:val="20"/>
                <w:szCs w:val="20"/>
                <w:highlight w:val="none"/>
              </w:rPr>
            </w:pPr>
            <w:r>
              <w:rPr>
                <w:rFonts w:hint="default" w:ascii="Times New Roman" w:hAnsi="Times New Roman" w:eastAsia="仿宋_GB2312" w:cs="Times New Roman"/>
                <w:b w:val="0"/>
                <w:bCs w:val="0"/>
                <w:sz w:val="20"/>
                <w:szCs w:val="20"/>
                <w:highlight w:val="none"/>
              </w:rPr>
              <w:t>合计（</w:t>
            </w:r>
            <w:r>
              <w:rPr>
                <w:rFonts w:hint="default" w:ascii="Times New Roman" w:hAnsi="Times New Roman" w:eastAsia="仿宋_GB2312" w:cs="Times New Roman"/>
                <w:b w:val="0"/>
                <w:bCs w:val="0"/>
                <w:sz w:val="20"/>
                <w:szCs w:val="20"/>
                <w:highlight w:val="none"/>
                <w:lang w:val="en-US" w:eastAsia="zh-CN"/>
              </w:rPr>
              <w:t>万</w:t>
            </w:r>
            <w:r>
              <w:rPr>
                <w:rFonts w:hint="default" w:ascii="Times New Roman" w:hAnsi="Times New Roman" w:eastAsia="仿宋_GB2312" w:cs="Times New Roman"/>
                <w:b w:val="0"/>
                <w:bCs w:val="0"/>
                <w:sz w:val="20"/>
                <w:szCs w:val="20"/>
                <w:highlight w:val="none"/>
              </w:rPr>
              <w:t>元）</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0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bCs/>
                <w:sz w:val="20"/>
                <w:szCs w:val="20"/>
                <w:highlight w:val="none"/>
              </w:rPr>
            </w:pPr>
            <w:r>
              <w:rPr>
                <w:rFonts w:hint="default" w:ascii="Times New Roman" w:hAnsi="Times New Roman" w:eastAsia="仿宋_GB2312" w:cs="Times New Roman"/>
                <w:b/>
                <w:bCs/>
                <w:sz w:val="20"/>
                <w:szCs w:val="20"/>
                <w:highlight w:val="none"/>
              </w:rPr>
              <w:t>第一部分</w:t>
            </w:r>
          </w:p>
        </w:tc>
        <w:tc>
          <w:tcPr>
            <w:tcW w:w="122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bCs/>
                <w:sz w:val="20"/>
                <w:szCs w:val="20"/>
                <w:highlight w:val="none"/>
              </w:rPr>
            </w:pPr>
            <w:r>
              <w:rPr>
                <w:rFonts w:hint="default" w:ascii="Times New Roman" w:hAnsi="Times New Roman" w:eastAsia="仿宋_GB2312" w:cs="Times New Roman"/>
                <w:b/>
                <w:bCs/>
                <w:sz w:val="20"/>
                <w:szCs w:val="20"/>
                <w:highlight w:val="none"/>
              </w:rPr>
              <w:t>工程措施</w:t>
            </w:r>
          </w:p>
        </w:tc>
        <w:tc>
          <w:tcPr>
            <w:tcW w:w="62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bCs/>
                <w:sz w:val="20"/>
                <w:szCs w:val="20"/>
                <w:highlight w:val="none"/>
              </w:rPr>
            </w:pPr>
          </w:p>
        </w:tc>
        <w:tc>
          <w:tcPr>
            <w:tcW w:w="62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bCs/>
                <w:sz w:val="20"/>
                <w:szCs w:val="20"/>
                <w:highlight w:val="none"/>
              </w:rPr>
            </w:pPr>
          </w:p>
        </w:tc>
        <w:tc>
          <w:tcPr>
            <w:tcW w:w="90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val="0"/>
                <w:bCs w:val="0"/>
                <w:sz w:val="20"/>
                <w:szCs w:val="20"/>
                <w:highlight w:val="none"/>
              </w:rPr>
            </w:pPr>
          </w:p>
        </w:tc>
        <w:tc>
          <w:tcPr>
            <w:tcW w:w="140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eastAsia="仿宋_GB2312" w:cs="Times New Roman"/>
                <w:sz w:val="20"/>
                <w:szCs w:val="20"/>
                <w:highlight w:val="none"/>
                <w:lang w:val="en-US" w:eastAsia="zh-CN"/>
              </w:rPr>
            </w:pPr>
            <w:r>
              <w:rPr>
                <w:rFonts w:hint="eastAsia" w:eastAsia="仿宋_GB2312" w:cs="Times New Roman"/>
                <w:b/>
                <w:bCs/>
                <w:sz w:val="20"/>
                <w:szCs w:val="20"/>
                <w:highlight w:val="none"/>
                <w:lang w:val="en-US" w:eastAsia="zh-CN"/>
              </w:rPr>
              <w:t>285.61</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0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z w:val="20"/>
                <w:szCs w:val="20"/>
                <w:highlight w:val="none"/>
              </w:rPr>
              <w:t>一</w:t>
            </w:r>
          </w:p>
        </w:tc>
        <w:tc>
          <w:tcPr>
            <w:tcW w:w="122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z w:val="20"/>
                <w:szCs w:val="20"/>
                <w:highlight w:val="none"/>
              </w:rPr>
              <w:t>工程建设区</w:t>
            </w:r>
          </w:p>
        </w:tc>
        <w:tc>
          <w:tcPr>
            <w:tcW w:w="62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sz w:val="20"/>
                <w:szCs w:val="20"/>
                <w:highlight w:val="none"/>
              </w:rPr>
            </w:pPr>
          </w:p>
        </w:tc>
        <w:tc>
          <w:tcPr>
            <w:tcW w:w="62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sz w:val="20"/>
                <w:szCs w:val="20"/>
                <w:highlight w:val="none"/>
              </w:rPr>
            </w:pPr>
          </w:p>
        </w:tc>
        <w:tc>
          <w:tcPr>
            <w:tcW w:w="90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sz w:val="20"/>
                <w:szCs w:val="20"/>
                <w:highlight w:val="none"/>
              </w:rPr>
            </w:pPr>
          </w:p>
        </w:tc>
        <w:tc>
          <w:tcPr>
            <w:tcW w:w="140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eastAsia="仿宋_GB2312" w:cs="Times New Roman"/>
                <w:sz w:val="20"/>
                <w:szCs w:val="20"/>
                <w:highlight w:val="none"/>
                <w:lang w:val="en-US" w:eastAsia="zh-CN"/>
              </w:rPr>
            </w:pPr>
            <w:r>
              <w:rPr>
                <w:rFonts w:hint="eastAsia" w:eastAsia="仿宋_GB2312" w:cs="Times New Roman"/>
                <w:sz w:val="20"/>
                <w:szCs w:val="20"/>
                <w:highlight w:val="none"/>
                <w:lang w:val="en-US" w:eastAsia="zh-CN"/>
              </w:rPr>
              <w:t>285.61</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0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2"/>
                <w:sz w:val="20"/>
                <w:szCs w:val="20"/>
                <w:highlight w:val="none"/>
                <w:lang w:val="en-US" w:eastAsia="zh-CN" w:bidi="ar-SA"/>
              </w:rPr>
            </w:pPr>
            <w:r>
              <w:rPr>
                <w:rFonts w:hint="default" w:ascii="Times New Roman" w:hAnsi="Times New Roman" w:eastAsia="仿宋_GB2312" w:cs="Times New Roman"/>
                <w:sz w:val="20"/>
                <w:szCs w:val="20"/>
                <w:highlight w:val="none"/>
              </w:rPr>
              <w:t>1</w:t>
            </w:r>
          </w:p>
        </w:tc>
        <w:tc>
          <w:tcPr>
            <w:tcW w:w="122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2"/>
                <w:sz w:val="20"/>
                <w:szCs w:val="20"/>
                <w:highlight w:val="none"/>
                <w:lang w:val="en-US" w:eastAsia="zh-CN" w:bidi="ar-SA"/>
              </w:rPr>
            </w:pPr>
            <w:r>
              <w:rPr>
                <w:rFonts w:hint="default" w:ascii="Times New Roman" w:hAnsi="Times New Roman" w:eastAsia="仿宋_GB2312" w:cs="Times New Roman"/>
                <w:sz w:val="20"/>
                <w:szCs w:val="20"/>
                <w:highlight w:val="none"/>
              </w:rPr>
              <w:t>绿化用土回覆</w:t>
            </w:r>
          </w:p>
        </w:tc>
        <w:tc>
          <w:tcPr>
            <w:tcW w:w="62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2"/>
                <w:sz w:val="20"/>
                <w:szCs w:val="20"/>
                <w:highlight w:val="none"/>
                <w:lang w:val="en-US" w:eastAsia="zh-CN" w:bidi="ar-SA"/>
              </w:rPr>
            </w:pPr>
            <w:r>
              <w:rPr>
                <w:rFonts w:hint="default" w:ascii="Times New Roman" w:hAnsi="Times New Roman" w:eastAsia="仿宋_GB2312" w:cs="Times New Roman"/>
                <w:sz w:val="20"/>
                <w:szCs w:val="20"/>
                <w:highlight w:val="none"/>
                <w:lang w:eastAsia="zh-CN"/>
              </w:rPr>
              <w:t>m³</w:t>
            </w:r>
          </w:p>
        </w:tc>
        <w:tc>
          <w:tcPr>
            <w:tcW w:w="62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2"/>
                <w:sz w:val="20"/>
                <w:szCs w:val="20"/>
                <w:highlight w:val="none"/>
                <w:lang w:val="en-US" w:eastAsia="zh-CN" w:bidi="ar-SA"/>
              </w:rPr>
            </w:pPr>
            <w:r>
              <w:rPr>
                <w:rFonts w:hint="eastAsia" w:eastAsia="仿宋_GB2312" w:cs="Times New Roman"/>
                <w:sz w:val="20"/>
                <w:szCs w:val="20"/>
                <w:highlight w:val="none"/>
                <w:lang w:val="en-US" w:eastAsia="zh-CN"/>
              </w:rPr>
              <w:t>12000</w:t>
            </w:r>
          </w:p>
        </w:tc>
        <w:tc>
          <w:tcPr>
            <w:tcW w:w="90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kern w:val="2"/>
                <w:sz w:val="20"/>
                <w:szCs w:val="20"/>
                <w:highlight w:val="none"/>
                <w:lang w:val="en-US" w:eastAsia="zh-CN" w:bidi="ar-SA"/>
              </w:rPr>
            </w:pPr>
            <w:r>
              <w:rPr>
                <w:rFonts w:hint="eastAsia" w:eastAsia="仿宋_GB2312" w:cs="Times New Roman"/>
                <w:color w:val="000000"/>
                <w:kern w:val="0"/>
                <w:sz w:val="20"/>
                <w:szCs w:val="20"/>
                <w:highlight w:val="none"/>
                <w:lang w:val="en-US" w:eastAsia="zh-CN" w:bidi="ar"/>
              </w:rPr>
              <w:t>10</w:t>
            </w:r>
          </w:p>
        </w:tc>
        <w:tc>
          <w:tcPr>
            <w:tcW w:w="140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eastAsia="仿宋_GB2312" w:cs="Times New Roman"/>
                <w:sz w:val="20"/>
                <w:szCs w:val="20"/>
                <w:highlight w:val="none"/>
                <w:lang w:val="en-US" w:eastAsia="zh-CN"/>
              </w:rPr>
            </w:pPr>
            <w:r>
              <w:rPr>
                <w:rFonts w:hint="eastAsia" w:eastAsia="仿宋_GB2312" w:cs="Times New Roman"/>
                <w:sz w:val="20"/>
                <w:szCs w:val="20"/>
                <w:highlight w:val="none"/>
                <w:lang w:val="en-US" w:eastAsia="zh-CN"/>
              </w:rPr>
              <w:t>12</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0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2"/>
                <w:sz w:val="20"/>
                <w:szCs w:val="20"/>
                <w:highlight w:val="none"/>
                <w:lang w:val="en-US" w:eastAsia="zh-CN" w:bidi="ar-SA"/>
              </w:rPr>
            </w:pPr>
            <w:r>
              <w:rPr>
                <w:rFonts w:hint="default" w:ascii="Times New Roman" w:hAnsi="Times New Roman" w:eastAsia="仿宋_GB2312" w:cs="Times New Roman"/>
                <w:sz w:val="20"/>
                <w:szCs w:val="20"/>
                <w:highlight w:val="none"/>
              </w:rPr>
              <w:t>2</w:t>
            </w:r>
          </w:p>
        </w:tc>
        <w:tc>
          <w:tcPr>
            <w:tcW w:w="122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2"/>
                <w:sz w:val="20"/>
                <w:szCs w:val="20"/>
                <w:highlight w:val="none"/>
                <w:lang w:val="en-US" w:eastAsia="zh-CN" w:bidi="ar-SA"/>
              </w:rPr>
            </w:pPr>
            <w:r>
              <w:rPr>
                <w:rFonts w:hint="default" w:ascii="Times New Roman" w:hAnsi="Times New Roman" w:eastAsia="仿宋_GB2312" w:cs="Times New Roman"/>
                <w:sz w:val="20"/>
                <w:szCs w:val="20"/>
                <w:highlight w:val="none"/>
              </w:rPr>
              <w:t>雨水排水管</w:t>
            </w:r>
          </w:p>
        </w:tc>
        <w:tc>
          <w:tcPr>
            <w:tcW w:w="62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2"/>
                <w:sz w:val="20"/>
                <w:szCs w:val="20"/>
                <w:highlight w:val="none"/>
                <w:lang w:val="en-US" w:eastAsia="zh-CN" w:bidi="ar-SA"/>
              </w:rPr>
            </w:pPr>
            <w:r>
              <w:rPr>
                <w:rFonts w:hint="default" w:ascii="Times New Roman" w:hAnsi="Times New Roman" w:eastAsia="仿宋_GB2312" w:cs="Times New Roman"/>
                <w:sz w:val="20"/>
                <w:szCs w:val="20"/>
                <w:highlight w:val="none"/>
              </w:rPr>
              <w:t>m</w:t>
            </w:r>
          </w:p>
        </w:tc>
        <w:tc>
          <w:tcPr>
            <w:tcW w:w="62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2"/>
                <w:sz w:val="20"/>
                <w:szCs w:val="20"/>
                <w:highlight w:val="none"/>
                <w:lang w:val="en-US" w:eastAsia="zh-CN" w:bidi="ar-SA"/>
              </w:rPr>
            </w:pPr>
            <w:r>
              <w:rPr>
                <w:rFonts w:hint="eastAsia" w:eastAsia="仿宋_GB2312" w:cs="Times New Roman"/>
                <w:kern w:val="2"/>
                <w:sz w:val="20"/>
                <w:szCs w:val="20"/>
                <w:highlight w:val="none"/>
                <w:lang w:val="en-US" w:eastAsia="zh-CN" w:bidi="ar-SA"/>
              </w:rPr>
              <w:t>2600</w:t>
            </w:r>
          </w:p>
        </w:tc>
        <w:tc>
          <w:tcPr>
            <w:tcW w:w="90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2"/>
                <w:sz w:val="20"/>
                <w:szCs w:val="20"/>
                <w:highlight w:val="none"/>
                <w:lang w:val="en-US" w:eastAsia="zh-CN" w:bidi="ar-SA"/>
              </w:rPr>
            </w:pPr>
            <w:r>
              <w:rPr>
                <w:rFonts w:hint="eastAsia" w:eastAsia="仿宋_GB2312" w:cs="Times New Roman"/>
                <w:sz w:val="20"/>
                <w:szCs w:val="20"/>
                <w:highlight w:val="none"/>
                <w:lang w:val="en-US" w:eastAsia="zh-CN"/>
              </w:rPr>
              <w:t>1000</w:t>
            </w:r>
          </w:p>
        </w:tc>
        <w:tc>
          <w:tcPr>
            <w:tcW w:w="140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eastAsia="仿宋_GB2312" w:cs="Times New Roman"/>
                <w:sz w:val="20"/>
                <w:szCs w:val="20"/>
                <w:highlight w:val="none"/>
                <w:lang w:val="en-US" w:eastAsia="zh-CN"/>
              </w:rPr>
            </w:pPr>
            <w:r>
              <w:rPr>
                <w:rFonts w:hint="eastAsia" w:eastAsia="仿宋_GB2312" w:cs="Times New Roman"/>
                <w:sz w:val="20"/>
                <w:szCs w:val="20"/>
                <w:highlight w:val="none"/>
                <w:lang w:val="en-US" w:eastAsia="zh-CN"/>
              </w:rPr>
              <w:t>260</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0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2"/>
                <w:sz w:val="20"/>
                <w:szCs w:val="20"/>
                <w:highlight w:val="none"/>
                <w:lang w:val="en-US" w:eastAsia="zh-CN" w:bidi="ar-SA"/>
              </w:rPr>
            </w:pPr>
            <w:r>
              <w:rPr>
                <w:rFonts w:hint="default" w:ascii="Times New Roman" w:hAnsi="Times New Roman" w:eastAsia="仿宋_GB2312" w:cs="Times New Roman"/>
                <w:sz w:val="20"/>
                <w:szCs w:val="20"/>
                <w:highlight w:val="none"/>
              </w:rPr>
              <w:t>3</w:t>
            </w:r>
          </w:p>
        </w:tc>
        <w:tc>
          <w:tcPr>
            <w:tcW w:w="122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2"/>
                <w:sz w:val="20"/>
                <w:szCs w:val="20"/>
                <w:highlight w:val="none"/>
                <w:lang w:val="en-US" w:eastAsia="zh-CN" w:bidi="ar-SA"/>
              </w:rPr>
            </w:pPr>
            <w:r>
              <w:rPr>
                <w:rFonts w:hint="eastAsia" w:eastAsia="仿宋_GB2312" w:cs="Times New Roman"/>
                <w:sz w:val="20"/>
                <w:szCs w:val="20"/>
                <w:highlight w:val="none"/>
                <w:lang w:eastAsia="zh-CN"/>
              </w:rPr>
              <w:t>雨水口</w:t>
            </w:r>
          </w:p>
        </w:tc>
        <w:tc>
          <w:tcPr>
            <w:tcW w:w="62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2"/>
                <w:sz w:val="20"/>
                <w:szCs w:val="20"/>
                <w:highlight w:val="none"/>
                <w:lang w:val="en-US" w:eastAsia="zh-CN" w:bidi="ar-SA"/>
              </w:rPr>
            </w:pPr>
            <w:r>
              <w:rPr>
                <w:rFonts w:hint="default" w:ascii="Times New Roman" w:hAnsi="Times New Roman" w:eastAsia="仿宋_GB2312" w:cs="Times New Roman"/>
                <w:sz w:val="20"/>
                <w:szCs w:val="20"/>
                <w:highlight w:val="none"/>
              </w:rPr>
              <w:t>个</w:t>
            </w:r>
          </w:p>
        </w:tc>
        <w:tc>
          <w:tcPr>
            <w:tcW w:w="62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2"/>
                <w:sz w:val="20"/>
                <w:szCs w:val="20"/>
                <w:highlight w:val="none"/>
                <w:lang w:val="en-US" w:eastAsia="zh-CN" w:bidi="ar-SA"/>
              </w:rPr>
            </w:pPr>
            <w:r>
              <w:rPr>
                <w:rFonts w:hint="eastAsia" w:eastAsia="仿宋_GB2312" w:cs="Times New Roman"/>
                <w:kern w:val="2"/>
                <w:sz w:val="20"/>
                <w:szCs w:val="20"/>
                <w:highlight w:val="none"/>
                <w:lang w:val="en-US" w:eastAsia="zh-CN" w:bidi="ar-SA"/>
              </w:rPr>
              <w:t>260</w:t>
            </w:r>
          </w:p>
        </w:tc>
        <w:tc>
          <w:tcPr>
            <w:tcW w:w="90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2"/>
                <w:sz w:val="20"/>
                <w:szCs w:val="20"/>
                <w:highlight w:val="none"/>
                <w:lang w:val="en-US" w:eastAsia="zh-CN" w:bidi="ar-SA"/>
              </w:rPr>
            </w:pPr>
            <w:r>
              <w:rPr>
                <w:rFonts w:hint="eastAsia" w:eastAsia="仿宋_GB2312" w:cs="Times New Roman"/>
                <w:sz w:val="20"/>
                <w:szCs w:val="20"/>
                <w:highlight w:val="none"/>
                <w:lang w:val="en-US" w:eastAsia="zh-CN"/>
              </w:rPr>
              <w:t>500</w:t>
            </w:r>
          </w:p>
        </w:tc>
        <w:tc>
          <w:tcPr>
            <w:tcW w:w="140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eastAsia="仿宋_GB2312" w:cs="Times New Roman"/>
                <w:sz w:val="20"/>
                <w:szCs w:val="20"/>
                <w:highlight w:val="none"/>
                <w:lang w:val="en-US" w:eastAsia="zh-CN"/>
              </w:rPr>
            </w:pPr>
            <w:r>
              <w:rPr>
                <w:rFonts w:hint="eastAsia" w:eastAsia="仿宋_GB2312" w:cs="Times New Roman"/>
                <w:sz w:val="20"/>
                <w:szCs w:val="20"/>
                <w:highlight w:val="none"/>
                <w:lang w:val="en-US" w:eastAsia="zh-CN"/>
              </w:rPr>
              <w:t>13</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0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2"/>
                <w:sz w:val="20"/>
                <w:szCs w:val="20"/>
                <w:highlight w:val="none"/>
                <w:lang w:val="en-US" w:eastAsia="zh-CN" w:bidi="ar-SA"/>
              </w:rPr>
            </w:pPr>
            <w:r>
              <w:rPr>
                <w:rFonts w:hint="default" w:ascii="Times New Roman" w:hAnsi="Times New Roman" w:eastAsia="仿宋_GB2312" w:cs="Times New Roman"/>
                <w:sz w:val="20"/>
                <w:szCs w:val="20"/>
                <w:highlight w:val="none"/>
              </w:rPr>
              <w:t>4</w:t>
            </w:r>
          </w:p>
        </w:tc>
        <w:tc>
          <w:tcPr>
            <w:tcW w:w="122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2"/>
                <w:sz w:val="20"/>
                <w:szCs w:val="20"/>
                <w:highlight w:val="none"/>
                <w:lang w:val="en-US" w:eastAsia="zh-CN" w:bidi="ar-SA"/>
              </w:rPr>
            </w:pPr>
            <w:r>
              <w:rPr>
                <w:rFonts w:hint="default" w:ascii="Times New Roman" w:hAnsi="Times New Roman" w:eastAsia="仿宋_GB2312" w:cs="Times New Roman"/>
                <w:sz w:val="20"/>
                <w:szCs w:val="20"/>
                <w:highlight w:val="none"/>
              </w:rPr>
              <w:t>全面整地</w:t>
            </w:r>
          </w:p>
        </w:tc>
        <w:tc>
          <w:tcPr>
            <w:tcW w:w="62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2"/>
                <w:sz w:val="20"/>
                <w:szCs w:val="20"/>
                <w:highlight w:val="none"/>
                <w:lang w:val="en-US" w:eastAsia="zh-CN" w:bidi="ar-SA"/>
              </w:rPr>
            </w:pPr>
            <w:r>
              <w:rPr>
                <w:rFonts w:hint="default" w:ascii="Times New Roman" w:hAnsi="Times New Roman" w:eastAsia="仿宋_GB2312" w:cs="Times New Roman"/>
                <w:sz w:val="20"/>
                <w:szCs w:val="20"/>
                <w:highlight w:val="none"/>
                <w:lang w:eastAsia="zh-CN"/>
              </w:rPr>
              <w:t>hm²</w:t>
            </w:r>
          </w:p>
        </w:tc>
        <w:tc>
          <w:tcPr>
            <w:tcW w:w="62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2"/>
                <w:sz w:val="20"/>
                <w:szCs w:val="20"/>
                <w:highlight w:val="none"/>
                <w:lang w:val="en-US" w:eastAsia="zh-CN" w:bidi="ar-SA"/>
              </w:rPr>
            </w:pPr>
            <w:r>
              <w:rPr>
                <w:rFonts w:hint="eastAsia" w:eastAsia="仿宋_GB2312" w:cs="Times New Roman"/>
                <w:sz w:val="20"/>
                <w:szCs w:val="20"/>
                <w:highlight w:val="none"/>
                <w:lang w:val="en-US" w:eastAsia="zh-CN"/>
              </w:rPr>
              <w:t>3.99</w:t>
            </w:r>
          </w:p>
        </w:tc>
        <w:tc>
          <w:tcPr>
            <w:tcW w:w="90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kern w:val="2"/>
                <w:sz w:val="20"/>
                <w:szCs w:val="20"/>
                <w:highlight w:val="none"/>
                <w:lang w:val="en-US" w:eastAsia="zh-CN" w:bidi="ar-SA"/>
              </w:rPr>
            </w:pPr>
            <w:r>
              <w:rPr>
                <w:rFonts w:hint="default" w:ascii="Times New Roman" w:hAnsi="Times New Roman" w:eastAsia="仿宋_GB2312" w:cs="Times New Roman"/>
                <w:sz w:val="20"/>
                <w:szCs w:val="20"/>
                <w:highlight w:val="none"/>
                <w:lang w:val="en-US" w:eastAsia="zh-CN"/>
              </w:rPr>
              <w:t>1529.35</w:t>
            </w:r>
          </w:p>
        </w:tc>
        <w:tc>
          <w:tcPr>
            <w:tcW w:w="140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eastAsia="仿宋_GB2312" w:cs="Times New Roman"/>
                <w:sz w:val="20"/>
                <w:szCs w:val="20"/>
                <w:highlight w:val="none"/>
                <w:lang w:val="en-US" w:eastAsia="zh-CN"/>
              </w:rPr>
            </w:pPr>
            <w:r>
              <w:rPr>
                <w:rFonts w:hint="eastAsia" w:eastAsia="仿宋_GB2312" w:cs="Times New Roman"/>
                <w:sz w:val="20"/>
                <w:szCs w:val="20"/>
                <w:highlight w:val="none"/>
                <w:lang w:val="en-US" w:eastAsia="zh-CN"/>
              </w:rPr>
              <w:t>0.61</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0" w:firstLineChars="0"/>
        <w:jc w:val="center"/>
        <w:textAlignment w:val="auto"/>
        <w:rPr>
          <w:rFonts w:hint="default" w:ascii="Times New Roman" w:hAnsi="Times New Roman" w:eastAsia="微软雅黑" w:cs="Times New Roman"/>
          <w:b w:val="0"/>
          <w:bCs w:val="0"/>
          <w:sz w:val="21"/>
          <w:szCs w:val="21"/>
          <w:highlight w:val="none"/>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表7-4</w:t>
      </w:r>
      <w:r>
        <w:rPr>
          <w:rFonts w:hint="default" w:ascii="Times New Roman" w:hAnsi="Times New Roman" w:eastAsia="微软雅黑" w:cs="Times New Roman"/>
          <w:sz w:val="21"/>
          <w:szCs w:val="21"/>
          <w:lang w:val="en-US" w:eastAsia="zh-CN"/>
        </w:rPr>
        <w:t xml:space="preserve">  </w:t>
      </w:r>
      <w:r>
        <w:rPr>
          <w:rFonts w:hint="default" w:ascii="Times New Roman" w:hAnsi="Times New Roman" w:eastAsia="微软雅黑" w:cs="Times New Roman"/>
          <w:sz w:val="21"/>
          <w:szCs w:val="21"/>
        </w:rPr>
        <w:t>植物措施投资估算表</w:t>
      </w:r>
    </w:p>
    <w:tbl>
      <w:tblPr>
        <w:tblStyle w:val="88"/>
        <w:tblW w:w="8534" w:type="dxa"/>
        <w:jc w:val="center"/>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393"/>
        <w:gridCol w:w="2070"/>
        <w:gridCol w:w="1065"/>
        <w:gridCol w:w="1080"/>
        <w:gridCol w:w="1500"/>
        <w:gridCol w:w="1426"/>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93" w:type="dxa"/>
            <w:tcBorders>
              <w:tl2br w:val="nil"/>
              <w:tr2bl w:val="nil"/>
            </w:tcBorders>
            <w:noWrap/>
            <w:vAlign w:val="center"/>
          </w:tcPr>
          <w:p>
            <w:pPr>
              <w:pStyle w:val="56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z w:val="20"/>
                <w:szCs w:val="20"/>
                <w:highlight w:val="none"/>
              </w:rPr>
              <w:t>序号</w:t>
            </w:r>
          </w:p>
        </w:tc>
        <w:tc>
          <w:tcPr>
            <w:tcW w:w="2070" w:type="dxa"/>
            <w:tcBorders>
              <w:tl2br w:val="nil"/>
              <w:tr2bl w:val="nil"/>
            </w:tcBorders>
            <w:noWrap/>
            <w:vAlign w:val="center"/>
          </w:tcPr>
          <w:p>
            <w:pPr>
              <w:pStyle w:val="56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z w:val="20"/>
                <w:szCs w:val="20"/>
                <w:highlight w:val="none"/>
              </w:rPr>
              <w:t>项目</w:t>
            </w:r>
          </w:p>
        </w:tc>
        <w:tc>
          <w:tcPr>
            <w:tcW w:w="1065" w:type="dxa"/>
            <w:tcBorders>
              <w:tl2br w:val="nil"/>
              <w:tr2bl w:val="nil"/>
            </w:tcBorders>
            <w:noWrap/>
            <w:vAlign w:val="center"/>
          </w:tcPr>
          <w:p>
            <w:pPr>
              <w:pStyle w:val="56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z w:val="20"/>
                <w:szCs w:val="20"/>
                <w:highlight w:val="none"/>
              </w:rPr>
              <w:t>单位</w:t>
            </w:r>
          </w:p>
        </w:tc>
        <w:tc>
          <w:tcPr>
            <w:tcW w:w="1080" w:type="dxa"/>
            <w:tcBorders>
              <w:tl2br w:val="nil"/>
              <w:tr2bl w:val="nil"/>
            </w:tcBorders>
            <w:noWrap/>
            <w:vAlign w:val="center"/>
          </w:tcPr>
          <w:p>
            <w:pPr>
              <w:pStyle w:val="56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z w:val="20"/>
                <w:szCs w:val="20"/>
                <w:highlight w:val="none"/>
              </w:rPr>
              <w:t>数量</w:t>
            </w:r>
          </w:p>
        </w:tc>
        <w:tc>
          <w:tcPr>
            <w:tcW w:w="1500" w:type="dxa"/>
            <w:tcBorders>
              <w:tl2br w:val="nil"/>
              <w:tr2bl w:val="nil"/>
            </w:tcBorders>
            <w:noWrap w:val="0"/>
            <w:vAlign w:val="center"/>
          </w:tcPr>
          <w:p>
            <w:pPr>
              <w:pStyle w:val="56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z w:val="20"/>
                <w:szCs w:val="20"/>
                <w:highlight w:val="none"/>
              </w:rPr>
              <w:t>单价（元）</w:t>
            </w:r>
          </w:p>
        </w:tc>
        <w:tc>
          <w:tcPr>
            <w:tcW w:w="1426" w:type="dxa"/>
            <w:tcBorders>
              <w:tl2br w:val="nil"/>
              <w:tr2bl w:val="nil"/>
            </w:tcBorders>
            <w:noWrap w:val="0"/>
            <w:vAlign w:val="center"/>
          </w:tcPr>
          <w:p>
            <w:pPr>
              <w:pStyle w:val="56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z w:val="20"/>
                <w:szCs w:val="20"/>
                <w:highlight w:val="none"/>
              </w:rPr>
              <w:t>合计（</w:t>
            </w:r>
            <w:r>
              <w:rPr>
                <w:rFonts w:hint="default" w:ascii="Times New Roman" w:hAnsi="Times New Roman" w:cs="Times New Roman"/>
                <w:sz w:val="20"/>
                <w:szCs w:val="20"/>
                <w:highlight w:val="none"/>
                <w:lang w:val="en-US" w:eastAsia="zh-CN"/>
              </w:rPr>
              <w:t>万</w:t>
            </w:r>
            <w:r>
              <w:rPr>
                <w:rFonts w:hint="default" w:ascii="Times New Roman" w:hAnsi="Times New Roman" w:eastAsia="仿宋_GB2312" w:cs="Times New Roman"/>
                <w:sz w:val="20"/>
                <w:szCs w:val="20"/>
                <w:highlight w:val="none"/>
              </w:rPr>
              <w:t>元）</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93" w:type="dxa"/>
            <w:tcBorders>
              <w:tl2br w:val="nil"/>
              <w:tr2bl w:val="nil"/>
            </w:tcBorders>
            <w:noWrap/>
            <w:vAlign w:val="center"/>
          </w:tcPr>
          <w:p>
            <w:pPr>
              <w:pStyle w:val="56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_GB2312" w:cs="Times New Roman"/>
                <w:b/>
                <w:bCs/>
                <w:sz w:val="20"/>
                <w:szCs w:val="20"/>
                <w:highlight w:val="none"/>
              </w:rPr>
            </w:pPr>
            <w:r>
              <w:rPr>
                <w:rFonts w:hint="default" w:ascii="Times New Roman" w:hAnsi="Times New Roman" w:eastAsia="仿宋_GB2312" w:cs="Times New Roman"/>
                <w:b/>
                <w:bCs/>
                <w:sz w:val="20"/>
                <w:szCs w:val="20"/>
                <w:highlight w:val="none"/>
              </w:rPr>
              <w:t>第二部分</w:t>
            </w:r>
          </w:p>
        </w:tc>
        <w:tc>
          <w:tcPr>
            <w:tcW w:w="2070" w:type="dxa"/>
            <w:tcBorders>
              <w:tl2br w:val="nil"/>
              <w:tr2bl w:val="nil"/>
            </w:tcBorders>
            <w:noWrap/>
            <w:vAlign w:val="center"/>
          </w:tcPr>
          <w:p>
            <w:pPr>
              <w:pStyle w:val="56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_GB2312" w:cs="Times New Roman"/>
                <w:b/>
                <w:bCs/>
                <w:sz w:val="20"/>
                <w:szCs w:val="20"/>
                <w:highlight w:val="none"/>
              </w:rPr>
            </w:pPr>
            <w:r>
              <w:rPr>
                <w:rFonts w:hint="default" w:ascii="Times New Roman" w:hAnsi="Times New Roman" w:eastAsia="仿宋_GB2312" w:cs="Times New Roman"/>
                <w:b/>
                <w:bCs/>
                <w:sz w:val="20"/>
                <w:szCs w:val="20"/>
                <w:highlight w:val="none"/>
              </w:rPr>
              <w:t>植物措施</w:t>
            </w:r>
          </w:p>
        </w:tc>
        <w:tc>
          <w:tcPr>
            <w:tcW w:w="1065" w:type="dxa"/>
            <w:tcBorders>
              <w:tl2br w:val="nil"/>
              <w:tr2bl w:val="nil"/>
            </w:tcBorders>
            <w:noWrap/>
            <w:vAlign w:val="center"/>
          </w:tcPr>
          <w:p>
            <w:pPr>
              <w:pStyle w:val="56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_GB2312" w:cs="Times New Roman"/>
                <w:b/>
                <w:bCs/>
                <w:sz w:val="20"/>
                <w:szCs w:val="20"/>
                <w:highlight w:val="none"/>
              </w:rPr>
            </w:pPr>
          </w:p>
        </w:tc>
        <w:tc>
          <w:tcPr>
            <w:tcW w:w="1080" w:type="dxa"/>
            <w:tcBorders>
              <w:tl2br w:val="nil"/>
              <w:tr2bl w:val="nil"/>
            </w:tcBorders>
            <w:noWrap/>
            <w:vAlign w:val="center"/>
          </w:tcPr>
          <w:p>
            <w:pPr>
              <w:pStyle w:val="56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_GB2312" w:cs="Times New Roman"/>
                <w:b/>
                <w:bCs/>
                <w:sz w:val="20"/>
                <w:szCs w:val="20"/>
                <w:highlight w:val="none"/>
              </w:rPr>
            </w:pPr>
          </w:p>
        </w:tc>
        <w:tc>
          <w:tcPr>
            <w:tcW w:w="1500" w:type="dxa"/>
            <w:tcBorders>
              <w:tl2br w:val="nil"/>
              <w:tr2bl w:val="nil"/>
            </w:tcBorders>
            <w:noWrap/>
            <w:vAlign w:val="center"/>
          </w:tcPr>
          <w:p>
            <w:pPr>
              <w:pStyle w:val="56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_GB2312" w:cs="Times New Roman"/>
                <w:b/>
                <w:bCs/>
                <w:sz w:val="20"/>
                <w:szCs w:val="20"/>
                <w:highlight w:val="none"/>
              </w:rPr>
            </w:pPr>
          </w:p>
        </w:tc>
        <w:tc>
          <w:tcPr>
            <w:tcW w:w="1426" w:type="dxa"/>
            <w:tcBorders>
              <w:tl2br w:val="nil"/>
              <w:tr2bl w:val="nil"/>
            </w:tcBorders>
            <w:noWrap/>
            <w:vAlign w:val="center"/>
          </w:tcPr>
          <w:p>
            <w:pPr>
              <w:keepNext w:val="0"/>
              <w:keepLines w:val="0"/>
              <w:pageBreakBefore w:val="0"/>
              <w:kinsoku/>
              <w:wordWrap/>
              <w:overflowPunct/>
              <w:topLinePunct w:val="0"/>
              <w:autoSpaceDE/>
              <w:autoSpaceDN/>
              <w:bidi w:val="0"/>
              <w:adjustRightInd/>
              <w:snapToGrid w:val="0"/>
              <w:jc w:val="center"/>
              <w:rPr>
                <w:rFonts w:hint="default" w:eastAsia="仿宋_GB2312" w:cs="Times New Roman"/>
                <w:sz w:val="20"/>
                <w:szCs w:val="20"/>
                <w:highlight w:val="none"/>
                <w:lang w:val="en-US" w:eastAsia="zh-CN"/>
              </w:rPr>
            </w:pPr>
            <w:r>
              <w:rPr>
                <w:rFonts w:hint="eastAsia" w:eastAsia="仿宋_GB2312" w:cs="Times New Roman"/>
                <w:b/>
                <w:bCs/>
                <w:sz w:val="20"/>
                <w:szCs w:val="20"/>
                <w:highlight w:val="none"/>
                <w:lang w:val="en-US" w:eastAsia="zh-CN"/>
              </w:rPr>
              <w:t>479.20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93" w:type="dxa"/>
            <w:tcBorders>
              <w:tl2br w:val="nil"/>
              <w:tr2bl w:val="nil"/>
            </w:tcBorders>
            <w:noWrap/>
            <w:vAlign w:val="center"/>
          </w:tcPr>
          <w:p>
            <w:pPr>
              <w:pStyle w:val="56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z w:val="20"/>
                <w:szCs w:val="20"/>
                <w:highlight w:val="none"/>
              </w:rPr>
              <w:t>一</w:t>
            </w:r>
          </w:p>
        </w:tc>
        <w:tc>
          <w:tcPr>
            <w:tcW w:w="2070" w:type="dxa"/>
            <w:tcBorders>
              <w:tl2br w:val="nil"/>
              <w:tr2bl w:val="nil"/>
            </w:tcBorders>
            <w:noWrap/>
            <w:vAlign w:val="center"/>
          </w:tcPr>
          <w:p>
            <w:pPr>
              <w:pStyle w:val="56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z w:val="20"/>
                <w:szCs w:val="20"/>
                <w:highlight w:val="none"/>
              </w:rPr>
              <w:t>工程建设区</w:t>
            </w:r>
          </w:p>
        </w:tc>
        <w:tc>
          <w:tcPr>
            <w:tcW w:w="1065" w:type="dxa"/>
            <w:tcBorders>
              <w:tl2br w:val="nil"/>
              <w:tr2bl w:val="nil"/>
            </w:tcBorders>
            <w:noWrap/>
            <w:vAlign w:val="center"/>
          </w:tcPr>
          <w:p>
            <w:pPr>
              <w:pStyle w:val="56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_GB2312" w:cs="Times New Roman"/>
                <w:sz w:val="20"/>
                <w:szCs w:val="20"/>
                <w:highlight w:val="none"/>
              </w:rPr>
            </w:pPr>
          </w:p>
        </w:tc>
        <w:tc>
          <w:tcPr>
            <w:tcW w:w="1080" w:type="dxa"/>
            <w:tcBorders>
              <w:tl2br w:val="nil"/>
              <w:tr2bl w:val="nil"/>
            </w:tcBorders>
            <w:noWrap/>
            <w:vAlign w:val="center"/>
          </w:tcPr>
          <w:p>
            <w:pPr>
              <w:pStyle w:val="56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_GB2312" w:cs="Times New Roman"/>
                <w:sz w:val="20"/>
                <w:szCs w:val="20"/>
                <w:highlight w:val="none"/>
              </w:rPr>
            </w:pPr>
          </w:p>
        </w:tc>
        <w:tc>
          <w:tcPr>
            <w:tcW w:w="1500" w:type="dxa"/>
            <w:tcBorders>
              <w:tl2br w:val="nil"/>
              <w:tr2bl w:val="nil"/>
            </w:tcBorders>
            <w:noWrap/>
            <w:vAlign w:val="center"/>
          </w:tcPr>
          <w:p>
            <w:pPr>
              <w:pStyle w:val="56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_GB2312" w:cs="Times New Roman"/>
                <w:sz w:val="20"/>
                <w:szCs w:val="20"/>
                <w:highlight w:val="none"/>
              </w:rPr>
            </w:pPr>
          </w:p>
        </w:tc>
        <w:tc>
          <w:tcPr>
            <w:tcW w:w="1426" w:type="dxa"/>
            <w:tcBorders>
              <w:tl2br w:val="nil"/>
              <w:tr2bl w:val="nil"/>
            </w:tcBorders>
            <w:noWrap/>
            <w:vAlign w:val="center"/>
          </w:tcPr>
          <w:p>
            <w:pPr>
              <w:keepNext w:val="0"/>
              <w:keepLines w:val="0"/>
              <w:pageBreakBefore w:val="0"/>
              <w:kinsoku/>
              <w:wordWrap/>
              <w:overflowPunct/>
              <w:topLinePunct w:val="0"/>
              <w:autoSpaceDE/>
              <w:autoSpaceDN/>
              <w:bidi w:val="0"/>
              <w:adjustRightInd/>
              <w:snapToGrid w:val="0"/>
              <w:jc w:val="center"/>
              <w:rPr>
                <w:rFonts w:hint="default" w:eastAsia="仿宋_GB2312" w:cs="Times New Roman"/>
                <w:sz w:val="20"/>
                <w:szCs w:val="20"/>
                <w:highlight w:val="none"/>
                <w:lang w:val="en-US" w:eastAsia="zh-CN"/>
              </w:rPr>
            </w:pPr>
            <w:r>
              <w:rPr>
                <w:rFonts w:hint="eastAsia" w:eastAsia="仿宋_GB2312" w:cs="Times New Roman"/>
                <w:sz w:val="20"/>
                <w:szCs w:val="20"/>
                <w:highlight w:val="none"/>
                <w:lang w:val="en-US" w:eastAsia="zh-CN"/>
              </w:rPr>
              <w:t>479.20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93" w:type="dxa"/>
            <w:tcBorders>
              <w:tl2br w:val="nil"/>
              <w:tr2bl w:val="nil"/>
            </w:tcBorders>
            <w:noWrap/>
            <w:vAlign w:val="center"/>
          </w:tcPr>
          <w:p>
            <w:pPr>
              <w:pStyle w:val="56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z w:val="20"/>
                <w:szCs w:val="20"/>
                <w:highlight w:val="none"/>
              </w:rPr>
              <w:t>1</w:t>
            </w:r>
          </w:p>
        </w:tc>
        <w:tc>
          <w:tcPr>
            <w:tcW w:w="2070" w:type="dxa"/>
            <w:tcBorders>
              <w:tl2br w:val="nil"/>
              <w:tr2bl w:val="nil"/>
            </w:tcBorders>
            <w:noWrap/>
            <w:vAlign w:val="center"/>
          </w:tcPr>
          <w:p>
            <w:pPr>
              <w:pStyle w:val="56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z w:val="20"/>
                <w:szCs w:val="20"/>
                <w:highlight w:val="none"/>
              </w:rPr>
              <w:t>绿化</w:t>
            </w:r>
          </w:p>
        </w:tc>
        <w:tc>
          <w:tcPr>
            <w:tcW w:w="1065" w:type="dxa"/>
            <w:tcBorders>
              <w:tl2br w:val="nil"/>
              <w:tr2bl w:val="nil"/>
            </w:tcBorders>
            <w:noWrap/>
            <w:vAlign w:val="center"/>
          </w:tcPr>
          <w:p>
            <w:pPr>
              <w:pStyle w:val="56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z w:val="20"/>
                <w:szCs w:val="20"/>
                <w:highlight w:val="none"/>
              </w:rPr>
              <w:t>m²</w:t>
            </w:r>
          </w:p>
        </w:tc>
        <w:tc>
          <w:tcPr>
            <w:tcW w:w="1080" w:type="dxa"/>
            <w:tcBorders>
              <w:tl2br w:val="nil"/>
              <w:tr2bl w:val="nil"/>
            </w:tcBorders>
            <w:noWrap/>
            <w:vAlign w:val="center"/>
          </w:tcPr>
          <w:p>
            <w:pPr>
              <w:pStyle w:val="56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_GB2312" w:cs="Times New Roman"/>
                <w:sz w:val="20"/>
                <w:szCs w:val="20"/>
                <w:highlight w:val="none"/>
                <w:lang w:eastAsia="zh-CN"/>
              </w:rPr>
            </w:pPr>
            <w:r>
              <w:rPr>
                <w:rFonts w:hint="eastAsia" w:cs="Times New Roman"/>
                <w:sz w:val="20"/>
                <w:szCs w:val="20"/>
                <w:highlight w:val="none"/>
                <w:lang w:eastAsia="zh-CN"/>
              </w:rPr>
              <w:t>39933.28</w:t>
            </w:r>
          </w:p>
        </w:tc>
        <w:tc>
          <w:tcPr>
            <w:tcW w:w="1500" w:type="dxa"/>
            <w:tcBorders>
              <w:tl2br w:val="nil"/>
              <w:tr2bl w:val="nil"/>
            </w:tcBorders>
            <w:noWrap/>
            <w:vAlign w:val="center"/>
          </w:tcPr>
          <w:p>
            <w:pPr>
              <w:pStyle w:val="562"/>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_GB2312" w:cs="Times New Roman"/>
                <w:sz w:val="20"/>
                <w:szCs w:val="20"/>
                <w:highlight w:val="none"/>
                <w:lang w:val="en-US" w:eastAsia="zh-CN"/>
              </w:rPr>
            </w:pPr>
            <w:r>
              <w:rPr>
                <w:rFonts w:hint="default" w:ascii="Times New Roman" w:hAnsi="Times New Roman" w:eastAsia="仿宋_GB2312" w:cs="Times New Roman"/>
                <w:sz w:val="20"/>
                <w:szCs w:val="20"/>
                <w:highlight w:val="none"/>
                <w:lang w:val="en-US" w:eastAsia="zh-CN"/>
              </w:rPr>
              <w:t>120</w:t>
            </w:r>
          </w:p>
        </w:tc>
        <w:tc>
          <w:tcPr>
            <w:tcW w:w="1426" w:type="dxa"/>
            <w:tcBorders>
              <w:tl2br w:val="nil"/>
              <w:tr2bl w:val="nil"/>
            </w:tcBorders>
            <w:noWrap/>
            <w:vAlign w:val="center"/>
          </w:tcPr>
          <w:p>
            <w:pPr>
              <w:keepNext w:val="0"/>
              <w:keepLines w:val="0"/>
              <w:pageBreakBefore w:val="0"/>
              <w:kinsoku/>
              <w:wordWrap/>
              <w:overflowPunct/>
              <w:topLinePunct w:val="0"/>
              <w:autoSpaceDE/>
              <w:autoSpaceDN/>
              <w:bidi w:val="0"/>
              <w:adjustRightInd/>
              <w:snapToGrid w:val="0"/>
              <w:jc w:val="center"/>
              <w:rPr>
                <w:rFonts w:hint="default" w:eastAsia="仿宋_GB2312" w:cs="Times New Roman"/>
                <w:sz w:val="20"/>
                <w:szCs w:val="20"/>
                <w:highlight w:val="none"/>
                <w:lang w:val="en-US" w:eastAsia="zh-CN"/>
              </w:rPr>
            </w:pPr>
            <w:r>
              <w:rPr>
                <w:rFonts w:hint="eastAsia" w:eastAsia="仿宋_GB2312" w:cs="Times New Roman"/>
                <w:sz w:val="20"/>
                <w:szCs w:val="20"/>
                <w:highlight w:val="none"/>
                <w:lang w:val="en-US" w:eastAsia="zh-CN"/>
              </w:rPr>
              <w:t>479.20</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0" w:firstLineChars="0"/>
        <w:jc w:val="center"/>
        <w:textAlignment w:val="auto"/>
        <w:rPr>
          <w:rFonts w:hint="default" w:ascii="Times New Roman" w:hAnsi="Times New Roman" w:eastAsia="微软雅黑" w:cs="Times New Roman"/>
          <w:b w:val="0"/>
          <w:bCs w:val="0"/>
          <w:spacing w:val="2"/>
          <w:sz w:val="21"/>
          <w:szCs w:val="21"/>
        </w:rPr>
      </w:pP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val="0"/>
          <w:bCs w:val="0"/>
          <w:sz w:val="21"/>
          <w:szCs w:val="21"/>
          <w:highlight w:val="none"/>
        </w:rPr>
      </w:pP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val="0"/>
          <w:bCs w:val="0"/>
          <w:sz w:val="21"/>
          <w:szCs w:val="21"/>
          <w:highlight w:val="none"/>
        </w:rPr>
      </w:pPr>
      <w:r>
        <w:rPr>
          <w:rFonts w:hint="default" w:ascii="Times New Roman" w:hAnsi="Times New Roman" w:eastAsia="微软雅黑" w:cs="Times New Roman"/>
          <w:b w:val="0"/>
          <w:bCs w:val="0"/>
          <w:sz w:val="21"/>
          <w:szCs w:val="21"/>
          <w:highlight w:val="none"/>
        </w:rPr>
        <w:t>表7-5</w:t>
      </w:r>
      <w:r>
        <w:rPr>
          <w:rFonts w:hint="default" w:ascii="Times New Roman" w:hAnsi="Times New Roman" w:eastAsia="微软雅黑" w:cs="Times New Roman"/>
          <w:b w:val="0"/>
          <w:bCs w:val="0"/>
          <w:sz w:val="21"/>
          <w:szCs w:val="21"/>
          <w:highlight w:val="none"/>
          <w:lang w:val="en-US" w:eastAsia="zh-CN"/>
        </w:rPr>
        <w:t xml:space="preserve">  </w:t>
      </w:r>
      <w:r>
        <w:rPr>
          <w:rFonts w:hint="default" w:ascii="Times New Roman" w:hAnsi="Times New Roman" w:eastAsia="微软雅黑" w:cs="Times New Roman"/>
          <w:b w:val="0"/>
          <w:bCs w:val="0"/>
          <w:sz w:val="21"/>
          <w:szCs w:val="21"/>
          <w:highlight w:val="none"/>
        </w:rPr>
        <w:t>临时措施投资估算表</w:t>
      </w:r>
    </w:p>
    <w:tbl>
      <w:tblPr>
        <w:tblStyle w:val="556"/>
        <w:tblW w:w="4998" w:type="pct"/>
        <w:jc w:val="center"/>
        <w:tblBorders>
          <w:top w:val="double" w:color="000000" w:sz="4" w:space="0"/>
          <w:left w:val="none" w:color="auto" w:sz="0" w:space="0"/>
          <w:bottom w:val="double" w:color="000000" w:sz="4"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1149"/>
        <w:gridCol w:w="2050"/>
        <w:gridCol w:w="1099"/>
        <w:gridCol w:w="1423"/>
        <w:gridCol w:w="1194"/>
        <w:gridCol w:w="1395"/>
      </w:tblGrid>
      <w:tr>
        <w:tblPrEx>
          <w:tblBorders>
            <w:top w:val="double" w:color="000000" w:sz="4" w:space="0"/>
            <w:left w:val="none" w:color="auto" w:sz="0" w:space="0"/>
            <w:bottom w:val="double" w:color="000000" w:sz="4"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6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2"/>
                <w:sz w:val="20"/>
                <w:szCs w:val="20"/>
              </w:rPr>
              <w:t>序号</w:t>
            </w:r>
          </w:p>
        </w:tc>
        <w:tc>
          <w:tcPr>
            <w:tcW w:w="12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2"/>
                <w:sz w:val="20"/>
                <w:szCs w:val="20"/>
              </w:rPr>
              <w:t>项</w:t>
            </w:r>
            <w:r>
              <w:rPr>
                <w:rFonts w:hint="default" w:ascii="Times New Roman" w:hAnsi="Times New Roman" w:eastAsia="仿宋_GB2312" w:cs="Times New Roman"/>
                <w:spacing w:val="1"/>
                <w:sz w:val="20"/>
                <w:szCs w:val="20"/>
              </w:rPr>
              <w:t>目</w:t>
            </w:r>
          </w:p>
        </w:tc>
        <w:tc>
          <w:tcPr>
            <w:tcW w:w="6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1"/>
                <w:sz w:val="20"/>
                <w:szCs w:val="20"/>
              </w:rPr>
              <w:t>单</w:t>
            </w:r>
            <w:r>
              <w:rPr>
                <w:rFonts w:hint="default" w:ascii="Times New Roman" w:hAnsi="Times New Roman" w:eastAsia="仿宋_GB2312" w:cs="Times New Roman"/>
                <w:sz w:val="20"/>
                <w:szCs w:val="20"/>
              </w:rPr>
              <w:t>位</w:t>
            </w:r>
          </w:p>
        </w:tc>
        <w:tc>
          <w:tcPr>
            <w:tcW w:w="8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2"/>
                <w:sz w:val="20"/>
                <w:szCs w:val="20"/>
              </w:rPr>
              <w:t>数量</w:t>
            </w:r>
          </w:p>
        </w:tc>
        <w:tc>
          <w:tcPr>
            <w:tcW w:w="717" w:type="pct"/>
            <w:tcBorders>
              <w:tl2br w:val="nil"/>
              <w:tr2bl w:val="nil"/>
            </w:tcBorders>
            <w:noWrap w:val="0"/>
            <w:vAlign w:val="center"/>
          </w:tcPr>
          <w:p>
            <w:pPr>
              <w:pStyle w:val="56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z w:val="20"/>
                <w:szCs w:val="20"/>
                <w:highlight w:val="none"/>
              </w:rPr>
              <w:t>单价(元)</w:t>
            </w:r>
          </w:p>
        </w:tc>
        <w:tc>
          <w:tcPr>
            <w:tcW w:w="839" w:type="pct"/>
            <w:tcBorders>
              <w:tl2br w:val="nil"/>
              <w:tr2bl w:val="nil"/>
            </w:tcBorders>
            <w:noWrap w:val="0"/>
            <w:vAlign w:val="center"/>
          </w:tcPr>
          <w:p>
            <w:pPr>
              <w:pStyle w:val="56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0"/>
                <w:szCs w:val="20"/>
                <w:highlight w:val="none"/>
              </w:rPr>
            </w:pPr>
            <w:r>
              <w:rPr>
                <w:rFonts w:hint="default" w:ascii="Times New Roman" w:hAnsi="Times New Roman" w:eastAsia="仿宋_GB2312" w:cs="Times New Roman"/>
                <w:sz w:val="20"/>
                <w:szCs w:val="20"/>
                <w:highlight w:val="none"/>
              </w:rPr>
              <w:t>合计(</w:t>
            </w:r>
            <w:r>
              <w:rPr>
                <w:rFonts w:hint="default" w:ascii="Times New Roman" w:hAnsi="Times New Roman" w:eastAsia="仿宋_GB2312" w:cs="Times New Roman"/>
                <w:sz w:val="20"/>
                <w:szCs w:val="20"/>
                <w:highlight w:val="none"/>
                <w:lang w:val="en-US" w:eastAsia="zh-CN"/>
              </w:rPr>
              <w:t>万</w:t>
            </w:r>
            <w:r>
              <w:rPr>
                <w:rFonts w:hint="default" w:ascii="Times New Roman" w:hAnsi="Times New Roman" w:eastAsia="仿宋_GB2312" w:cs="Times New Roman"/>
                <w:sz w:val="20"/>
                <w:szCs w:val="20"/>
                <w:highlight w:val="none"/>
              </w:rPr>
              <w:t>元)</w:t>
            </w:r>
          </w:p>
        </w:tc>
      </w:tr>
      <w:tr>
        <w:tblPrEx>
          <w:tblBorders>
            <w:top w:val="double" w:color="000000" w:sz="4" w:space="0"/>
            <w:left w:val="none" w:color="auto" w:sz="0" w:space="0"/>
            <w:bottom w:val="double" w:color="000000" w:sz="4"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6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b/>
                <w:bCs/>
                <w:sz w:val="20"/>
                <w:szCs w:val="20"/>
              </w:rPr>
            </w:pPr>
            <w:r>
              <w:rPr>
                <w:rFonts w:hint="default" w:ascii="Times New Roman" w:hAnsi="Times New Roman" w:eastAsia="仿宋_GB2312" w:cs="Times New Roman"/>
                <w:b/>
                <w:bCs/>
                <w:spacing w:val="6"/>
                <w:sz w:val="20"/>
                <w:szCs w:val="20"/>
              </w:rPr>
              <w:t>第</w:t>
            </w:r>
            <w:r>
              <w:rPr>
                <w:rFonts w:hint="default" w:ascii="Times New Roman" w:hAnsi="Times New Roman" w:eastAsia="仿宋_GB2312" w:cs="Times New Roman"/>
                <w:b/>
                <w:bCs/>
                <w:spacing w:val="3"/>
                <w:sz w:val="20"/>
                <w:szCs w:val="20"/>
              </w:rPr>
              <w:t>三部分</w:t>
            </w:r>
          </w:p>
        </w:tc>
        <w:tc>
          <w:tcPr>
            <w:tcW w:w="12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b/>
                <w:bCs/>
                <w:sz w:val="20"/>
                <w:szCs w:val="20"/>
              </w:rPr>
            </w:pPr>
            <w:r>
              <w:rPr>
                <w:rFonts w:hint="default" w:ascii="Times New Roman" w:hAnsi="Times New Roman" w:eastAsia="仿宋_GB2312" w:cs="Times New Roman"/>
                <w:b/>
                <w:bCs/>
                <w:spacing w:val="3"/>
                <w:sz w:val="20"/>
                <w:szCs w:val="20"/>
              </w:rPr>
              <w:t>临时措</w:t>
            </w:r>
            <w:r>
              <w:rPr>
                <w:rFonts w:hint="default" w:ascii="Times New Roman" w:hAnsi="Times New Roman" w:eastAsia="仿宋_GB2312" w:cs="Times New Roman"/>
                <w:b/>
                <w:bCs/>
                <w:spacing w:val="2"/>
                <w:sz w:val="20"/>
                <w:szCs w:val="20"/>
              </w:rPr>
              <w:t>施</w:t>
            </w:r>
          </w:p>
        </w:tc>
        <w:tc>
          <w:tcPr>
            <w:tcW w:w="6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b/>
                <w:bCs/>
                <w:sz w:val="20"/>
                <w:szCs w:val="20"/>
              </w:rPr>
            </w:pPr>
          </w:p>
        </w:tc>
        <w:tc>
          <w:tcPr>
            <w:tcW w:w="8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b/>
                <w:bCs/>
                <w:sz w:val="20"/>
                <w:szCs w:val="20"/>
              </w:rPr>
            </w:pPr>
          </w:p>
        </w:tc>
        <w:tc>
          <w:tcPr>
            <w:tcW w:w="7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b/>
                <w:bCs/>
                <w:spacing w:val="3"/>
                <w:sz w:val="20"/>
                <w:szCs w:val="20"/>
                <w:lang w:val="en-US" w:eastAsia="zh-CN"/>
              </w:rPr>
            </w:pPr>
          </w:p>
        </w:tc>
        <w:tc>
          <w:tcPr>
            <w:tcW w:w="8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pacing w:val="3"/>
                <w:sz w:val="20"/>
                <w:szCs w:val="20"/>
                <w:lang w:val="en-US" w:eastAsia="zh-CN"/>
              </w:rPr>
            </w:pPr>
            <w:r>
              <w:rPr>
                <w:rFonts w:hint="eastAsia" w:eastAsia="仿宋_GB2312" w:cs="Times New Roman"/>
                <w:b/>
                <w:bCs/>
                <w:spacing w:val="3"/>
                <w:sz w:val="20"/>
                <w:szCs w:val="20"/>
                <w:lang w:val="en-US" w:eastAsia="zh-CN"/>
              </w:rPr>
              <w:t>3.34</w:t>
            </w:r>
          </w:p>
        </w:tc>
      </w:tr>
      <w:tr>
        <w:tblPrEx>
          <w:tblBorders>
            <w:top w:val="double" w:color="000000" w:sz="4" w:space="0"/>
            <w:left w:val="none" w:color="auto" w:sz="0" w:space="0"/>
            <w:bottom w:val="double" w:color="000000" w:sz="4"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6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lang w:val="en-US" w:eastAsia="zh-CN"/>
              </w:rPr>
              <w:t>一</w:t>
            </w:r>
          </w:p>
        </w:tc>
        <w:tc>
          <w:tcPr>
            <w:tcW w:w="12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lang w:val="en-US" w:eastAsia="zh-CN"/>
              </w:rPr>
              <w:t>工程建设区</w:t>
            </w:r>
          </w:p>
        </w:tc>
        <w:tc>
          <w:tcPr>
            <w:tcW w:w="6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p>
        </w:tc>
        <w:tc>
          <w:tcPr>
            <w:tcW w:w="8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p>
        </w:tc>
        <w:tc>
          <w:tcPr>
            <w:tcW w:w="7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pacing w:val="3"/>
                <w:sz w:val="20"/>
                <w:szCs w:val="20"/>
                <w:lang w:val="en-US" w:eastAsia="zh-CN"/>
              </w:rPr>
            </w:pPr>
          </w:p>
        </w:tc>
        <w:tc>
          <w:tcPr>
            <w:tcW w:w="8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eastAsia="仿宋_GB2312" w:cs="Times New Roman"/>
                <w:spacing w:val="3"/>
                <w:sz w:val="20"/>
                <w:szCs w:val="20"/>
                <w:lang w:val="en-US" w:eastAsia="zh-CN"/>
              </w:rPr>
            </w:pPr>
            <w:r>
              <w:rPr>
                <w:rFonts w:hint="eastAsia" w:eastAsia="仿宋_GB2312" w:cs="Times New Roman"/>
                <w:spacing w:val="3"/>
                <w:sz w:val="20"/>
                <w:szCs w:val="20"/>
                <w:lang w:val="en-US" w:eastAsia="zh-CN"/>
              </w:rPr>
              <w:t>3.33</w:t>
            </w:r>
          </w:p>
        </w:tc>
      </w:tr>
      <w:tr>
        <w:tblPrEx>
          <w:tblBorders>
            <w:top w:val="double" w:color="000000" w:sz="4" w:space="0"/>
            <w:left w:val="none" w:color="auto" w:sz="0" w:space="0"/>
            <w:bottom w:val="double" w:color="000000" w:sz="4"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6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eastAsia="仿宋_GB2312" w:cs="Times New Roman"/>
                <w:spacing w:val="1"/>
                <w:sz w:val="20"/>
                <w:szCs w:val="20"/>
                <w:lang w:val="en-US" w:eastAsia="zh-CN"/>
              </w:rPr>
            </w:pPr>
            <w:r>
              <w:rPr>
                <w:rFonts w:hint="eastAsia" w:eastAsia="仿宋_GB2312" w:cs="Times New Roman"/>
                <w:spacing w:val="1"/>
                <w:sz w:val="20"/>
                <w:szCs w:val="20"/>
                <w:lang w:val="en-US" w:eastAsia="zh-CN"/>
              </w:rPr>
              <w:t>1</w:t>
            </w:r>
          </w:p>
        </w:tc>
        <w:tc>
          <w:tcPr>
            <w:tcW w:w="12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pacing w:val="6"/>
                <w:sz w:val="20"/>
                <w:szCs w:val="20"/>
                <w:lang w:val="en-US" w:eastAsia="zh-CN"/>
              </w:rPr>
            </w:pPr>
            <w:r>
              <w:rPr>
                <w:rFonts w:hint="default" w:ascii="Times New Roman" w:hAnsi="Times New Roman" w:eastAsia="仿宋" w:cs="Times New Roman"/>
                <w:spacing w:val="8"/>
                <w:sz w:val="20"/>
                <w:szCs w:val="20"/>
                <w:lang w:val="en-US" w:eastAsia="zh-CN"/>
              </w:rPr>
              <w:t>编织袋砌筑</w:t>
            </w:r>
          </w:p>
        </w:tc>
        <w:tc>
          <w:tcPr>
            <w:tcW w:w="6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20"/>
                <w:szCs w:val="20"/>
                <w:highlight w:val="none"/>
              </w:rPr>
            </w:pPr>
            <w:r>
              <w:rPr>
                <w:rFonts w:hint="default" w:ascii="Times New Roman" w:hAnsi="Times New Roman" w:eastAsia="仿宋" w:cs="Times New Roman"/>
                <w:sz w:val="20"/>
                <w:szCs w:val="20"/>
              </w:rPr>
              <w:t>m</w:t>
            </w:r>
            <w:r>
              <w:rPr>
                <w:rFonts w:hint="default" w:ascii="Times New Roman" w:hAnsi="Times New Roman" w:eastAsia="仿宋" w:cs="Times New Roman"/>
                <w:spacing w:val="8"/>
                <w:sz w:val="20"/>
                <w:szCs w:val="20"/>
              </w:rPr>
              <w:t>²</w:t>
            </w:r>
          </w:p>
        </w:tc>
        <w:tc>
          <w:tcPr>
            <w:tcW w:w="8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eastAsia="仿宋_GB2312" w:cs="Times New Roman"/>
                <w:sz w:val="20"/>
                <w:szCs w:val="20"/>
                <w:lang w:val="en-US" w:eastAsia="zh-CN"/>
              </w:rPr>
            </w:pPr>
            <w:r>
              <w:rPr>
                <w:rFonts w:hint="eastAsia" w:eastAsia="仿宋" w:cs="Times New Roman"/>
                <w:sz w:val="20"/>
                <w:szCs w:val="20"/>
                <w:lang w:val="en-US" w:eastAsia="zh-CN"/>
              </w:rPr>
              <w:t>31.5</w:t>
            </w:r>
          </w:p>
        </w:tc>
        <w:tc>
          <w:tcPr>
            <w:tcW w:w="7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eastAsia="仿宋_GB2312" w:cs="Times New Roman"/>
                <w:spacing w:val="3"/>
                <w:sz w:val="20"/>
                <w:szCs w:val="20"/>
                <w:lang w:val="en-US" w:eastAsia="zh-CN"/>
              </w:rPr>
            </w:pPr>
            <w:r>
              <w:rPr>
                <w:rFonts w:hint="eastAsia" w:eastAsia="仿宋_GB2312" w:cs="Times New Roman"/>
                <w:spacing w:val="3"/>
                <w:sz w:val="20"/>
                <w:szCs w:val="20"/>
                <w:lang w:val="en-US" w:eastAsia="zh-CN"/>
              </w:rPr>
              <w:t>534.79</w:t>
            </w:r>
          </w:p>
        </w:tc>
        <w:tc>
          <w:tcPr>
            <w:tcW w:w="8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eastAsia="仿宋_GB2312" w:cs="Times New Roman"/>
                <w:spacing w:val="3"/>
                <w:sz w:val="20"/>
                <w:szCs w:val="20"/>
                <w:lang w:val="en-US" w:eastAsia="zh-CN"/>
              </w:rPr>
            </w:pPr>
            <w:r>
              <w:rPr>
                <w:rFonts w:hint="eastAsia" w:eastAsia="仿宋_GB2312" w:cs="Times New Roman"/>
                <w:spacing w:val="3"/>
                <w:sz w:val="20"/>
                <w:szCs w:val="20"/>
                <w:lang w:val="en-US" w:eastAsia="zh-CN"/>
              </w:rPr>
              <w:t>1.68</w:t>
            </w:r>
          </w:p>
        </w:tc>
      </w:tr>
      <w:tr>
        <w:tblPrEx>
          <w:tblBorders>
            <w:top w:val="double" w:color="000000" w:sz="4" w:space="0"/>
            <w:left w:val="none" w:color="auto" w:sz="0" w:space="0"/>
            <w:bottom w:val="double" w:color="000000" w:sz="4"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6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eastAsia="仿宋_GB2312" w:cs="Times New Roman"/>
                <w:spacing w:val="1"/>
                <w:sz w:val="20"/>
                <w:szCs w:val="20"/>
                <w:lang w:val="en-US" w:eastAsia="zh-CN"/>
              </w:rPr>
            </w:pPr>
            <w:r>
              <w:rPr>
                <w:rFonts w:hint="eastAsia" w:eastAsia="仿宋_GB2312" w:cs="Times New Roman"/>
                <w:spacing w:val="1"/>
                <w:sz w:val="20"/>
                <w:szCs w:val="20"/>
                <w:lang w:val="en-US" w:eastAsia="zh-CN"/>
              </w:rPr>
              <w:t>2</w:t>
            </w:r>
          </w:p>
        </w:tc>
        <w:tc>
          <w:tcPr>
            <w:tcW w:w="12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pacing w:val="6"/>
                <w:sz w:val="20"/>
                <w:szCs w:val="20"/>
                <w:lang w:val="en-US" w:eastAsia="zh-CN"/>
              </w:rPr>
            </w:pPr>
            <w:r>
              <w:rPr>
                <w:rFonts w:hint="default" w:ascii="Times New Roman" w:hAnsi="Times New Roman" w:eastAsia="仿宋" w:cs="Times New Roman"/>
                <w:spacing w:val="8"/>
                <w:sz w:val="20"/>
                <w:szCs w:val="20"/>
                <w:lang w:val="en-US" w:eastAsia="zh-CN"/>
              </w:rPr>
              <w:t>编织袋拆除</w:t>
            </w:r>
          </w:p>
        </w:tc>
        <w:tc>
          <w:tcPr>
            <w:tcW w:w="6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20"/>
                <w:szCs w:val="20"/>
                <w:highlight w:val="none"/>
              </w:rPr>
            </w:pPr>
            <w:r>
              <w:rPr>
                <w:rFonts w:hint="default" w:ascii="Times New Roman" w:hAnsi="Times New Roman" w:eastAsia="仿宋" w:cs="Times New Roman"/>
                <w:sz w:val="20"/>
                <w:szCs w:val="20"/>
              </w:rPr>
              <w:t>m</w:t>
            </w:r>
            <w:r>
              <w:rPr>
                <w:rFonts w:hint="default" w:ascii="Times New Roman" w:hAnsi="Times New Roman" w:eastAsia="仿宋" w:cs="Times New Roman"/>
                <w:spacing w:val="8"/>
                <w:sz w:val="20"/>
                <w:szCs w:val="20"/>
              </w:rPr>
              <w:t>²</w:t>
            </w:r>
          </w:p>
        </w:tc>
        <w:tc>
          <w:tcPr>
            <w:tcW w:w="8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eastAsia="仿宋_GB2312" w:cs="Times New Roman"/>
                <w:sz w:val="20"/>
                <w:szCs w:val="20"/>
                <w:lang w:val="en-US" w:eastAsia="zh-CN"/>
              </w:rPr>
            </w:pPr>
            <w:r>
              <w:rPr>
                <w:rFonts w:hint="eastAsia" w:eastAsia="仿宋" w:cs="Times New Roman"/>
                <w:sz w:val="20"/>
                <w:szCs w:val="20"/>
                <w:lang w:val="en-US" w:eastAsia="zh-CN"/>
              </w:rPr>
              <w:t>31.5</w:t>
            </w:r>
          </w:p>
        </w:tc>
        <w:tc>
          <w:tcPr>
            <w:tcW w:w="7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eastAsia="仿宋_GB2312" w:cs="Times New Roman"/>
                <w:spacing w:val="3"/>
                <w:sz w:val="20"/>
                <w:szCs w:val="20"/>
                <w:lang w:val="en-US" w:eastAsia="zh-CN"/>
              </w:rPr>
            </w:pPr>
            <w:r>
              <w:rPr>
                <w:rFonts w:hint="eastAsia" w:eastAsia="仿宋_GB2312" w:cs="Times New Roman"/>
                <w:spacing w:val="3"/>
                <w:sz w:val="20"/>
                <w:szCs w:val="20"/>
                <w:lang w:val="en-US" w:eastAsia="zh-CN"/>
              </w:rPr>
              <w:t>50.53</w:t>
            </w:r>
          </w:p>
        </w:tc>
        <w:tc>
          <w:tcPr>
            <w:tcW w:w="8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eastAsia="仿宋_GB2312" w:cs="Times New Roman"/>
                <w:spacing w:val="3"/>
                <w:sz w:val="20"/>
                <w:szCs w:val="20"/>
                <w:lang w:val="en-US" w:eastAsia="zh-CN"/>
              </w:rPr>
            </w:pPr>
            <w:r>
              <w:rPr>
                <w:rFonts w:hint="eastAsia" w:eastAsia="仿宋_GB2312" w:cs="Times New Roman"/>
                <w:spacing w:val="3"/>
                <w:sz w:val="20"/>
                <w:szCs w:val="20"/>
                <w:lang w:val="en-US" w:eastAsia="zh-CN"/>
              </w:rPr>
              <w:t>0.16</w:t>
            </w:r>
          </w:p>
        </w:tc>
      </w:tr>
      <w:tr>
        <w:tblPrEx>
          <w:tblBorders>
            <w:top w:val="double" w:color="000000" w:sz="4" w:space="0"/>
            <w:left w:val="none" w:color="auto" w:sz="0" w:space="0"/>
            <w:bottom w:val="double" w:color="000000" w:sz="4"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6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pacing w:val="1"/>
                <w:sz w:val="20"/>
                <w:szCs w:val="20"/>
                <w:lang w:val="en-US" w:eastAsia="zh-CN"/>
              </w:rPr>
            </w:pPr>
            <w:r>
              <w:rPr>
                <w:rFonts w:hint="eastAsia" w:eastAsia="仿宋_GB2312" w:cs="Times New Roman"/>
                <w:spacing w:val="1"/>
                <w:sz w:val="20"/>
                <w:szCs w:val="20"/>
                <w:lang w:val="en-US" w:eastAsia="zh-CN"/>
              </w:rPr>
              <w:t>3</w:t>
            </w:r>
          </w:p>
        </w:tc>
        <w:tc>
          <w:tcPr>
            <w:tcW w:w="12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pacing w:val="6"/>
                <w:sz w:val="20"/>
                <w:szCs w:val="20"/>
                <w:lang w:val="en-US" w:eastAsia="zh-CN"/>
              </w:rPr>
            </w:pPr>
            <w:r>
              <w:rPr>
                <w:rFonts w:hint="default" w:ascii="Times New Roman" w:hAnsi="Times New Roman" w:eastAsia="仿宋_GB2312" w:cs="Times New Roman"/>
                <w:spacing w:val="6"/>
                <w:sz w:val="20"/>
                <w:szCs w:val="20"/>
                <w:lang w:val="en-US" w:eastAsia="zh-CN"/>
              </w:rPr>
              <w:t>密目网苫盖</w:t>
            </w:r>
          </w:p>
        </w:tc>
        <w:tc>
          <w:tcPr>
            <w:tcW w:w="6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z w:val="20"/>
                <w:szCs w:val="20"/>
                <w:highlight w:val="none"/>
              </w:rPr>
              <w:t>m²</w:t>
            </w:r>
          </w:p>
        </w:tc>
        <w:tc>
          <w:tcPr>
            <w:tcW w:w="8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lang w:val="en-US" w:eastAsia="zh-CN"/>
              </w:rPr>
            </w:pPr>
            <w:r>
              <w:rPr>
                <w:rFonts w:hint="eastAsia" w:eastAsia="仿宋_GB2312" w:cs="Times New Roman"/>
                <w:sz w:val="20"/>
                <w:szCs w:val="20"/>
                <w:lang w:val="en-US" w:eastAsia="zh-CN"/>
              </w:rPr>
              <w:t>2965</w:t>
            </w:r>
          </w:p>
        </w:tc>
        <w:tc>
          <w:tcPr>
            <w:tcW w:w="7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pacing w:val="3"/>
                <w:sz w:val="20"/>
                <w:szCs w:val="20"/>
                <w:lang w:val="en-US" w:eastAsia="zh-CN"/>
              </w:rPr>
            </w:pPr>
            <w:r>
              <w:rPr>
                <w:rFonts w:hint="eastAsia" w:eastAsia="仿宋_GB2312" w:cs="Times New Roman"/>
                <w:spacing w:val="3"/>
                <w:sz w:val="20"/>
                <w:szCs w:val="20"/>
                <w:lang w:val="en-US" w:eastAsia="zh-CN"/>
              </w:rPr>
              <w:t>5</w:t>
            </w:r>
          </w:p>
        </w:tc>
        <w:tc>
          <w:tcPr>
            <w:tcW w:w="8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eastAsia="仿宋_GB2312" w:cs="Times New Roman"/>
                <w:spacing w:val="3"/>
                <w:sz w:val="20"/>
                <w:szCs w:val="20"/>
                <w:lang w:val="en-US" w:eastAsia="zh-CN"/>
              </w:rPr>
            </w:pPr>
            <w:r>
              <w:rPr>
                <w:rFonts w:hint="eastAsia" w:eastAsia="仿宋_GB2312" w:cs="Times New Roman"/>
                <w:spacing w:val="3"/>
                <w:sz w:val="20"/>
                <w:szCs w:val="20"/>
                <w:lang w:val="en-US" w:eastAsia="zh-CN"/>
              </w:rPr>
              <w:t>1.48</w:t>
            </w:r>
          </w:p>
        </w:tc>
      </w:tr>
      <w:tr>
        <w:tblPrEx>
          <w:tblBorders>
            <w:top w:val="double" w:color="000000" w:sz="4" w:space="0"/>
            <w:left w:val="none" w:color="auto" w:sz="0" w:space="0"/>
            <w:bottom w:val="double" w:color="000000" w:sz="4"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6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lang w:eastAsia="zh-CN"/>
              </w:rPr>
            </w:pPr>
            <w:r>
              <w:rPr>
                <w:rFonts w:hint="default" w:ascii="Times New Roman" w:hAnsi="Times New Roman" w:eastAsia="仿宋_GB2312" w:cs="Times New Roman"/>
                <w:sz w:val="20"/>
                <w:szCs w:val="20"/>
                <w:lang w:val="en-US" w:eastAsia="zh-CN"/>
              </w:rPr>
              <w:t>二</w:t>
            </w:r>
          </w:p>
        </w:tc>
        <w:tc>
          <w:tcPr>
            <w:tcW w:w="12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pacing w:val="7"/>
                <w:sz w:val="20"/>
                <w:szCs w:val="20"/>
              </w:rPr>
              <w:t>其它临时工程</w:t>
            </w:r>
          </w:p>
        </w:tc>
        <w:tc>
          <w:tcPr>
            <w:tcW w:w="2235"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0"/>
                <w:szCs w:val="20"/>
                <w:lang w:val="en-US" w:eastAsia="zh-CN"/>
              </w:rPr>
            </w:pPr>
            <w:r>
              <w:rPr>
                <w:rFonts w:hint="default" w:ascii="Times New Roman" w:hAnsi="Times New Roman" w:eastAsia="仿宋_GB2312" w:cs="Times New Roman"/>
                <w:spacing w:val="12"/>
                <w:position w:val="1"/>
                <w:sz w:val="20"/>
                <w:szCs w:val="20"/>
              </w:rPr>
              <w:t>新增</w:t>
            </w:r>
            <w:r>
              <w:rPr>
                <w:rFonts w:hint="default" w:ascii="Times New Roman" w:hAnsi="Times New Roman" w:eastAsia="仿宋_GB2312" w:cs="Times New Roman"/>
                <w:spacing w:val="6"/>
                <w:position w:val="1"/>
                <w:sz w:val="20"/>
                <w:szCs w:val="20"/>
              </w:rPr>
              <w:t>(工程措施+植物措施)*</w:t>
            </w:r>
            <w:r>
              <w:rPr>
                <w:rFonts w:hint="default" w:ascii="Times New Roman" w:hAnsi="Times New Roman" w:eastAsia="仿宋_GB2312" w:cs="Times New Roman"/>
                <w:spacing w:val="6"/>
                <w:position w:val="1"/>
                <w:sz w:val="20"/>
                <w:szCs w:val="20"/>
                <w:lang w:val="en-US" w:eastAsia="zh-CN"/>
              </w:rPr>
              <w:t>2%</w:t>
            </w:r>
          </w:p>
        </w:tc>
        <w:tc>
          <w:tcPr>
            <w:tcW w:w="8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eastAsia="仿宋_GB2312" w:cs="Times New Roman"/>
                <w:spacing w:val="3"/>
                <w:sz w:val="20"/>
                <w:szCs w:val="20"/>
                <w:lang w:val="en-US" w:eastAsia="zh-CN"/>
              </w:rPr>
            </w:pPr>
            <w:r>
              <w:rPr>
                <w:rFonts w:hint="eastAsia" w:eastAsia="仿宋_GB2312" w:cs="Times New Roman"/>
                <w:spacing w:val="3"/>
                <w:sz w:val="20"/>
                <w:szCs w:val="20"/>
                <w:lang w:val="en-US" w:eastAsia="zh-CN"/>
              </w:rPr>
              <w:t>0.01</w:t>
            </w:r>
          </w:p>
        </w:tc>
      </w:tr>
    </w:tbl>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val="0"/>
          <w:bCs w:val="0"/>
          <w:sz w:val="21"/>
          <w:szCs w:val="21"/>
          <w:highlight w:val="none"/>
        </w:rPr>
      </w:pP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val="0"/>
          <w:bCs w:val="0"/>
          <w:sz w:val="21"/>
          <w:szCs w:val="21"/>
          <w:highlight w:val="none"/>
        </w:rPr>
      </w:pPr>
      <w:r>
        <w:rPr>
          <w:rFonts w:hint="default" w:ascii="Times New Roman" w:hAnsi="Times New Roman" w:eastAsia="微软雅黑" w:cs="Times New Roman"/>
          <w:b w:val="0"/>
          <w:bCs w:val="0"/>
          <w:sz w:val="21"/>
          <w:szCs w:val="21"/>
          <w:highlight w:val="none"/>
        </w:rPr>
        <w:t>表7-6</w:t>
      </w:r>
      <w:r>
        <w:rPr>
          <w:rFonts w:hint="default" w:ascii="Times New Roman" w:hAnsi="Times New Roman" w:eastAsia="微软雅黑" w:cs="Times New Roman"/>
          <w:b w:val="0"/>
          <w:bCs w:val="0"/>
          <w:sz w:val="21"/>
          <w:szCs w:val="21"/>
          <w:highlight w:val="none"/>
          <w:lang w:val="en-US" w:eastAsia="zh-CN"/>
        </w:rPr>
        <w:t xml:space="preserve">  </w:t>
      </w:r>
      <w:r>
        <w:rPr>
          <w:rFonts w:hint="default" w:ascii="Times New Roman" w:hAnsi="Times New Roman" w:eastAsia="微软雅黑" w:cs="Times New Roman"/>
          <w:b w:val="0"/>
          <w:bCs w:val="0"/>
          <w:sz w:val="21"/>
          <w:szCs w:val="21"/>
          <w:highlight w:val="none"/>
        </w:rPr>
        <w:t>独立费用计算表</w:t>
      </w:r>
    </w:p>
    <w:tbl>
      <w:tblPr>
        <w:tblStyle w:val="88"/>
        <w:tblW w:w="5000" w:type="pct"/>
        <w:jc w:val="center"/>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092"/>
        <w:gridCol w:w="1742"/>
        <w:gridCol w:w="4141"/>
        <w:gridCol w:w="1554"/>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b w:val="0"/>
                <w:bCs w:val="0"/>
                <w:kern w:val="0"/>
                <w:sz w:val="20"/>
                <w:szCs w:val="20"/>
                <w:highlight w:val="none"/>
              </w:rPr>
            </w:pPr>
            <w:r>
              <w:rPr>
                <w:rFonts w:hint="default" w:ascii="Times New Roman" w:hAnsi="Times New Roman" w:eastAsia="仿宋_GB2312" w:cs="Times New Roman"/>
                <w:b w:val="0"/>
                <w:bCs w:val="0"/>
                <w:kern w:val="0"/>
                <w:sz w:val="20"/>
                <w:szCs w:val="20"/>
                <w:highlight w:val="none"/>
              </w:rPr>
              <w:t>序号</w:t>
            </w:r>
          </w:p>
        </w:tc>
        <w:tc>
          <w:tcPr>
            <w:tcW w:w="102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b w:val="0"/>
                <w:bCs w:val="0"/>
                <w:kern w:val="0"/>
                <w:sz w:val="20"/>
                <w:szCs w:val="20"/>
                <w:highlight w:val="none"/>
              </w:rPr>
            </w:pPr>
            <w:r>
              <w:rPr>
                <w:rFonts w:hint="default" w:ascii="Times New Roman" w:hAnsi="Times New Roman" w:eastAsia="仿宋_GB2312" w:cs="Times New Roman"/>
                <w:b w:val="0"/>
                <w:bCs w:val="0"/>
                <w:kern w:val="0"/>
                <w:sz w:val="20"/>
                <w:szCs w:val="20"/>
                <w:highlight w:val="none"/>
              </w:rPr>
              <w:t>工程或费用名称</w:t>
            </w:r>
          </w:p>
        </w:tc>
        <w:tc>
          <w:tcPr>
            <w:tcW w:w="242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b w:val="0"/>
                <w:bCs w:val="0"/>
                <w:kern w:val="0"/>
                <w:sz w:val="20"/>
                <w:szCs w:val="20"/>
                <w:highlight w:val="none"/>
              </w:rPr>
            </w:pPr>
            <w:r>
              <w:rPr>
                <w:rFonts w:hint="default" w:ascii="Times New Roman" w:hAnsi="Times New Roman" w:eastAsia="仿宋_GB2312" w:cs="Times New Roman"/>
                <w:b w:val="0"/>
                <w:bCs w:val="0"/>
                <w:kern w:val="0"/>
                <w:sz w:val="20"/>
                <w:szCs w:val="20"/>
                <w:highlight w:val="none"/>
              </w:rPr>
              <w:t>说明及计算式</w:t>
            </w:r>
          </w:p>
        </w:tc>
        <w:tc>
          <w:tcPr>
            <w:tcW w:w="91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b w:val="0"/>
                <w:bCs w:val="0"/>
                <w:kern w:val="0"/>
                <w:sz w:val="20"/>
                <w:szCs w:val="20"/>
                <w:highlight w:val="none"/>
              </w:rPr>
            </w:pPr>
            <w:r>
              <w:rPr>
                <w:rFonts w:hint="default" w:ascii="Times New Roman" w:hAnsi="Times New Roman" w:eastAsia="仿宋_GB2312" w:cs="Times New Roman"/>
                <w:b w:val="0"/>
                <w:bCs w:val="0"/>
                <w:kern w:val="0"/>
                <w:sz w:val="20"/>
                <w:szCs w:val="20"/>
                <w:highlight w:val="none"/>
              </w:rPr>
              <w:t>总投资（万元）</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0"/>
                <w:szCs w:val="20"/>
                <w:highlight w:val="none"/>
              </w:rPr>
            </w:pPr>
            <w:r>
              <w:rPr>
                <w:rFonts w:hint="default" w:ascii="Times New Roman" w:hAnsi="Times New Roman" w:eastAsia="仿宋_GB2312" w:cs="Times New Roman"/>
                <w:b/>
                <w:bCs/>
                <w:kern w:val="0"/>
                <w:sz w:val="20"/>
                <w:szCs w:val="20"/>
                <w:highlight w:val="none"/>
              </w:rPr>
              <w:t>第四部分</w:t>
            </w:r>
          </w:p>
        </w:tc>
        <w:tc>
          <w:tcPr>
            <w:tcW w:w="102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0"/>
                <w:szCs w:val="20"/>
                <w:highlight w:val="none"/>
              </w:rPr>
            </w:pPr>
            <w:r>
              <w:rPr>
                <w:rFonts w:hint="default" w:ascii="Times New Roman" w:hAnsi="Times New Roman" w:eastAsia="仿宋_GB2312" w:cs="Times New Roman"/>
                <w:b/>
                <w:bCs/>
                <w:kern w:val="0"/>
                <w:sz w:val="20"/>
                <w:szCs w:val="20"/>
                <w:highlight w:val="none"/>
              </w:rPr>
              <w:t>独立费用</w:t>
            </w:r>
          </w:p>
        </w:tc>
        <w:tc>
          <w:tcPr>
            <w:tcW w:w="242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0"/>
                <w:szCs w:val="20"/>
                <w:highlight w:val="none"/>
              </w:rPr>
            </w:pPr>
          </w:p>
        </w:tc>
        <w:tc>
          <w:tcPr>
            <w:tcW w:w="91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bCs/>
                <w:sz w:val="20"/>
                <w:szCs w:val="20"/>
                <w:highlight w:val="none"/>
                <w:lang w:val="en-US" w:eastAsia="zh-CN"/>
              </w:rPr>
            </w:pPr>
            <w:r>
              <w:rPr>
                <w:rFonts w:hint="eastAsia" w:eastAsia="仿宋_GB2312" w:cs="Times New Roman"/>
                <w:b/>
                <w:bCs/>
                <w:sz w:val="20"/>
                <w:szCs w:val="20"/>
                <w:highlight w:val="none"/>
                <w:lang w:val="en-US" w:eastAsia="zh-CN"/>
              </w:rPr>
              <w:t>69.67</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kern w:val="0"/>
                <w:sz w:val="20"/>
                <w:szCs w:val="20"/>
                <w:highlight w:val="none"/>
              </w:rPr>
              <w:t>1</w:t>
            </w:r>
          </w:p>
        </w:tc>
        <w:tc>
          <w:tcPr>
            <w:tcW w:w="102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kern w:val="0"/>
                <w:sz w:val="20"/>
                <w:szCs w:val="20"/>
                <w:highlight w:val="none"/>
              </w:rPr>
              <w:t>建设管理费</w:t>
            </w:r>
          </w:p>
        </w:tc>
        <w:tc>
          <w:tcPr>
            <w:tcW w:w="242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kern w:val="0"/>
                <w:sz w:val="20"/>
                <w:szCs w:val="20"/>
                <w:highlight w:val="none"/>
              </w:rPr>
              <w:t>按一、二、三部分新增投资和的2.00%计取</w:t>
            </w:r>
          </w:p>
        </w:tc>
        <w:tc>
          <w:tcPr>
            <w:tcW w:w="91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highlight w:val="none"/>
                <w:lang w:val="en-US" w:eastAsia="zh-CN"/>
              </w:rPr>
            </w:pPr>
            <w:r>
              <w:rPr>
                <w:rFonts w:hint="eastAsia" w:eastAsia="仿宋_GB2312" w:cs="Times New Roman"/>
                <w:sz w:val="20"/>
                <w:szCs w:val="20"/>
                <w:highlight w:val="none"/>
                <w:lang w:val="en-US" w:eastAsia="zh-CN"/>
              </w:rPr>
              <w:t>0.05</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kern w:val="0"/>
                <w:sz w:val="20"/>
                <w:szCs w:val="20"/>
                <w:highlight w:val="none"/>
              </w:rPr>
              <w:t>2</w:t>
            </w:r>
          </w:p>
        </w:tc>
        <w:tc>
          <w:tcPr>
            <w:tcW w:w="102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kern w:val="0"/>
                <w:sz w:val="20"/>
                <w:szCs w:val="20"/>
                <w:highlight w:val="none"/>
              </w:rPr>
              <w:t>水土保持监理费</w:t>
            </w:r>
          </w:p>
        </w:tc>
        <w:tc>
          <w:tcPr>
            <w:tcW w:w="242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kern w:val="0"/>
                <w:sz w:val="20"/>
                <w:szCs w:val="20"/>
                <w:highlight w:val="none"/>
              </w:rPr>
              <w:t>按《关于进一步放开建设项目专业服务价格的通知》（发改价格〔2015〕299号），参考市场价格计列。</w:t>
            </w:r>
          </w:p>
        </w:tc>
        <w:tc>
          <w:tcPr>
            <w:tcW w:w="91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highlight w:val="none"/>
                <w:lang w:val="en-US" w:eastAsia="zh-CN"/>
              </w:rPr>
            </w:pPr>
            <w:r>
              <w:rPr>
                <w:rFonts w:hint="eastAsia" w:eastAsia="仿宋_GB2312" w:cs="Times New Roman"/>
                <w:color w:val="000000"/>
                <w:kern w:val="0"/>
                <w:sz w:val="20"/>
                <w:szCs w:val="20"/>
                <w:highlight w:val="none"/>
                <w:lang w:val="en-US" w:eastAsia="zh-CN" w:bidi="ar"/>
              </w:rPr>
              <w:t>16</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kern w:val="0"/>
                <w:sz w:val="20"/>
                <w:szCs w:val="20"/>
                <w:highlight w:val="none"/>
              </w:rPr>
              <w:t>3</w:t>
            </w:r>
          </w:p>
        </w:tc>
        <w:tc>
          <w:tcPr>
            <w:tcW w:w="102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kern w:val="0"/>
                <w:sz w:val="20"/>
                <w:szCs w:val="20"/>
                <w:highlight w:val="none"/>
              </w:rPr>
              <w:t>水土保持监测费</w:t>
            </w:r>
          </w:p>
        </w:tc>
        <w:tc>
          <w:tcPr>
            <w:tcW w:w="242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kern w:val="0"/>
                <w:sz w:val="20"/>
                <w:szCs w:val="20"/>
                <w:highlight w:val="none"/>
              </w:rPr>
              <w:t>根据监测人工费、土建设施费、监测设备使用费及消耗性材料费，费参考相关资料，考相关资料，结合实际工作量结果监测费用计算表计列。</w:t>
            </w:r>
          </w:p>
        </w:tc>
        <w:tc>
          <w:tcPr>
            <w:tcW w:w="91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highlight w:val="none"/>
                <w:lang w:val="en-US" w:eastAsia="zh-CN"/>
              </w:rPr>
            </w:pPr>
            <w:r>
              <w:rPr>
                <w:rFonts w:hint="eastAsia" w:eastAsia="仿宋_GB2312" w:cs="Times New Roman"/>
                <w:color w:val="000000"/>
                <w:kern w:val="0"/>
                <w:sz w:val="20"/>
                <w:szCs w:val="20"/>
                <w:highlight w:val="none"/>
                <w:lang w:val="en-US" w:eastAsia="zh-CN" w:bidi="ar"/>
              </w:rPr>
              <w:t>15.62</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kern w:val="0"/>
                <w:sz w:val="20"/>
                <w:szCs w:val="20"/>
                <w:highlight w:val="none"/>
              </w:rPr>
              <w:t>4</w:t>
            </w:r>
          </w:p>
        </w:tc>
        <w:tc>
          <w:tcPr>
            <w:tcW w:w="102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kern w:val="0"/>
                <w:sz w:val="20"/>
                <w:szCs w:val="20"/>
                <w:highlight w:val="none"/>
              </w:rPr>
              <w:t>科研勘测设计费</w:t>
            </w:r>
          </w:p>
        </w:tc>
        <w:tc>
          <w:tcPr>
            <w:tcW w:w="242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kern w:val="0"/>
                <w:sz w:val="20"/>
                <w:szCs w:val="20"/>
                <w:highlight w:val="none"/>
              </w:rPr>
              <w:t>方案编制费按签订的技术咨询合同计列，后续设计费按《关于进一步放开建设项目专业服务价格的通知》（发改价格〔2015〕299号），参考市场价格计列。</w:t>
            </w:r>
          </w:p>
        </w:tc>
        <w:tc>
          <w:tcPr>
            <w:tcW w:w="91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highlight w:val="none"/>
                <w:lang w:val="en-US" w:eastAsia="zh-CN"/>
              </w:rPr>
            </w:pPr>
            <w:r>
              <w:rPr>
                <w:rFonts w:hint="eastAsia" w:eastAsia="仿宋_GB2312" w:cs="Times New Roman"/>
                <w:color w:val="000000"/>
                <w:kern w:val="0"/>
                <w:sz w:val="20"/>
                <w:szCs w:val="20"/>
                <w:highlight w:val="none"/>
                <w:lang w:val="en-US" w:eastAsia="zh-CN" w:bidi="ar"/>
              </w:rPr>
              <w:t>20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kern w:val="0"/>
                <w:sz w:val="20"/>
                <w:szCs w:val="20"/>
                <w:highlight w:val="none"/>
              </w:rPr>
              <w:t>5</w:t>
            </w:r>
          </w:p>
        </w:tc>
        <w:tc>
          <w:tcPr>
            <w:tcW w:w="102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kern w:val="0"/>
                <w:sz w:val="20"/>
                <w:szCs w:val="20"/>
                <w:highlight w:val="none"/>
              </w:rPr>
              <w:t>水土保持设施验收费</w:t>
            </w:r>
          </w:p>
        </w:tc>
        <w:tc>
          <w:tcPr>
            <w:tcW w:w="242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0"/>
                <w:szCs w:val="20"/>
                <w:highlight w:val="none"/>
              </w:rPr>
            </w:pPr>
            <w:r>
              <w:rPr>
                <w:rFonts w:hint="default" w:ascii="Times New Roman" w:hAnsi="Times New Roman" w:eastAsia="仿宋_GB2312" w:cs="Times New Roman"/>
                <w:kern w:val="0"/>
                <w:sz w:val="20"/>
                <w:szCs w:val="20"/>
                <w:highlight w:val="none"/>
              </w:rPr>
              <w:t>按《关于进一步放开建设项目专业服务价格的通知》（国家发展改革委发改价格〔2015〕299号），参考市场价格计列。</w:t>
            </w:r>
          </w:p>
        </w:tc>
        <w:tc>
          <w:tcPr>
            <w:tcW w:w="91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0"/>
                <w:szCs w:val="20"/>
                <w:highlight w:val="none"/>
                <w:lang w:val="en-US" w:eastAsia="zh-CN"/>
              </w:rPr>
            </w:pPr>
            <w:r>
              <w:rPr>
                <w:rFonts w:hint="eastAsia" w:eastAsia="仿宋_GB2312" w:cs="Times New Roman"/>
                <w:color w:val="000000"/>
                <w:kern w:val="0"/>
                <w:sz w:val="20"/>
                <w:szCs w:val="20"/>
                <w:highlight w:val="none"/>
                <w:lang w:val="en-US" w:eastAsia="zh-CN" w:bidi="ar"/>
              </w:rPr>
              <w:t>18</w:t>
            </w:r>
          </w:p>
        </w:tc>
      </w:tr>
    </w:tbl>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val="0"/>
          <w:bCs w:val="0"/>
          <w:sz w:val="21"/>
          <w:szCs w:val="21"/>
          <w:highlight w:val="none"/>
        </w:rPr>
      </w:pP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val="0"/>
          <w:bCs w:val="0"/>
          <w:sz w:val="21"/>
          <w:szCs w:val="21"/>
          <w:highlight w:val="none"/>
        </w:rPr>
      </w:pPr>
      <w:r>
        <w:rPr>
          <w:rFonts w:hint="default" w:ascii="Times New Roman" w:hAnsi="Times New Roman" w:eastAsia="微软雅黑" w:cs="Times New Roman"/>
          <w:b w:val="0"/>
          <w:bCs w:val="0"/>
          <w:sz w:val="21"/>
          <w:szCs w:val="21"/>
          <w:highlight w:val="none"/>
        </w:rPr>
        <w:t>表7-7</w:t>
      </w:r>
      <w:r>
        <w:rPr>
          <w:rFonts w:hint="default" w:ascii="Times New Roman" w:hAnsi="Times New Roman" w:eastAsia="微软雅黑" w:cs="Times New Roman"/>
          <w:b w:val="0"/>
          <w:bCs w:val="0"/>
          <w:sz w:val="21"/>
          <w:szCs w:val="21"/>
          <w:highlight w:val="none"/>
          <w:lang w:val="en-US" w:eastAsia="zh-CN"/>
        </w:rPr>
        <w:t xml:space="preserve">  </w:t>
      </w:r>
      <w:r>
        <w:rPr>
          <w:rFonts w:hint="default" w:ascii="Times New Roman" w:hAnsi="Times New Roman" w:eastAsia="微软雅黑" w:cs="Times New Roman"/>
          <w:b w:val="0"/>
          <w:bCs w:val="0"/>
          <w:sz w:val="21"/>
          <w:szCs w:val="21"/>
          <w:highlight w:val="none"/>
        </w:rPr>
        <w:t>水土保持监测费</w:t>
      </w:r>
    </w:p>
    <w:tbl>
      <w:tblPr>
        <w:tblStyle w:val="88"/>
        <w:tblW w:w="4998" w:type="pct"/>
        <w:jc w:val="center"/>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947"/>
        <w:gridCol w:w="2769"/>
        <w:gridCol w:w="1097"/>
        <w:gridCol w:w="1254"/>
        <w:gridCol w:w="1046"/>
        <w:gridCol w:w="1413"/>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rPr>
                <w:rFonts w:hint="default" w:ascii="Times New Roman" w:hAnsi="Times New Roman" w:eastAsia="仿宋_GB2312" w:cs="Times New Roman"/>
                <w:b/>
                <w:bCs/>
                <w:kern w:val="0"/>
                <w:sz w:val="21"/>
                <w:szCs w:val="21"/>
                <w:highlight w:val="none"/>
              </w:rPr>
            </w:pPr>
            <w:r>
              <w:rPr>
                <w:rFonts w:hint="default" w:ascii="Times New Roman" w:hAnsi="Times New Roman" w:eastAsia="仿宋_GB2312" w:cs="Times New Roman"/>
                <w:b/>
                <w:bCs/>
                <w:kern w:val="0"/>
                <w:sz w:val="21"/>
                <w:szCs w:val="21"/>
                <w:highlight w:val="none"/>
              </w:rPr>
              <w:t>序号</w:t>
            </w:r>
          </w:p>
        </w:tc>
        <w:tc>
          <w:tcPr>
            <w:tcW w:w="162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rPr>
                <w:rFonts w:hint="default" w:ascii="Times New Roman" w:hAnsi="Times New Roman" w:eastAsia="仿宋_GB2312" w:cs="Times New Roman"/>
                <w:b/>
                <w:bCs/>
                <w:kern w:val="0"/>
                <w:sz w:val="21"/>
                <w:szCs w:val="21"/>
                <w:highlight w:val="none"/>
              </w:rPr>
            </w:pPr>
            <w:r>
              <w:rPr>
                <w:rFonts w:hint="default" w:ascii="Times New Roman" w:hAnsi="Times New Roman" w:eastAsia="仿宋_GB2312" w:cs="Times New Roman"/>
                <w:b/>
                <w:bCs/>
                <w:kern w:val="0"/>
                <w:sz w:val="21"/>
                <w:szCs w:val="21"/>
                <w:highlight w:val="none"/>
              </w:rPr>
              <w:t>监测设施与设备</w:t>
            </w:r>
          </w:p>
        </w:tc>
        <w:tc>
          <w:tcPr>
            <w:tcW w:w="6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rPr>
                <w:rFonts w:hint="default" w:ascii="Times New Roman" w:hAnsi="Times New Roman" w:eastAsia="仿宋_GB2312" w:cs="Times New Roman"/>
                <w:b/>
                <w:bCs/>
                <w:kern w:val="0"/>
                <w:sz w:val="21"/>
                <w:szCs w:val="21"/>
                <w:highlight w:val="none"/>
              </w:rPr>
            </w:pPr>
            <w:r>
              <w:rPr>
                <w:rFonts w:hint="default" w:ascii="Times New Roman" w:hAnsi="Times New Roman" w:eastAsia="仿宋_GB2312" w:cs="Times New Roman"/>
                <w:b/>
                <w:bCs/>
                <w:kern w:val="0"/>
                <w:sz w:val="21"/>
                <w:szCs w:val="21"/>
                <w:highlight w:val="none"/>
              </w:rPr>
              <w:t>单位</w:t>
            </w:r>
          </w:p>
        </w:tc>
        <w:tc>
          <w:tcPr>
            <w:tcW w:w="73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rPr>
                <w:rFonts w:hint="default" w:ascii="Times New Roman" w:hAnsi="Times New Roman" w:eastAsia="仿宋_GB2312" w:cs="Times New Roman"/>
                <w:b/>
                <w:bCs/>
                <w:kern w:val="0"/>
                <w:sz w:val="21"/>
                <w:szCs w:val="21"/>
                <w:highlight w:val="none"/>
              </w:rPr>
            </w:pPr>
            <w:r>
              <w:rPr>
                <w:rFonts w:hint="default" w:ascii="Times New Roman" w:hAnsi="Times New Roman" w:eastAsia="仿宋_GB2312" w:cs="Times New Roman"/>
                <w:b/>
                <w:bCs/>
                <w:kern w:val="0"/>
                <w:sz w:val="21"/>
                <w:szCs w:val="21"/>
                <w:highlight w:val="none"/>
              </w:rPr>
              <w:t>数量</w:t>
            </w:r>
          </w:p>
        </w:tc>
        <w:tc>
          <w:tcPr>
            <w:tcW w:w="61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rPr>
                <w:rFonts w:hint="default" w:ascii="Times New Roman" w:hAnsi="Times New Roman" w:eastAsia="仿宋_GB2312" w:cs="Times New Roman"/>
                <w:b/>
                <w:bCs/>
                <w:kern w:val="0"/>
                <w:sz w:val="21"/>
                <w:szCs w:val="21"/>
                <w:highlight w:val="none"/>
              </w:rPr>
            </w:pPr>
            <w:r>
              <w:rPr>
                <w:rFonts w:hint="default" w:ascii="Times New Roman" w:hAnsi="Times New Roman" w:eastAsia="仿宋_GB2312" w:cs="Times New Roman"/>
                <w:b/>
                <w:bCs/>
                <w:kern w:val="0"/>
                <w:sz w:val="21"/>
                <w:szCs w:val="21"/>
                <w:highlight w:val="none"/>
              </w:rPr>
              <w:t>单价(元)</w:t>
            </w:r>
          </w:p>
        </w:tc>
        <w:tc>
          <w:tcPr>
            <w:tcW w:w="82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rPr>
                <w:rFonts w:hint="default" w:ascii="Times New Roman" w:hAnsi="Times New Roman" w:eastAsia="仿宋_GB2312" w:cs="Times New Roman"/>
                <w:b/>
                <w:bCs/>
                <w:kern w:val="0"/>
                <w:sz w:val="21"/>
                <w:szCs w:val="21"/>
                <w:highlight w:val="none"/>
              </w:rPr>
            </w:pPr>
            <w:r>
              <w:rPr>
                <w:rFonts w:hint="default" w:ascii="Times New Roman" w:hAnsi="Times New Roman" w:eastAsia="仿宋_GB2312" w:cs="Times New Roman"/>
                <w:b/>
                <w:bCs/>
                <w:kern w:val="0"/>
                <w:sz w:val="21"/>
                <w:szCs w:val="21"/>
                <w:highlight w:val="none"/>
              </w:rPr>
              <w:t>投资(元)</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rPr>
                <w:rFonts w:hint="default" w:ascii="Times New Roman" w:hAnsi="Times New Roman" w:eastAsia="仿宋_GB2312" w:cs="Times New Roman"/>
                <w:b/>
                <w:bCs/>
                <w:kern w:val="0"/>
                <w:sz w:val="21"/>
                <w:szCs w:val="21"/>
                <w:highlight w:val="none"/>
              </w:rPr>
            </w:pPr>
          </w:p>
        </w:tc>
        <w:tc>
          <w:tcPr>
            <w:tcW w:w="162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rPr>
                <w:rFonts w:hint="default" w:ascii="Times New Roman" w:hAnsi="Times New Roman" w:eastAsia="仿宋_GB2312" w:cs="Times New Roman"/>
                <w:b/>
                <w:bCs/>
                <w:kern w:val="0"/>
                <w:sz w:val="21"/>
                <w:szCs w:val="21"/>
                <w:highlight w:val="none"/>
              </w:rPr>
            </w:pPr>
            <w:r>
              <w:rPr>
                <w:rFonts w:hint="default" w:ascii="Times New Roman" w:hAnsi="Times New Roman" w:eastAsia="仿宋_GB2312" w:cs="Times New Roman"/>
                <w:b/>
                <w:bCs/>
                <w:kern w:val="0"/>
                <w:sz w:val="21"/>
                <w:szCs w:val="21"/>
                <w:highlight w:val="none"/>
              </w:rPr>
              <w:t>合计</w:t>
            </w:r>
          </w:p>
        </w:tc>
        <w:tc>
          <w:tcPr>
            <w:tcW w:w="6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rPr>
                <w:rFonts w:hint="default" w:ascii="Times New Roman" w:hAnsi="Times New Roman" w:eastAsia="仿宋_GB2312" w:cs="Times New Roman"/>
                <w:b/>
                <w:bCs/>
                <w:kern w:val="0"/>
                <w:sz w:val="21"/>
                <w:szCs w:val="21"/>
                <w:highlight w:val="none"/>
              </w:rPr>
            </w:pPr>
          </w:p>
        </w:tc>
        <w:tc>
          <w:tcPr>
            <w:tcW w:w="73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jc w:val="center"/>
              <w:rPr>
                <w:rFonts w:hint="default" w:ascii="Times New Roman" w:hAnsi="Times New Roman" w:eastAsia="仿宋_GB2312" w:cs="Times New Roman"/>
                <w:b/>
                <w:bCs/>
                <w:sz w:val="21"/>
                <w:szCs w:val="21"/>
                <w:highlight w:val="none"/>
              </w:rPr>
            </w:pPr>
          </w:p>
        </w:tc>
        <w:tc>
          <w:tcPr>
            <w:tcW w:w="613"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jc w:val="center"/>
              <w:rPr>
                <w:rFonts w:hint="default" w:ascii="Times New Roman" w:hAnsi="Times New Roman" w:eastAsia="仿宋_GB2312" w:cs="Times New Roman"/>
                <w:b/>
                <w:bCs/>
                <w:sz w:val="21"/>
                <w:szCs w:val="21"/>
                <w:highlight w:val="none"/>
              </w:rPr>
            </w:pPr>
          </w:p>
        </w:tc>
        <w:tc>
          <w:tcPr>
            <w:tcW w:w="82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default" w:ascii="Times New Roman" w:hAnsi="Times New Roman" w:eastAsia="仿宋_GB2312" w:cs="Times New Roman"/>
                <w:kern w:val="0"/>
                <w:sz w:val="21"/>
                <w:szCs w:val="21"/>
                <w:highlight w:val="none"/>
                <w:lang w:val="en-US" w:eastAsia="zh-CN" w:bidi="ar"/>
              </w:rPr>
            </w:pPr>
            <w:r>
              <w:rPr>
                <w:rFonts w:hint="eastAsia" w:eastAsia="仿宋_GB2312" w:cs="Times New Roman"/>
                <w:b/>
                <w:bCs/>
                <w:kern w:val="0"/>
                <w:sz w:val="21"/>
                <w:szCs w:val="21"/>
                <w:highlight w:val="none"/>
                <w:lang w:val="en-US" w:eastAsia="zh-CN" w:bidi="ar"/>
              </w:rPr>
              <w:t>156157</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rPr>
                <w:rFonts w:hint="default" w:ascii="Times New Roman" w:hAnsi="Times New Roman" w:eastAsia="仿宋_GB2312" w:cs="Times New Roman"/>
                <w:b/>
                <w:bCs/>
                <w:kern w:val="0"/>
                <w:sz w:val="21"/>
                <w:szCs w:val="21"/>
                <w:highlight w:val="none"/>
              </w:rPr>
            </w:pPr>
            <w:r>
              <w:rPr>
                <w:rFonts w:hint="default" w:ascii="Times New Roman" w:hAnsi="Times New Roman" w:eastAsia="仿宋_GB2312" w:cs="Times New Roman"/>
                <w:b/>
                <w:bCs/>
                <w:kern w:val="0"/>
                <w:sz w:val="21"/>
                <w:szCs w:val="21"/>
                <w:highlight w:val="none"/>
              </w:rPr>
              <w:t>一</w:t>
            </w:r>
          </w:p>
        </w:tc>
        <w:tc>
          <w:tcPr>
            <w:tcW w:w="162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rPr>
                <w:rFonts w:hint="default" w:ascii="Times New Roman" w:hAnsi="Times New Roman" w:eastAsia="仿宋_GB2312" w:cs="Times New Roman"/>
                <w:b/>
                <w:bCs/>
                <w:kern w:val="0"/>
                <w:sz w:val="21"/>
                <w:szCs w:val="21"/>
                <w:highlight w:val="none"/>
              </w:rPr>
            </w:pPr>
            <w:r>
              <w:rPr>
                <w:rFonts w:hint="default" w:ascii="Times New Roman" w:hAnsi="Times New Roman" w:eastAsia="仿宋_GB2312" w:cs="Times New Roman"/>
                <w:b/>
                <w:bCs/>
                <w:kern w:val="0"/>
                <w:sz w:val="21"/>
                <w:szCs w:val="21"/>
                <w:highlight w:val="none"/>
              </w:rPr>
              <w:t>人工费</w:t>
            </w:r>
          </w:p>
        </w:tc>
        <w:tc>
          <w:tcPr>
            <w:tcW w:w="6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rPr>
                <w:rFonts w:hint="default" w:ascii="Times New Roman" w:hAnsi="Times New Roman" w:eastAsia="仿宋_GB2312" w:cs="Times New Roman"/>
                <w:b/>
                <w:bCs/>
                <w:kern w:val="0"/>
                <w:sz w:val="21"/>
                <w:szCs w:val="21"/>
                <w:highlight w:val="none"/>
              </w:rPr>
            </w:pPr>
          </w:p>
        </w:tc>
        <w:tc>
          <w:tcPr>
            <w:tcW w:w="73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default" w:ascii="Times New Roman" w:hAnsi="Times New Roman" w:eastAsia="仿宋_GB2312" w:cs="Times New Roman"/>
                <w:kern w:val="0"/>
                <w:sz w:val="21"/>
                <w:szCs w:val="21"/>
                <w:highlight w:val="none"/>
                <w:lang w:bidi="ar"/>
              </w:rPr>
            </w:pPr>
          </w:p>
        </w:tc>
        <w:tc>
          <w:tcPr>
            <w:tcW w:w="61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default" w:ascii="Times New Roman" w:hAnsi="Times New Roman" w:eastAsia="仿宋_GB2312" w:cs="Times New Roman"/>
                <w:kern w:val="0"/>
                <w:sz w:val="21"/>
                <w:szCs w:val="21"/>
                <w:highlight w:val="none"/>
                <w:lang w:bidi="ar"/>
              </w:rPr>
            </w:pPr>
          </w:p>
        </w:tc>
        <w:tc>
          <w:tcPr>
            <w:tcW w:w="82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default" w:ascii="Times New Roman" w:hAnsi="Times New Roman" w:eastAsia="仿宋_GB2312" w:cs="Times New Roman"/>
                <w:kern w:val="0"/>
                <w:sz w:val="21"/>
                <w:szCs w:val="21"/>
                <w:highlight w:val="none"/>
                <w:lang w:val="en-US" w:eastAsia="zh-CN" w:bidi="ar"/>
              </w:rPr>
            </w:pPr>
            <w:r>
              <w:rPr>
                <w:rFonts w:hint="eastAsia" w:ascii="Times New Roman" w:hAnsi="Times New Roman" w:eastAsia="仿宋_GB2312" w:cs="Times New Roman"/>
                <w:kern w:val="0"/>
                <w:sz w:val="21"/>
                <w:szCs w:val="21"/>
                <w:highlight w:val="none"/>
                <w:lang w:val="en-US" w:eastAsia="zh-CN" w:bidi="ar"/>
              </w:rPr>
              <w:t>143200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rPr>
                <w:rFonts w:hint="default" w:ascii="Times New Roman" w:hAnsi="Times New Roman" w:eastAsia="仿宋_GB2312" w:cs="Times New Roman"/>
                <w:kern w:val="0"/>
                <w:sz w:val="21"/>
                <w:szCs w:val="21"/>
                <w:highlight w:val="none"/>
              </w:rPr>
            </w:pPr>
          </w:p>
        </w:tc>
        <w:tc>
          <w:tcPr>
            <w:tcW w:w="162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监测人工费</w:t>
            </w:r>
          </w:p>
        </w:tc>
        <w:tc>
          <w:tcPr>
            <w:tcW w:w="6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工日</w:t>
            </w:r>
          </w:p>
        </w:tc>
        <w:tc>
          <w:tcPr>
            <w:tcW w:w="73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default" w:ascii="Times New Roman" w:hAnsi="Times New Roman" w:eastAsia="仿宋_GB2312" w:cs="Times New Roman"/>
                <w:kern w:val="0"/>
                <w:sz w:val="21"/>
                <w:szCs w:val="21"/>
                <w:highlight w:val="none"/>
                <w:lang w:val="en-US" w:eastAsia="zh-CN" w:bidi="ar"/>
              </w:rPr>
            </w:pPr>
            <w:r>
              <w:rPr>
                <w:rFonts w:hint="eastAsia" w:eastAsia="仿宋_GB2312" w:cs="Times New Roman"/>
                <w:kern w:val="0"/>
                <w:sz w:val="21"/>
                <w:szCs w:val="21"/>
                <w:highlight w:val="none"/>
                <w:lang w:val="en-US" w:eastAsia="zh-CN" w:bidi="ar"/>
              </w:rPr>
              <w:t>265</w:t>
            </w:r>
          </w:p>
        </w:tc>
        <w:tc>
          <w:tcPr>
            <w:tcW w:w="61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default" w:ascii="Times New Roman" w:hAnsi="Times New Roman" w:eastAsia="仿宋_GB2312" w:cs="Times New Roman"/>
                <w:kern w:val="0"/>
                <w:sz w:val="21"/>
                <w:szCs w:val="21"/>
                <w:highlight w:val="none"/>
                <w:lang w:bidi="ar"/>
              </w:rPr>
            </w:pPr>
          </w:p>
        </w:tc>
        <w:tc>
          <w:tcPr>
            <w:tcW w:w="14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default" w:ascii="Times New Roman" w:hAnsi="Times New Roman" w:eastAsia="仿宋_GB2312" w:cs="Times New Roman"/>
                <w:kern w:val="0"/>
                <w:sz w:val="21"/>
                <w:szCs w:val="21"/>
                <w:highlight w:val="none"/>
                <w:lang w:val="en-US" w:eastAsia="zh-CN" w:bidi="ar"/>
              </w:rPr>
            </w:pPr>
            <w:r>
              <w:rPr>
                <w:rFonts w:hint="eastAsia" w:ascii="Times New Roman" w:hAnsi="Times New Roman" w:eastAsia="仿宋_GB2312" w:cs="Times New Roman"/>
                <w:kern w:val="0"/>
                <w:sz w:val="21"/>
                <w:szCs w:val="21"/>
                <w:highlight w:val="none"/>
                <w:lang w:val="en-US" w:eastAsia="zh-CN" w:bidi="ar"/>
              </w:rPr>
              <w:t>143200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rPr>
                <w:rFonts w:hint="default" w:ascii="Times New Roman" w:hAnsi="Times New Roman" w:eastAsia="仿宋_GB2312" w:cs="Times New Roman"/>
                <w:kern w:val="0"/>
                <w:sz w:val="21"/>
                <w:szCs w:val="21"/>
                <w:highlight w:val="none"/>
              </w:rPr>
            </w:pPr>
          </w:p>
        </w:tc>
        <w:tc>
          <w:tcPr>
            <w:tcW w:w="162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内业</w:t>
            </w:r>
          </w:p>
        </w:tc>
        <w:tc>
          <w:tcPr>
            <w:tcW w:w="6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工日</w:t>
            </w:r>
          </w:p>
        </w:tc>
        <w:tc>
          <w:tcPr>
            <w:tcW w:w="73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default" w:ascii="Times New Roman" w:hAnsi="Times New Roman" w:eastAsia="仿宋_GB2312" w:cs="Times New Roman"/>
                <w:kern w:val="0"/>
                <w:sz w:val="21"/>
                <w:szCs w:val="21"/>
                <w:highlight w:val="none"/>
                <w:lang w:val="en-US" w:eastAsia="zh-CN" w:bidi="ar"/>
              </w:rPr>
            </w:pPr>
            <w:r>
              <w:rPr>
                <w:rFonts w:hint="default" w:ascii="Times New Roman" w:hAnsi="Times New Roman" w:eastAsia="仿宋_GB2312" w:cs="Times New Roman"/>
                <w:kern w:val="0"/>
                <w:sz w:val="21"/>
                <w:szCs w:val="21"/>
                <w:highlight w:val="none"/>
                <w:lang w:val="en-US" w:eastAsia="zh-CN" w:bidi="ar"/>
              </w:rPr>
              <w:t>79</w:t>
            </w:r>
          </w:p>
        </w:tc>
        <w:tc>
          <w:tcPr>
            <w:tcW w:w="61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default" w:ascii="Times New Roman" w:hAnsi="Times New Roman" w:eastAsia="仿宋_GB2312" w:cs="Times New Roman"/>
                <w:kern w:val="0"/>
                <w:sz w:val="21"/>
                <w:szCs w:val="21"/>
                <w:highlight w:val="none"/>
                <w:lang w:bidi="ar"/>
              </w:rPr>
            </w:pPr>
            <w:r>
              <w:rPr>
                <w:rFonts w:hint="default" w:ascii="Times New Roman" w:hAnsi="Times New Roman" w:eastAsia="仿宋_GB2312" w:cs="Times New Roman"/>
                <w:kern w:val="0"/>
                <w:sz w:val="21"/>
                <w:szCs w:val="21"/>
                <w:highlight w:val="none"/>
                <w:lang w:bidi="ar"/>
              </w:rPr>
              <w:t>400</w:t>
            </w:r>
          </w:p>
        </w:tc>
        <w:tc>
          <w:tcPr>
            <w:tcW w:w="14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default" w:ascii="Times New Roman" w:hAnsi="Times New Roman" w:eastAsia="仿宋_GB2312" w:cs="Times New Roman"/>
                <w:kern w:val="0"/>
                <w:sz w:val="21"/>
                <w:szCs w:val="21"/>
                <w:highlight w:val="none"/>
                <w:lang w:val="en-US" w:eastAsia="zh-CN" w:bidi="ar"/>
              </w:rPr>
            </w:pPr>
            <w:r>
              <w:rPr>
                <w:rFonts w:hint="eastAsia" w:ascii="Times New Roman" w:hAnsi="Times New Roman" w:eastAsia="仿宋_GB2312" w:cs="Times New Roman"/>
                <w:kern w:val="0"/>
                <w:sz w:val="21"/>
                <w:szCs w:val="21"/>
                <w:highlight w:val="none"/>
                <w:lang w:val="en-US" w:eastAsia="zh-CN" w:bidi="ar"/>
              </w:rPr>
              <w:t>31600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rPr>
                <w:rFonts w:hint="default" w:ascii="Times New Roman" w:hAnsi="Times New Roman" w:eastAsia="仿宋_GB2312" w:cs="Times New Roman"/>
                <w:kern w:val="0"/>
                <w:sz w:val="21"/>
                <w:szCs w:val="21"/>
                <w:highlight w:val="none"/>
              </w:rPr>
            </w:pPr>
          </w:p>
        </w:tc>
        <w:tc>
          <w:tcPr>
            <w:tcW w:w="162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外业</w:t>
            </w:r>
          </w:p>
        </w:tc>
        <w:tc>
          <w:tcPr>
            <w:tcW w:w="6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工日</w:t>
            </w:r>
          </w:p>
        </w:tc>
        <w:tc>
          <w:tcPr>
            <w:tcW w:w="73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default" w:ascii="Times New Roman" w:hAnsi="Times New Roman" w:eastAsia="仿宋_GB2312" w:cs="Times New Roman"/>
                <w:kern w:val="0"/>
                <w:sz w:val="21"/>
                <w:szCs w:val="21"/>
                <w:highlight w:val="none"/>
                <w:lang w:val="en-US" w:eastAsia="zh-CN" w:bidi="ar"/>
              </w:rPr>
            </w:pPr>
            <w:r>
              <w:rPr>
                <w:rFonts w:hint="eastAsia" w:eastAsia="仿宋_GB2312" w:cs="Times New Roman"/>
                <w:kern w:val="0"/>
                <w:sz w:val="21"/>
                <w:szCs w:val="21"/>
                <w:highlight w:val="none"/>
                <w:lang w:val="en-US" w:eastAsia="zh-CN" w:bidi="ar"/>
              </w:rPr>
              <w:t>186</w:t>
            </w:r>
          </w:p>
        </w:tc>
        <w:tc>
          <w:tcPr>
            <w:tcW w:w="61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default" w:ascii="Times New Roman" w:hAnsi="Times New Roman" w:eastAsia="仿宋_GB2312" w:cs="Times New Roman"/>
                <w:kern w:val="0"/>
                <w:sz w:val="21"/>
                <w:szCs w:val="21"/>
                <w:highlight w:val="none"/>
                <w:lang w:bidi="ar"/>
              </w:rPr>
            </w:pPr>
            <w:r>
              <w:rPr>
                <w:rFonts w:hint="default" w:ascii="Times New Roman" w:hAnsi="Times New Roman" w:eastAsia="仿宋_GB2312" w:cs="Times New Roman"/>
                <w:kern w:val="0"/>
                <w:sz w:val="21"/>
                <w:szCs w:val="21"/>
                <w:highlight w:val="none"/>
                <w:lang w:bidi="ar"/>
              </w:rPr>
              <w:t>600</w:t>
            </w:r>
          </w:p>
        </w:tc>
        <w:tc>
          <w:tcPr>
            <w:tcW w:w="14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default" w:ascii="Times New Roman" w:hAnsi="Times New Roman" w:eastAsia="仿宋_GB2312" w:cs="Times New Roman"/>
                <w:kern w:val="0"/>
                <w:sz w:val="21"/>
                <w:szCs w:val="21"/>
                <w:highlight w:val="none"/>
                <w:lang w:val="en-US" w:eastAsia="zh-CN" w:bidi="ar"/>
              </w:rPr>
            </w:pPr>
            <w:r>
              <w:rPr>
                <w:rFonts w:hint="eastAsia" w:ascii="Times New Roman" w:hAnsi="Times New Roman" w:eastAsia="仿宋_GB2312" w:cs="Times New Roman"/>
                <w:kern w:val="0"/>
                <w:sz w:val="21"/>
                <w:szCs w:val="21"/>
                <w:highlight w:val="none"/>
                <w:lang w:val="en-US" w:eastAsia="zh-CN" w:bidi="ar"/>
              </w:rPr>
              <w:t>111600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b/>
                <w:bCs/>
                <w:sz w:val="21"/>
                <w:szCs w:val="21"/>
                <w:lang w:val="en-US" w:eastAsia="zh-CN"/>
              </w:rPr>
            </w:pPr>
            <w:r>
              <w:rPr>
                <w:rFonts w:hint="default" w:ascii="Times New Roman" w:hAnsi="Times New Roman" w:eastAsia="仿宋_GB2312" w:cs="Times New Roman"/>
                <w:b/>
                <w:bCs/>
                <w:spacing w:val="101"/>
                <w:position w:val="1"/>
                <w:sz w:val="21"/>
                <w:szCs w:val="21"/>
              </w:rPr>
              <w:t>一</w:t>
            </w:r>
          </w:p>
        </w:tc>
        <w:tc>
          <w:tcPr>
            <w:tcW w:w="16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b/>
                <w:bCs/>
                <w:sz w:val="21"/>
                <w:szCs w:val="21"/>
                <w:lang w:val="en-US" w:eastAsia="zh-CN"/>
              </w:rPr>
            </w:pPr>
            <w:r>
              <w:rPr>
                <w:rFonts w:hint="default" w:ascii="Times New Roman" w:hAnsi="Times New Roman" w:eastAsia="仿宋_GB2312" w:cs="Times New Roman"/>
                <w:b/>
                <w:bCs/>
                <w:spacing w:val="6"/>
                <w:sz w:val="21"/>
                <w:szCs w:val="21"/>
              </w:rPr>
              <w:t>消耗性材料</w:t>
            </w:r>
          </w:p>
        </w:tc>
        <w:tc>
          <w:tcPr>
            <w:tcW w:w="6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b/>
                <w:bCs/>
                <w:kern w:val="0"/>
                <w:sz w:val="21"/>
                <w:szCs w:val="21"/>
                <w:highlight w:val="none"/>
              </w:rPr>
            </w:pPr>
          </w:p>
        </w:tc>
        <w:tc>
          <w:tcPr>
            <w:tcW w:w="7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b/>
                <w:bCs/>
                <w:sz w:val="21"/>
                <w:szCs w:val="21"/>
                <w:highlight w:val="none"/>
              </w:rPr>
            </w:pPr>
          </w:p>
        </w:tc>
        <w:tc>
          <w:tcPr>
            <w:tcW w:w="613" w:type="pct"/>
            <w:tcBorders>
              <w:tl2br w:val="nil"/>
              <w:tr2bl w:val="nil"/>
            </w:tcBorders>
            <w:noWrap/>
            <w:vAlign w:val="center"/>
          </w:tcPr>
          <w:p>
            <w:pPr>
              <w:keepNext w:val="0"/>
              <w:keepLines w:val="0"/>
              <w:pageBreakBefore w:val="0"/>
              <w:kinsoku/>
              <w:wordWrap/>
              <w:overflowPunct/>
              <w:topLinePunct w:val="0"/>
              <w:autoSpaceDE/>
              <w:autoSpaceDN/>
              <w:bidi w:val="0"/>
              <w:adjustRightInd/>
              <w:snapToGrid w:val="0"/>
              <w:spacing w:line="240" w:lineRule="auto"/>
              <w:ind w:left="0"/>
              <w:jc w:val="center"/>
              <w:rPr>
                <w:rFonts w:hint="default" w:ascii="Times New Roman" w:hAnsi="Times New Roman" w:eastAsia="仿宋_GB2312" w:cs="Times New Roman"/>
                <w:b/>
                <w:bCs/>
                <w:sz w:val="21"/>
                <w:szCs w:val="21"/>
                <w:highlight w:val="none"/>
              </w:rPr>
            </w:pPr>
          </w:p>
        </w:tc>
        <w:tc>
          <w:tcPr>
            <w:tcW w:w="82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default" w:ascii="Times New Roman" w:hAnsi="Times New Roman" w:eastAsia="仿宋_GB2312" w:cs="Times New Roman"/>
                <w:kern w:val="0"/>
                <w:sz w:val="21"/>
                <w:szCs w:val="21"/>
                <w:highlight w:val="none"/>
                <w:lang w:val="en-US" w:eastAsia="zh-CN" w:bidi="ar"/>
              </w:rPr>
            </w:pPr>
            <w:r>
              <w:rPr>
                <w:rFonts w:hint="eastAsia" w:eastAsia="仿宋_GB2312" w:cs="Times New Roman"/>
                <w:kern w:val="0"/>
                <w:sz w:val="21"/>
                <w:szCs w:val="21"/>
                <w:highlight w:val="none"/>
                <w:lang w:val="en-US" w:eastAsia="zh-CN" w:bidi="ar"/>
              </w:rPr>
              <w:t>3685</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sz w:val="21"/>
                <w:szCs w:val="21"/>
              </w:rPr>
              <w:t>1</w:t>
            </w:r>
          </w:p>
        </w:tc>
        <w:tc>
          <w:tcPr>
            <w:tcW w:w="16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spacing w:val="8"/>
                <w:sz w:val="21"/>
                <w:szCs w:val="21"/>
              </w:rPr>
              <w:t>取</w:t>
            </w:r>
            <w:r>
              <w:rPr>
                <w:rFonts w:hint="default" w:ascii="Times New Roman" w:hAnsi="Times New Roman" w:eastAsia="仿宋_GB2312" w:cs="Times New Roman"/>
                <w:spacing w:val="7"/>
                <w:sz w:val="21"/>
                <w:szCs w:val="21"/>
              </w:rPr>
              <w:t>样玻璃仪器</w:t>
            </w:r>
          </w:p>
        </w:tc>
        <w:tc>
          <w:tcPr>
            <w:tcW w:w="6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0"/>
                <w:sz w:val="21"/>
                <w:szCs w:val="21"/>
                <w:highlight w:val="none"/>
                <w:lang w:eastAsia="zh-CN"/>
              </w:rPr>
            </w:pPr>
            <w:r>
              <w:rPr>
                <w:rFonts w:hint="default" w:ascii="Times New Roman" w:hAnsi="Times New Roman" w:eastAsia="仿宋_GB2312" w:cs="Times New Roman"/>
                <w:sz w:val="21"/>
                <w:szCs w:val="21"/>
                <w:lang w:val="en-US" w:eastAsia="zh-CN"/>
              </w:rPr>
              <w:t>套</w:t>
            </w:r>
          </w:p>
        </w:tc>
        <w:tc>
          <w:tcPr>
            <w:tcW w:w="7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spacing w:val="1"/>
                <w:sz w:val="21"/>
                <w:szCs w:val="21"/>
                <w:lang w:val="en-US" w:eastAsia="zh-CN"/>
              </w:rPr>
              <w:t>1</w:t>
            </w:r>
          </w:p>
        </w:tc>
        <w:tc>
          <w:tcPr>
            <w:tcW w:w="613" w:type="pct"/>
            <w:tcBorders>
              <w:tl2br w:val="nil"/>
              <w:tr2bl w:val="nil"/>
            </w:tcBorders>
            <w:noWrap/>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仿宋_GB2312" w:cs="Times New Roman"/>
                <w:sz w:val="21"/>
                <w:szCs w:val="21"/>
                <w:highlight w:val="none"/>
                <w:lang w:val="en-US" w:eastAsia="zh-CN"/>
              </w:rPr>
            </w:pPr>
            <w:r>
              <w:rPr>
                <w:rFonts w:hint="default" w:ascii="Times New Roman" w:hAnsi="Times New Roman" w:eastAsia="仿宋_GB2312" w:cs="Times New Roman"/>
                <w:sz w:val="21"/>
                <w:szCs w:val="21"/>
                <w:highlight w:val="none"/>
                <w:lang w:val="en-US" w:eastAsia="zh-CN"/>
              </w:rPr>
              <w:t>260</w:t>
            </w:r>
          </w:p>
        </w:tc>
        <w:tc>
          <w:tcPr>
            <w:tcW w:w="82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default" w:ascii="Times New Roman" w:hAnsi="Times New Roman" w:eastAsia="仿宋_GB2312" w:cs="Times New Roman"/>
                <w:kern w:val="0"/>
                <w:sz w:val="21"/>
                <w:szCs w:val="21"/>
                <w:highlight w:val="none"/>
                <w:lang w:val="en-US" w:eastAsia="zh-CN" w:bidi="ar"/>
              </w:rPr>
            </w:pPr>
            <w:r>
              <w:rPr>
                <w:rFonts w:hint="default" w:ascii="Times New Roman" w:hAnsi="Times New Roman" w:eastAsia="仿宋_GB2312" w:cs="Times New Roman"/>
                <w:kern w:val="0"/>
                <w:sz w:val="21"/>
                <w:szCs w:val="21"/>
                <w:highlight w:val="none"/>
                <w:lang w:val="en-US" w:eastAsia="zh-CN" w:bidi="ar"/>
              </w:rPr>
              <w:t>260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sz w:val="21"/>
                <w:szCs w:val="21"/>
              </w:rPr>
              <w:t>2</w:t>
            </w:r>
          </w:p>
        </w:tc>
        <w:tc>
          <w:tcPr>
            <w:tcW w:w="16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spacing w:val="6"/>
                <w:sz w:val="21"/>
                <w:szCs w:val="21"/>
                <w:lang w:val="en-US" w:eastAsia="zh-CN"/>
              </w:rPr>
              <w:t>蒸发皿</w:t>
            </w:r>
          </w:p>
        </w:tc>
        <w:tc>
          <w:tcPr>
            <w:tcW w:w="6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sz w:val="21"/>
                <w:szCs w:val="21"/>
                <w:lang w:val="en-US" w:eastAsia="zh-CN"/>
              </w:rPr>
              <w:t>个</w:t>
            </w:r>
          </w:p>
        </w:tc>
        <w:tc>
          <w:tcPr>
            <w:tcW w:w="7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lang w:val="en-US" w:eastAsia="zh-CN"/>
              </w:rPr>
              <w:t>1</w:t>
            </w:r>
          </w:p>
        </w:tc>
        <w:tc>
          <w:tcPr>
            <w:tcW w:w="613" w:type="pct"/>
            <w:tcBorders>
              <w:tl2br w:val="nil"/>
              <w:tr2bl w:val="nil"/>
            </w:tcBorders>
            <w:noWrap/>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仿宋_GB2312" w:cs="Times New Roman"/>
                <w:sz w:val="21"/>
                <w:szCs w:val="21"/>
                <w:highlight w:val="none"/>
                <w:lang w:val="en-US" w:eastAsia="zh-CN"/>
              </w:rPr>
            </w:pPr>
            <w:r>
              <w:rPr>
                <w:rFonts w:hint="default" w:ascii="Times New Roman" w:hAnsi="Times New Roman" w:eastAsia="仿宋_GB2312" w:cs="Times New Roman"/>
                <w:sz w:val="21"/>
                <w:szCs w:val="21"/>
                <w:highlight w:val="none"/>
                <w:lang w:val="en-US" w:eastAsia="zh-CN"/>
              </w:rPr>
              <w:t>5</w:t>
            </w:r>
          </w:p>
        </w:tc>
        <w:tc>
          <w:tcPr>
            <w:tcW w:w="82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default" w:ascii="Times New Roman" w:hAnsi="Times New Roman" w:eastAsia="仿宋_GB2312" w:cs="Times New Roman"/>
                <w:kern w:val="0"/>
                <w:sz w:val="21"/>
                <w:szCs w:val="21"/>
                <w:highlight w:val="none"/>
                <w:lang w:val="en-US" w:eastAsia="zh-CN" w:bidi="ar"/>
              </w:rPr>
            </w:pPr>
            <w:r>
              <w:rPr>
                <w:rFonts w:hint="default" w:ascii="Times New Roman" w:hAnsi="Times New Roman" w:eastAsia="仿宋_GB2312" w:cs="Times New Roman"/>
                <w:kern w:val="0"/>
                <w:sz w:val="21"/>
                <w:szCs w:val="21"/>
                <w:highlight w:val="none"/>
                <w:lang w:val="en-US" w:eastAsia="zh-CN" w:bidi="ar"/>
              </w:rPr>
              <w:t>5</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sz w:val="21"/>
                <w:szCs w:val="21"/>
              </w:rPr>
              <w:t>3</w:t>
            </w:r>
          </w:p>
        </w:tc>
        <w:tc>
          <w:tcPr>
            <w:tcW w:w="16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spacing w:val="8"/>
                <w:sz w:val="21"/>
                <w:szCs w:val="21"/>
              </w:rPr>
              <w:t>取</w:t>
            </w:r>
            <w:r>
              <w:rPr>
                <w:rFonts w:hint="default" w:ascii="Times New Roman" w:hAnsi="Times New Roman" w:eastAsia="仿宋_GB2312" w:cs="Times New Roman"/>
                <w:spacing w:val="5"/>
                <w:sz w:val="21"/>
                <w:szCs w:val="21"/>
              </w:rPr>
              <w:t>样工具</w:t>
            </w:r>
          </w:p>
        </w:tc>
        <w:tc>
          <w:tcPr>
            <w:tcW w:w="6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sz w:val="21"/>
                <w:szCs w:val="21"/>
              </w:rPr>
              <w:t>套</w:t>
            </w:r>
          </w:p>
        </w:tc>
        <w:tc>
          <w:tcPr>
            <w:tcW w:w="7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rPr>
              <w:t>1</w:t>
            </w:r>
          </w:p>
        </w:tc>
        <w:tc>
          <w:tcPr>
            <w:tcW w:w="613" w:type="pct"/>
            <w:tcBorders>
              <w:tl2br w:val="nil"/>
              <w:tr2bl w:val="nil"/>
            </w:tcBorders>
            <w:noWrap/>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仿宋_GB2312" w:cs="Times New Roman"/>
                <w:sz w:val="21"/>
                <w:szCs w:val="21"/>
                <w:highlight w:val="none"/>
                <w:lang w:val="en-US" w:eastAsia="zh-CN"/>
              </w:rPr>
            </w:pPr>
            <w:r>
              <w:rPr>
                <w:rFonts w:hint="default" w:ascii="Times New Roman" w:hAnsi="Times New Roman" w:eastAsia="仿宋_GB2312" w:cs="Times New Roman"/>
                <w:sz w:val="21"/>
                <w:szCs w:val="21"/>
                <w:highlight w:val="none"/>
                <w:lang w:val="en-US" w:eastAsia="zh-CN"/>
              </w:rPr>
              <w:t>300</w:t>
            </w:r>
          </w:p>
        </w:tc>
        <w:tc>
          <w:tcPr>
            <w:tcW w:w="82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default" w:ascii="Times New Roman" w:hAnsi="Times New Roman" w:eastAsia="仿宋_GB2312" w:cs="Times New Roman"/>
                <w:kern w:val="0"/>
                <w:sz w:val="21"/>
                <w:szCs w:val="21"/>
                <w:highlight w:val="none"/>
                <w:lang w:val="en-US" w:eastAsia="zh-CN" w:bidi="ar"/>
              </w:rPr>
            </w:pPr>
            <w:r>
              <w:rPr>
                <w:rFonts w:hint="default" w:ascii="Times New Roman" w:hAnsi="Times New Roman" w:eastAsia="仿宋_GB2312" w:cs="Times New Roman"/>
                <w:kern w:val="0"/>
                <w:sz w:val="21"/>
                <w:szCs w:val="21"/>
                <w:highlight w:val="none"/>
                <w:lang w:val="en-US" w:eastAsia="zh-CN" w:bidi="ar"/>
              </w:rPr>
              <w:t>300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spacing w:val="1"/>
                <w:sz w:val="21"/>
                <w:szCs w:val="21"/>
              </w:rPr>
              <w:t>4</w:t>
            </w:r>
          </w:p>
        </w:tc>
        <w:tc>
          <w:tcPr>
            <w:tcW w:w="16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spacing w:val="6"/>
                <w:sz w:val="21"/>
                <w:szCs w:val="21"/>
                <w:lang w:val="en-US" w:eastAsia="zh-CN"/>
              </w:rPr>
              <w:t>围栏网</w:t>
            </w:r>
          </w:p>
        </w:tc>
        <w:tc>
          <w:tcPr>
            <w:tcW w:w="6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sz w:val="21"/>
                <w:szCs w:val="21"/>
                <w:lang w:val="en-US" w:eastAsia="zh-CN"/>
              </w:rPr>
              <w:t>m</w:t>
            </w:r>
          </w:p>
        </w:tc>
        <w:tc>
          <w:tcPr>
            <w:tcW w:w="7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sz w:val="21"/>
                <w:szCs w:val="21"/>
                <w:lang w:val="en-US" w:eastAsia="zh-CN"/>
              </w:rPr>
              <w:t>200</w:t>
            </w:r>
          </w:p>
        </w:tc>
        <w:tc>
          <w:tcPr>
            <w:tcW w:w="613" w:type="pct"/>
            <w:tcBorders>
              <w:tl2br w:val="nil"/>
              <w:tr2bl w:val="nil"/>
            </w:tcBorders>
            <w:noWrap/>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仿宋_GB2312" w:cs="Times New Roman"/>
                <w:sz w:val="21"/>
                <w:szCs w:val="21"/>
                <w:highlight w:val="none"/>
                <w:lang w:val="en-US" w:eastAsia="zh-CN"/>
              </w:rPr>
            </w:pPr>
            <w:r>
              <w:rPr>
                <w:rFonts w:hint="default" w:ascii="Times New Roman" w:hAnsi="Times New Roman" w:eastAsia="仿宋_GB2312" w:cs="Times New Roman"/>
                <w:sz w:val="21"/>
                <w:szCs w:val="21"/>
                <w:highlight w:val="none"/>
                <w:lang w:val="en-US" w:eastAsia="zh-CN"/>
              </w:rPr>
              <w:t>12</w:t>
            </w:r>
          </w:p>
        </w:tc>
        <w:tc>
          <w:tcPr>
            <w:tcW w:w="82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default" w:ascii="Times New Roman" w:hAnsi="Times New Roman" w:eastAsia="仿宋_GB2312" w:cs="Times New Roman"/>
                <w:kern w:val="0"/>
                <w:sz w:val="21"/>
                <w:szCs w:val="21"/>
                <w:highlight w:val="none"/>
                <w:lang w:val="en-US" w:eastAsia="zh-CN" w:bidi="ar"/>
              </w:rPr>
            </w:pPr>
            <w:r>
              <w:rPr>
                <w:rFonts w:hint="default" w:ascii="Times New Roman" w:hAnsi="Times New Roman" w:eastAsia="仿宋_GB2312" w:cs="Times New Roman"/>
                <w:kern w:val="0"/>
                <w:sz w:val="21"/>
                <w:szCs w:val="21"/>
                <w:highlight w:val="none"/>
                <w:lang w:val="en-US" w:eastAsia="zh-CN" w:bidi="ar"/>
              </w:rPr>
              <w:t>2400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sz w:val="21"/>
                <w:szCs w:val="21"/>
              </w:rPr>
              <w:t>5</w:t>
            </w:r>
          </w:p>
        </w:tc>
        <w:tc>
          <w:tcPr>
            <w:tcW w:w="16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sz w:val="21"/>
                <w:szCs w:val="21"/>
                <w:lang w:val="en-US" w:eastAsia="zh-CN"/>
              </w:rPr>
              <w:t>标志绳</w:t>
            </w:r>
          </w:p>
        </w:tc>
        <w:tc>
          <w:tcPr>
            <w:tcW w:w="6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sz w:val="21"/>
                <w:szCs w:val="21"/>
                <w:lang w:val="en-US" w:eastAsia="zh-CN"/>
              </w:rPr>
              <w:t>m</w:t>
            </w:r>
          </w:p>
        </w:tc>
        <w:tc>
          <w:tcPr>
            <w:tcW w:w="7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0"/>
                <w:sz w:val="21"/>
                <w:szCs w:val="21"/>
                <w:highlight w:val="none"/>
                <w:lang w:val="en-US" w:eastAsia="zh-CN"/>
              </w:rPr>
            </w:pPr>
            <w:r>
              <w:rPr>
                <w:rFonts w:hint="default" w:ascii="Times New Roman" w:hAnsi="Times New Roman" w:eastAsia="仿宋_GB2312" w:cs="Times New Roman"/>
                <w:sz w:val="21"/>
                <w:szCs w:val="21"/>
                <w:lang w:val="en-US" w:eastAsia="zh-CN"/>
              </w:rPr>
              <w:t>200</w:t>
            </w:r>
          </w:p>
        </w:tc>
        <w:tc>
          <w:tcPr>
            <w:tcW w:w="613" w:type="pct"/>
            <w:tcBorders>
              <w:tl2br w:val="nil"/>
              <w:tr2bl w:val="nil"/>
            </w:tcBorders>
            <w:noWrap/>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仿宋_GB2312" w:cs="Times New Roman"/>
                <w:sz w:val="21"/>
                <w:szCs w:val="21"/>
                <w:highlight w:val="none"/>
                <w:lang w:val="en-US" w:eastAsia="zh-CN"/>
              </w:rPr>
            </w:pPr>
            <w:r>
              <w:rPr>
                <w:rFonts w:hint="default" w:ascii="Times New Roman" w:hAnsi="Times New Roman" w:eastAsia="仿宋_GB2312" w:cs="Times New Roman"/>
                <w:sz w:val="21"/>
                <w:szCs w:val="21"/>
                <w:highlight w:val="none"/>
                <w:lang w:val="en-US" w:eastAsia="zh-CN"/>
              </w:rPr>
              <w:t>2</w:t>
            </w:r>
          </w:p>
        </w:tc>
        <w:tc>
          <w:tcPr>
            <w:tcW w:w="82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default" w:ascii="Times New Roman" w:hAnsi="Times New Roman" w:eastAsia="仿宋_GB2312" w:cs="Times New Roman"/>
                <w:kern w:val="0"/>
                <w:sz w:val="21"/>
                <w:szCs w:val="21"/>
                <w:highlight w:val="none"/>
                <w:lang w:val="en-US" w:eastAsia="zh-CN" w:bidi="ar"/>
              </w:rPr>
            </w:pPr>
            <w:r>
              <w:rPr>
                <w:rFonts w:hint="default" w:ascii="Times New Roman" w:hAnsi="Times New Roman" w:eastAsia="仿宋_GB2312" w:cs="Times New Roman"/>
                <w:kern w:val="0"/>
                <w:sz w:val="21"/>
                <w:szCs w:val="21"/>
                <w:highlight w:val="none"/>
                <w:lang w:val="en-US" w:eastAsia="zh-CN" w:bidi="ar"/>
              </w:rPr>
              <w:t>400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sz w:val="21"/>
                <w:szCs w:val="21"/>
                <w:lang w:val="en-US" w:eastAsia="zh-CN"/>
              </w:rPr>
              <w:t>6</w:t>
            </w:r>
          </w:p>
        </w:tc>
        <w:tc>
          <w:tcPr>
            <w:tcW w:w="16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spacing w:val="2"/>
                <w:sz w:val="21"/>
                <w:szCs w:val="21"/>
              </w:rPr>
              <w:t>测钎</w:t>
            </w:r>
          </w:p>
        </w:tc>
        <w:tc>
          <w:tcPr>
            <w:tcW w:w="6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sz w:val="21"/>
                <w:szCs w:val="21"/>
              </w:rPr>
              <w:t>个</w:t>
            </w:r>
          </w:p>
        </w:tc>
        <w:tc>
          <w:tcPr>
            <w:tcW w:w="7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0"/>
                <w:sz w:val="21"/>
                <w:szCs w:val="21"/>
                <w:highlight w:val="none"/>
                <w:lang w:val="en-US"/>
              </w:rPr>
            </w:pPr>
            <w:r>
              <w:rPr>
                <w:rFonts w:hint="eastAsia" w:eastAsia="仿宋_GB2312" w:cs="Times New Roman"/>
                <w:sz w:val="21"/>
                <w:szCs w:val="21"/>
                <w:lang w:val="en-US" w:eastAsia="zh-CN"/>
              </w:rPr>
              <w:t>10</w:t>
            </w:r>
          </w:p>
        </w:tc>
        <w:tc>
          <w:tcPr>
            <w:tcW w:w="613" w:type="pct"/>
            <w:tcBorders>
              <w:tl2br w:val="nil"/>
              <w:tr2bl w:val="nil"/>
            </w:tcBorders>
            <w:noWrap/>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仿宋_GB2312" w:cs="Times New Roman"/>
                <w:sz w:val="21"/>
                <w:szCs w:val="21"/>
                <w:highlight w:val="none"/>
                <w:lang w:val="en-US" w:eastAsia="zh-CN"/>
              </w:rPr>
            </w:pPr>
            <w:r>
              <w:rPr>
                <w:rFonts w:hint="default" w:ascii="Times New Roman" w:hAnsi="Times New Roman" w:eastAsia="仿宋_GB2312" w:cs="Times New Roman"/>
                <w:sz w:val="21"/>
                <w:szCs w:val="21"/>
                <w:highlight w:val="none"/>
                <w:lang w:val="en-US" w:eastAsia="zh-CN"/>
              </w:rPr>
              <w:t>7</w:t>
            </w:r>
          </w:p>
        </w:tc>
        <w:tc>
          <w:tcPr>
            <w:tcW w:w="82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default" w:ascii="Times New Roman" w:hAnsi="Times New Roman" w:eastAsia="仿宋_GB2312" w:cs="Times New Roman"/>
                <w:kern w:val="0"/>
                <w:sz w:val="21"/>
                <w:szCs w:val="21"/>
                <w:highlight w:val="none"/>
                <w:lang w:val="en-US" w:eastAsia="zh-CN" w:bidi="ar"/>
              </w:rPr>
            </w:pPr>
            <w:r>
              <w:rPr>
                <w:rFonts w:hint="eastAsia" w:eastAsia="仿宋_GB2312" w:cs="Times New Roman"/>
                <w:kern w:val="0"/>
                <w:sz w:val="21"/>
                <w:szCs w:val="21"/>
                <w:highlight w:val="none"/>
                <w:lang w:val="en-US" w:eastAsia="zh-CN" w:bidi="ar"/>
              </w:rPr>
              <w:t>70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sz w:val="21"/>
                <w:szCs w:val="21"/>
                <w:lang w:val="en-US" w:eastAsia="zh-CN"/>
              </w:rPr>
              <w:t>7</w:t>
            </w:r>
          </w:p>
        </w:tc>
        <w:tc>
          <w:tcPr>
            <w:tcW w:w="16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spacing w:val="6"/>
                <w:sz w:val="21"/>
                <w:szCs w:val="21"/>
              </w:rPr>
              <w:t>标志</w:t>
            </w:r>
            <w:r>
              <w:rPr>
                <w:rFonts w:hint="default" w:ascii="Times New Roman" w:hAnsi="Times New Roman" w:eastAsia="仿宋_GB2312" w:cs="Times New Roman"/>
                <w:spacing w:val="5"/>
                <w:sz w:val="21"/>
                <w:szCs w:val="21"/>
              </w:rPr>
              <w:t>牌</w:t>
            </w:r>
          </w:p>
        </w:tc>
        <w:tc>
          <w:tcPr>
            <w:tcW w:w="6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sz w:val="21"/>
                <w:szCs w:val="21"/>
              </w:rPr>
              <w:t>个</w:t>
            </w:r>
          </w:p>
        </w:tc>
        <w:tc>
          <w:tcPr>
            <w:tcW w:w="7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sz w:val="21"/>
                <w:szCs w:val="21"/>
              </w:rPr>
              <w:t>1</w:t>
            </w:r>
          </w:p>
        </w:tc>
        <w:tc>
          <w:tcPr>
            <w:tcW w:w="613" w:type="pct"/>
            <w:tcBorders>
              <w:tl2br w:val="nil"/>
              <w:tr2bl w:val="nil"/>
            </w:tcBorders>
            <w:noWrap/>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仿宋_GB2312" w:cs="Times New Roman"/>
                <w:sz w:val="21"/>
                <w:szCs w:val="21"/>
                <w:highlight w:val="none"/>
                <w:lang w:val="en-US" w:eastAsia="zh-CN"/>
              </w:rPr>
            </w:pPr>
            <w:r>
              <w:rPr>
                <w:rFonts w:hint="default" w:ascii="Times New Roman" w:hAnsi="Times New Roman" w:eastAsia="仿宋_GB2312" w:cs="Times New Roman"/>
                <w:sz w:val="21"/>
                <w:szCs w:val="21"/>
                <w:highlight w:val="none"/>
                <w:lang w:val="en-US" w:eastAsia="zh-CN"/>
              </w:rPr>
              <w:t>150</w:t>
            </w:r>
          </w:p>
        </w:tc>
        <w:tc>
          <w:tcPr>
            <w:tcW w:w="82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default" w:ascii="Times New Roman" w:hAnsi="Times New Roman" w:eastAsia="仿宋_GB2312" w:cs="Times New Roman"/>
                <w:kern w:val="0"/>
                <w:sz w:val="21"/>
                <w:szCs w:val="21"/>
                <w:highlight w:val="none"/>
                <w:lang w:val="en-US" w:eastAsia="zh-CN" w:bidi="ar"/>
              </w:rPr>
            </w:pPr>
            <w:r>
              <w:rPr>
                <w:rFonts w:hint="default" w:ascii="Times New Roman" w:hAnsi="Times New Roman" w:eastAsia="仿宋_GB2312" w:cs="Times New Roman"/>
                <w:kern w:val="0"/>
                <w:sz w:val="21"/>
                <w:szCs w:val="21"/>
                <w:highlight w:val="none"/>
                <w:lang w:val="en-US" w:eastAsia="zh-CN" w:bidi="ar"/>
              </w:rPr>
              <w:t>150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b/>
                <w:bCs/>
                <w:sz w:val="21"/>
                <w:szCs w:val="21"/>
                <w:lang w:val="en-US" w:eastAsia="zh-CN"/>
              </w:rPr>
            </w:pPr>
            <w:r>
              <w:rPr>
                <w:rFonts w:hint="default" w:ascii="Times New Roman" w:hAnsi="Times New Roman" w:eastAsia="仿宋_GB2312" w:cs="Times New Roman"/>
                <w:sz w:val="21"/>
                <w:szCs w:val="21"/>
                <w:lang w:val="en-US" w:eastAsia="zh-CN"/>
              </w:rPr>
              <w:t>8</w:t>
            </w:r>
          </w:p>
        </w:tc>
        <w:tc>
          <w:tcPr>
            <w:tcW w:w="16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pacing w:val="5"/>
                <w:kern w:val="2"/>
                <w:sz w:val="21"/>
                <w:szCs w:val="21"/>
                <w:lang w:val="en-US" w:eastAsia="zh-CN" w:bidi="ar-SA"/>
              </w:rPr>
            </w:pPr>
            <w:r>
              <w:rPr>
                <w:rFonts w:hint="default" w:ascii="Times New Roman" w:hAnsi="Times New Roman" w:eastAsia="仿宋_GB2312" w:cs="Times New Roman"/>
                <w:spacing w:val="-3"/>
                <w:sz w:val="21"/>
                <w:szCs w:val="21"/>
              </w:rPr>
              <w:t>皮尺</w:t>
            </w:r>
          </w:p>
        </w:tc>
        <w:tc>
          <w:tcPr>
            <w:tcW w:w="6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lang w:val="en-US" w:eastAsia="zh-CN"/>
              </w:rPr>
              <w:t>把</w:t>
            </w:r>
          </w:p>
        </w:tc>
        <w:tc>
          <w:tcPr>
            <w:tcW w:w="7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pacing w:val="1"/>
                <w:sz w:val="21"/>
                <w:szCs w:val="21"/>
                <w:lang w:val="en-US" w:eastAsia="zh-CN"/>
              </w:rPr>
              <w:t>1</w:t>
            </w:r>
          </w:p>
        </w:tc>
        <w:tc>
          <w:tcPr>
            <w:tcW w:w="613" w:type="pct"/>
            <w:tcBorders>
              <w:tl2br w:val="nil"/>
              <w:tr2bl w:val="nil"/>
            </w:tcBorders>
            <w:noWrap/>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仿宋_GB2312" w:cs="Times New Roman"/>
                <w:spacing w:val="2"/>
                <w:kern w:val="2"/>
                <w:sz w:val="21"/>
                <w:szCs w:val="21"/>
                <w:lang w:val="en-US" w:eastAsia="zh-CN" w:bidi="ar-SA"/>
              </w:rPr>
            </w:pPr>
            <w:r>
              <w:rPr>
                <w:rFonts w:hint="default" w:ascii="Times New Roman" w:hAnsi="Times New Roman" w:eastAsia="仿宋_GB2312" w:cs="Times New Roman"/>
                <w:spacing w:val="2"/>
                <w:kern w:val="2"/>
                <w:sz w:val="21"/>
                <w:szCs w:val="21"/>
                <w:lang w:val="en-US" w:eastAsia="zh-CN" w:bidi="ar-SA"/>
              </w:rPr>
              <w:t>30</w:t>
            </w:r>
          </w:p>
        </w:tc>
        <w:tc>
          <w:tcPr>
            <w:tcW w:w="82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default" w:ascii="Times New Roman" w:hAnsi="Times New Roman" w:eastAsia="仿宋_GB2312" w:cs="Times New Roman"/>
                <w:kern w:val="0"/>
                <w:sz w:val="21"/>
                <w:szCs w:val="21"/>
                <w:highlight w:val="none"/>
                <w:lang w:val="en-US" w:eastAsia="zh-CN" w:bidi="ar"/>
              </w:rPr>
            </w:pPr>
            <w:r>
              <w:rPr>
                <w:rFonts w:hint="default" w:ascii="Times New Roman" w:hAnsi="Times New Roman" w:eastAsia="仿宋_GB2312" w:cs="Times New Roman"/>
                <w:kern w:val="0"/>
                <w:sz w:val="21"/>
                <w:szCs w:val="21"/>
                <w:highlight w:val="none"/>
                <w:lang w:val="en-US" w:eastAsia="zh-CN" w:bidi="ar"/>
              </w:rPr>
              <w:t>30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b/>
                <w:bCs/>
                <w:kern w:val="0"/>
                <w:sz w:val="21"/>
                <w:szCs w:val="21"/>
                <w:highlight w:val="none"/>
                <w:lang w:eastAsia="zh-CN"/>
              </w:rPr>
            </w:pPr>
            <w:r>
              <w:rPr>
                <w:rFonts w:hint="default" w:ascii="Times New Roman" w:hAnsi="Times New Roman" w:eastAsia="仿宋_GB2312" w:cs="Times New Roman"/>
                <w:sz w:val="21"/>
                <w:szCs w:val="21"/>
                <w:lang w:val="en-US" w:eastAsia="zh-CN"/>
              </w:rPr>
              <w:t>9</w:t>
            </w:r>
          </w:p>
        </w:tc>
        <w:tc>
          <w:tcPr>
            <w:tcW w:w="16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b/>
                <w:bCs/>
                <w:kern w:val="0"/>
                <w:sz w:val="21"/>
                <w:szCs w:val="21"/>
                <w:highlight w:val="none"/>
              </w:rPr>
            </w:pPr>
            <w:r>
              <w:rPr>
                <w:rFonts w:hint="default" w:ascii="Times New Roman" w:hAnsi="Times New Roman" w:eastAsia="仿宋_GB2312" w:cs="Times New Roman"/>
                <w:sz w:val="21"/>
                <w:szCs w:val="21"/>
                <w:lang w:val="en-US" w:eastAsia="zh-CN"/>
              </w:rPr>
              <w:t>钢卷尺</w:t>
            </w:r>
          </w:p>
        </w:tc>
        <w:tc>
          <w:tcPr>
            <w:tcW w:w="6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b/>
                <w:bCs/>
                <w:kern w:val="0"/>
                <w:sz w:val="21"/>
                <w:szCs w:val="21"/>
                <w:highlight w:val="none"/>
              </w:rPr>
            </w:pPr>
            <w:r>
              <w:rPr>
                <w:rFonts w:hint="default" w:ascii="Times New Roman" w:hAnsi="Times New Roman" w:eastAsia="仿宋_GB2312" w:cs="Times New Roman"/>
                <w:sz w:val="21"/>
                <w:szCs w:val="21"/>
                <w:lang w:val="en-US" w:eastAsia="zh-CN"/>
              </w:rPr>
              <w:t>把</w:t>
            </w:r>
          </w:p>
        </w:tc>
        <w:tc>
          <w:tcPr>
            <w:tcW w:w="7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b/>
                <w:bCs/>
                <w:sz w:val="21"/>
                <w:szCs w:val="21"/>
                <w:highlight w:val="none"/>
              </w:rPr>
            </w:pPr>
            <w:r>
              <w:rPr>
                <w:rFonts w:hint="default" w:ascii="Times New Roman" w:hAnsi="Times New Roman" w:eastAsia="仿宋_GB2312" w:cs="Times New Roman"/>
                <w:spacing w:val="1"/>
                <w:sz w:val="21"/>
                <w:szCs w:val="21"/>
                <w:lang w:val="en-US" w:eastAsia="zh-CN"/>
              </w:rPr>
              <w:t>1</w:t>
            </w:r>
          </w:p>
        </w:tc>
        <w:tc>
          <w:tcPr>
            <w:tcW w:w="613" w:type="pct"/>
            <w:tcBorders>
              <w:tl2br w:val="nil"/>
              <w:tr2bl w:val="nil"/>
            </w:tcBorders>
            <w:noWrap/>
            <w:vAlign w:val="center"/>
          </w:tcPr>
          <w:p>
            <w:pPr>
              <w:keepNext w:val="0"/>
              <w:keepLines w:val="0"/>
              <w:pageBreakBefore w:val="0"/>
              <w:kinsoku/>
              <w:wordWrap/>
              <w:overflowPunct/>
              <w:topLinePunct w:val="0"/>
              <w:autoSpaceDE/>
              <w:autoSpaceDN/>
              <w:bidi w:val="0"/>
              <w:adjustRightInd/>
              <w:snapToGrid w:val="0"/>
              <w:spacing w:line="240" w:lineRule="auto"/>
              <w:ind w:left="0"/>
              <w:jc w:val="center"/>
              <w:rPr>
                <w:rFonts w:hint="default" w:ascii="Times New Roman" w:hAnsi="Times New Roman" w:eastAsia="仿宋_GB2312" w:cs="Times New Roman"/>
                <w:b/>
                <w:bCs/>
                <w:sz w:val="21"/>
                <w:szCs w:val="21"/>
                <w:highlight w:val="none"/>
                <w:lang w:val="en-US" w:eastAsia="zh-CN"/>
              </w:rPr>
            </w:pPr>
            <w:r>
              <w:rPr>
                <w:rFonts w:hint="default" w:ascii="Times New Roman" w:hAnsi="Times New Roman" w:eastAsia="仿宋_GB2312" w:cs="Times New Roman"/>
                <w:b w:val="0"/>
                <w:bCs w:val="0"/>
                <w:sz w:val="21"/>
                <w:szCs w:val="21"/>
                <w:highlight w:val="none"/>
                <w:lang w:val="en-US" w:eastAsia="zh-CN"/>
              </w:rPr>
              <w:t>70</w:t>
            </w:r>
          </w:p>
        </w:tc>
        <w:tc>
          <w:tcPr>
            <w:tcW w:w="82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default" w:ascii="Times New Roman" w:hAnsi="Times New Roman" w:eastAsia="仿宋_GB2312" w:cs="Times New Roman"/>
                <w:kern w:val="0"/>
                <w:sz w:val="21"/>
                <w:szCs w:val="21"/>
                <w:highlight w:val="none"/>
                <w:lang w:val="en-US" w:eastAsia="zh-CN" w:bidi="ar"/>
              </w:rPr>
            </w:pPr>
            <w:r>
              <w:rPr>
                <w:rFonts w:hint="default" w:ascii="Times New Roman" w:hAnsi="Times New Roman" w:eastAsia="仿宋_GB2312" w:cs="Times New Roman"/>
                <w:kern w:val="0"/>
                <w:sz w:val="21"/>
                <w:szCs w:val="21"/>
                <w:highlight w:val="none"/>
                <w:lang w:val="en-US" w:eastAsia="zh-CN" w:bidi="ar"/>
              </w:rPr>
              <w:t>70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b/>
                <w:bCs/>
                <w:kern w:val="0"/>
                <w:sz w:val="21"/>
                <w:szCs w:val="21"/>
                <w:highlight w:val="none"/>
              </w:rPr>
            </w:pPr>
            <w:r>
              <w:rPr>
                <w:rFonts w:hint="default" w:ascii="Times New Roman" w:hAnsi="Times New Roman" w:eastAsia="仿宋_GB2312" w:cs="Times New Roman"/>
                <w:b/>
                <w:bCs/>
                <w:i w:val="0"/>
                <w:iCs w:val="0"/>
                <w:color w:val="auto"/>
                <w:kern w:val="0"/>
                <w:sz w:val="21"/>
                <w:szCs w:val="21"/>
                <w:u w:val="none"/>
                <w:lang w:val="en-US" w:eastAsia="zh-CN" w:bidi="ar"/>
              </w:rPr>
              <w:t>二</w:t>
            </w:r>
          </w:p>
        </w:tc>
        <w:tc>
          <w:tcPr>
            <w:tcW w:w="1623" w:type="pct"/>
            <w:tcBorders>
              <w:tl2br w:val="nil"/>
              <w:tr2bl w:val="nil"/>
            </w:tcBorders>
            <w:noWrap w:val="0"/>
            <w:vAlign w:val="center"/>
          </w:tcPr>
          <w:p>
            <w:pPr>
              <w:keepNext w:val="0"/>
              <w:keepLines w:val="0"/>
              <w:widowControl/>
              <w:suppressLineNumbers w:val="0"/>
              <w:jc w:val="center"/>
              <w:rPr>
                <w:rFonts w:hint="default" w:ascii="Times New Roman" w:hAnsi="Times New Roman" w:eastAsia="仿宋_GB2312" w:cs="Times New Roman"/>
                <w:b/>
                <w:bCs/>
                <w:kern w:val="0"/>
                <w:sz w:val="21"/>
                <w:szCs w:val="21"/>
                <w:highlight w:val="none"/>
              </w:rPr>
            </w:pPr>
            <w:r>
              <w:rPr>
                <w:rFonts w:hint="default" w:ascii="Times New Roman" w:hAnsi="Times New Roman" w:eastAsia="仿宋_GB2312" w:cs="Times New Roman"/>
                <w:b/>
                <w:bCs/>
                <w:color w:val="000000"/>
                <w:kern w:val="0"/>
                <w:sz w:val="20"/>
                <w:szCs w:val="20"/>
                <w:lang w:val="en-US" w:eastAsia="zh-CN" w:bidi="ar"/>
              </w:rPr>
              <w:t>监测设施和设备</w:t>
            </w:r>
            <w:r>
              <w:rPr>
                <w:rFonts w:hint="default" w:ascii="Times New Roman" w:hAnsi="Times New Roman" w:eastAsia="仿宋_GB2312" w:cs="Times New Roman"/>
                <w:b/>
                <w:bCs/>
                <w:i w:val="0"/>
                <w:iCs w:val="0"/>
                <w:color w:val="auto"/>
                <w:kern w:val="0"/>
                <w:sz w:val="21"/>
                <w:szCs w:val="21"/>
                <w:u w:val="none"/>
                <w:lang w:val="en-US" w:eastAsia="zh-CN" w:bidi="ar"/>
              </w:rPr>
              <w:t>（</w:t>
            </w:r>
            <w:r>
              <w:rPr>
                <w:rFonts w:hint="default" w:ascii="Times New Roman" w:hAnsi="Times New Roman" w:eastAsia="仿宋_GB2312" w:cs="Times New Roman"/>
                <w:b/>
                <w:bCs/>
                <w:color w:val="000000"/>
                <w:kern w:val="0"/>
                <w:sz w:val="20"/>
                <w:szCs w:val="20"/>
                <w:lang w:val="en-US" w:eastAsia="zh-CN" w:bidi="ar"/>
              </w:rPr>
              <w:t>按</w:t>
            </w:r>
            <w:r>
              <w:rPr>
                <w:rFonts w:hint="default" w:ascii="Times New Roman" w:hAnsi="Times New Roman" w:eastAsia="宋体" w:cs="Times New Roman"/>
                <w:b/>
                <w:bCs/>
                <w:color w:val="000000"/>
                <w:kern w:val="0"/>
                <w:sz w:val="20"/>
                <w:szCs w:val="20"/>
                <w:lang w:val="en-US" w:eastAsia="zh-CN" w:bidi="ar"/>
              </w:rPr>
              <w:t>20</w:t>
            </w:r>
            <w:r>
              <w:rPr>
                <w:rFonts w:hint="default" w:ascii="Times New Roman" w:hAnsi="Times New Roman" w:eastAsia="仿宋_GB2312" w:cs="Times New Roman"/>
                <w:b/>
                <w:bCs/>
                <w:color w:val="000000"/>
                <w:kern w:val="0"/>
                <w:sz w:val="20"/>
                <w:szCs w:val="20"/>
                <w:lang w:val="en-US" w:eastAsia="zh-CN" w:bidi="ar"/>
              </w:rPr>
              <w:t>％折</w:t>
            </w:r>
            <w:r>
              <w:rPr>
                <w:rFonts w:hint="default" w:ascii="Times New Roman" w:hAnsi="Times New Roman" w:eastAsia="仿宋_GB2312" w:cs="Times New Roman"/>
                <w:b/>
                <w:bCs/>
                <w:i w:val="0"/>
                <w:iCs w:val="0"/>
                <w:color w:val="auto"/>
                <w:kern w:val="0"/>
                <w:sz w:val="21"/>
                <w:szCs w:val="21"/>
                <w:u w:val="none"/>
                <w:lang w:val="en-US" w:eastAsia="zh-CN" w:bidi="ar"/>
              </w:rPr>
              <w:t>）</w:t>
            </w:r>
          </w:p>
        </w:tc>
        <w:tc>
          <w:tcPr>
            <w:tcW w:w="6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b/>
                <w:bCs/>
                <w:kern w:val="0"/>
                <w:sz w:val="21"/>
                <w:szCs w:val="21"/>
                <w:highlight w:val="none"/>
              </w:rPr>
            </w:pPr>
          </w:p>
        </w:tc>
        <w:tc>
          <w:tcPr>
            <w:tcW w:w="7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0"/>
                <w:sz w:val="21"/>
                <w:szCs w:val="21"/>
                <w:highlight w:val="none"/>
              </w:rPr>
            </w:pPr>
          </w:p>
        </w:tc>
        <w:tc>
          <w:tcPr>
            <w:tcW w:w="613" w:type="pct"/>
            <w:tcBorders>
              <w:tl2br w:val="nil"/>
              <w:tr2bl w:val="nil"/>
            </w:tcBorders>
            <w:noWrap/>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仿宋_GB2312" w:cs="Times New Roman"/>
                <w:sz w:val="21"/>
                <w:szCs w:val="21"/>
                <w:highlight w:val="none"/>
              </w:rPr>
            </w:pPr>
          </w:p>
        </w:tc>
        <w:tc>
          <w:tcPr>
            <w:tcW w:w="82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default" w:ascii="Times New Roman" w:hAnsi="Times New Roman" w:eastAsia="仿宋_GB2312" w:cs="Times New Roman"/>
                <w:kern w:val="0"/>
                <w:sz w:val="21"/>
                <w:szCs w:val="21"/>
                <w:highlight w:val="none"/>
                <w:lang w:val="en-US" w:eastAsia="zh-CN" w:bidi="ar"/>
              </w:rPr>
            </w:pPr>
            <w:r>
              <w:rPr>
                <w:rFonts w:hint="eastAsia" w:eastAsia="仿宋_GB2312" w:cs="Times New Roman"/>
                <w:kern w:val="0"/>
                <w:sz w:val="21"/>
                <w:szCs w:val="21"/>
                <w:highlight w:val="none"/>
                <w:lang w:val="en-US" w:eastAsia="zh-CN" w:bidi="ar"/>
              </w:rPr>
              <w:t>9272</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sz w:val="21"/>
                <w:szCs w:val="21"/>
              </w:rPr>
              <w:t>1</w:t>
            </w:r>
          </w:p>
        </w:tc>
        <w:tc>
          <w:tcPr>
            <w:tcW w:w="16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sz w:val="21"/>
                <w:szCs w:val="21"/>
              </w:rPr>
              <w:t>电子天平</w:t>
            </w:r>
          </w:p>
        </w:tc>
        <w:tc>
          <w:tcPr>
            <w:tcW w:w="6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sz w:val="21"/>
                <w:szCs w:val="21"/>
              </w:rPr>
              <w:t>台</w:t>
            </w:r>
          </w:p>
        </w:tc>
        <w:tc>
          <w:tcPr>
            <w:tcW w:w="7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sz w:val="21"/>
                <w:szCs w:val="21"/>
              </w:rPr>
              <w:t>1</w:t>
            </w:r>
          </w:p>
        </w:tc>
        <w:tc>
          <w:tcPr>
            <w:tcW w:w="613" w:type="pct"/>
            <w:tcBorders>
              <w:tl2br w:val="nil"/>
              <w:tr2bl w:val="nil"/>
            </w:tcBorders>
            <w:noWrap/>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仿宋_GB2312" w:cs="Times New Roman"/>
                <w:sz w:val="21"/>
                <w:szCs w:val="21"/>
                <w:highlight w:val="none"/>
                <w:lang w:val="en-US" w:eastAsia="zh-CN"/>
              </w:rPr>
            </w:pPr>
            <w:r>
              <w:rPr>
                <w:rFonts w:hint="default" w:ascii="Times New Roman" w:hAnsi="Times New Roman" w:eastAsia="仿宋_GB2312" w:cs="Times New Roman"/>
                <w:sz w:val="21"/>
                <w:szCs w:val="21"/>
                <w:highlight w:val="none"/>
                <w:lang w:val="en-US" w:eastAsia="zh-CN"/>
              </w:rPr>
              <w:t>5000</w:t>
            </w:r>
          </w:p>
        </w:tc>
        <w:tc>
          <w:tcPr>
            <w:tcW w:w="82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default" w:ascii="Times New Roman" w:hAnsi="Times New Roman" w:eastAsia="仿宋_GB2312" w:cs="Times New Roman"/>
                <w:kern w:val="0"/>
                <w:sz w:val="21"/>
                <w:szCs w:val="21"/>
                <w:highlight w:val="none"/>
                <w:lang w:val="en-US" w:eastAsia="zh-CN" w:bidi="ar"/>
              </w:rPr>
            </w:pPr>
            <w:r>
              <w:rPr>
                <w:rFonts w:hint="default" w:ascii="Times New Roman" w:hAnsi="Times New Roman" w:eastAsia="仿宋_GB2312" w:cs="Times New Roman"/>
                <w:kern w:val="0"/>
                <w:sz w:val="21"/>
                <w:szCs w:val="21"/>
                <w:highlight w:val="none"/>
                <w:lang w:val="en-US" w:eastAsia="zh-CN" w:bidi="ar"/>
              </w:rPr>
              <w:t>1000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b/>
                <w:bCs/>
                <w:kern w:val="0"/>
                <w:sz w:val="21"/>
                <w:szCs w:val="21"/>
                <w:highlight w:val="none"/>
              </w:rPr>
            </w:pPr>
            <w:r>
              <w:rPr>
                <w:rFonts w:hint="default" w:ascii="Times New Roman" w:hAnsi="Times New Roman" w:eastAsia="仿宋_GB2312" w:cs="Times New Roman"/>
                <w:sz w:val="21"/>
                <w:szCs w:val="21"/>
              </w:rPr>
              <w:t>2</w:t>
            </w:r>
          </w:p>
        </w:tc>
        <w:tc>
          <w:tcPr>
            <w:tcW w:w="16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b/>
                <w:bCs/>
                <w:kern w:val="0"/>
                <w:sz w:val="21"/>
                <w:szCs w:val="21"/>
                <w:highlight w:val="none"/>
              </w:rPr>
            </w:pPr>
            <w:r>
              <w:rPr>
                <w:rFonts w:hint="default" w:ascii="Times New Roman" w:hAnsi="Times New Roman" w:eastAsia="仿宋_GB2312" w:cs="Times New Roman"/>
                <w:spacing w:val="-3"/>
                <w:sz w:val="21"/>
                <w:szCs w:val="21"/>
              </w:rPr>
              <w:t>比重计</w:t>
            </w:r>
          </w:p>
        </w:tc>
        <w:tc>
          <w:tcPr>
            <w:tcW w:w="6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sz w:val="21"/>
                <w:szCs w:val="21"/>
              </w:rPr>
              <w:t>个</w:t>
            </w:r>
          </w:p>
        </w:tc>
        <w:tc>
          <w:tcPr>
            <w:tcW w:w="7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sz w:val="21"/>
                <w:szCs w:val="21"/>
              </w:rPr>
              <w:t>1</w:t>
            </w:r>
          </w:p>
        </w:tc>
        <w:tc>
          <w:tcPr>
            <w:tcW w:w="613" w:type="pct"/>
            <w:tcBorders>
              <w:tl2br w:val="nil"/>
              <w:tr2bl w:val="nil"/>
            </w:tcBorders>
            <w:noWrap/>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仿宋_GB2312" w:cs="Times New Roman"/>
                <w:kern w:val="0"/>
                <w:sz w:val="21"/>
                <w:szCs w:val="21"/>
                <w:highlight w:val="none"/>
                <w:lang w:val="en-US" w:eastAsia="zh-CN"/>
              </w:rPr>
            </w:pPr>
            <w:r>
              <w:rPr>
                <w:rFonts w:hint="default" w:ascii="Times New Roman" w:hAnsi="Times New Roman" w:eastAsia="仿宋_GB2312" w:cs="Times New Roman"/>
                <w:kern w:val="0"/>
                <w:sz w:val="21"/>
                <w:szCs w:val="21"/>
                <w:highlight w:val="none"/>
                <w:lang w:val="en-US" w:eastAsia="zh-CN"/>
              </w:rPr>
              <w:t>4000</w:t>
            </w:r>
          </w:p>
        </w:tc>
        <w:tc>
          <w:tcPr>
            <w:tcW w:w="828"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default" w:ascii="Times New Roman" w:hAnsi="Times New Roman" w:eastAsia="仿宋_GB2312" w:cs="Times New Roman"/>
                <w:kern w:val="0"/>
                <w:sz w:val="21"/>
                <w:szCs w:val="21"/>
                <w:highlight w:val="none"/>
                <w:lang w:val="en-US" w:eastAsia="zh-CN" w:bidi="ar"/>
              </w:rPr>
            </w:pPr>
            <w:r>
              <w:rPr>
                <w:rFonts w:hint="default" w:ascii="Times New Roman" w:hAnsi="Times New Roman" w:eastAsia="仿宋_GB2312" w:cs="Times New Roman"/>
                <w:kern w:val="0"/>
                <w:sz w:val="21"/>
                <w:szCs w:val="21"/>
                <w:highlight w:val="none"/>
                <w:lang w:val="en-US" w:eastAsia="zh-CN" w:bidi="ar"/>
              </w:rPr>
              <w:t>800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bCs/>
                <w:kern w:val="0"/>
                <w:sz w:val="21"/>
                <w:szCs w:val="21"/>
                <w:highlight w:val="none"/>
              </w:rPr>
            </w:pPr>
            <w:r>
              <w:rPr>
                <w:rFonts w:hint="default" w:ascii="Times New Roman" w:hAnsi="Times New Roman" w:eastAsia="仿宋_GB2312" w:cs="Times New Roman"/>
                <w:sz w:val="21"/>
                <w:szCs w:val="21"/>
              </w:rPr>
              <w:t>3</w:t>
            </w:r>
          </w:p>
        </w:tc>
        <w:tc>
          <w:tcPr>
            <w:tcW w:w="16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b/>
                <w:bCs/>
                <w:kern w:val="0"/>
                <w:sz w:val="21"/>
                <w:szCs w:val="21"/>
                <w:highlight w:val="none"/>
              </w:rPr>
            </w:pPr>
            <w:r>
              <w:rPr>
                <w:rFonts w:hint="default" w:ascii="Times New Roman" w:hAnsi="Times New Roman" w:eastAsia="仿宋_GB2312" w:cs="Times New Roman"/>
                <w:spacing w:val="2"/>
                <w:sz w:val="21"/>
                <w:szCs w:val="21"/>
              </w:rPr>
              <w:t>烘</w:t>
            </w:r>
            <w:r>
              <w:rPr>
                <w:rFonts w:hint="default" w:ascii="Times New Roman" w:hAnsi="Times New Roman" w:eastAsia="仿宋_GB2312" w:cs="Times New Roman"/>
                <w:spacing w:val="1"/>
                <w:sz w:val="21"/>
                <w:szCs w:val="21"/>
              </w:rPr>
              <w:t>箱</w:t>
            </w:r>
          </w:p>
        </w:tc>
        <w:tc>
          <w:tcPr>
            <w:tcW w:w="6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sz w:val="21"/>
                <w:szCs w:val="21"/>
              </w:rPr>
              <w:t>台</w:t>
            </w:r>
          </w:p>
        </w:tc>
        <w:tc>
          <w:tcPr>
            <w:tcW w:w="7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sz w:val="21"/>
                <w:szCs w:val="21"/>
              </w:rPr>
              <w:t>1</w:t>
            </w:r>
          </w:p>
        </w:tc>
        <w:tc>
          <w:tcPr>
            <w:tcW w:w="613" w:type="pct"/>
            <w:tcBorders>
              <w:tl2br w:val="nil"/>
              <w:tr2bl w:val="nil"/>
            </w:tcBorders>
            <w:noWrap/>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仿宋_GB2312" w:cs="Times New Roman"/>
                <w:sz w:val="21"/>
                <w:szCs w:val="21"/>
                <w:highlight w:val="none"/>
                <w:lang w:val="en-US" w:eastAsia="zh-CN"/>
              </w:rPr>
            </w:pPr>
            <w:r>
              <w:rPr>
                <w:rFonts w:hint="default" w:ascii="Times New Roman" w:hAnsi="Times New Roman" w:eastAsia="仿宋_GB2312" w:cs="Times New Roman"/>
                <w:sz w:val="21"/>
                <w:szCs w:val="21"/>
                <w:highlight w:val="none"/>
                <w:lang w:val="en-US" w:eastAsia="zh-CN"/>
              </w:rPr>
              <w:t>2000</w:t>
            </w:r>
          </w:p>
        </w:tc>
        <w:tc>
          <w:tcPr>
            <w:tcW w:w="828"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default" w:ascii="Times New Roman" w:hAnsi="Times New Roman" w:eastAsia="仿宋_GB2312" w:cs="Times New Roman"/>
                <w:kern w:val="0"/>
                <w:sz w:val="21"/>
                <w:szCs w:val="21"/>
                <w:highlight w:val="none"/>
                <w:lang w:val="en-US" w:eastAsia="zh-CN" w:bidi="ar"/>
              </w:rPr>
            </w:pPr>
            <w:r>
              <w:rPr>
                <w:rFonts w:hint="default" w:ascii="Times New Roman" w:hAnsi="Times New Roman" w:eastAsia="仿宋_GB2312" w:cs="Times New Roman"/>
                <w:kern w:val="0"/>
                <w:sz w:val="21"/>
                <w:szCs w:val="21"/>
                <w:highlight w:val="none"/>
                <w:lang w:val="en-US" w:eastAsia="zh-CN" w:bidi="ar"/>
              </w:rPr>
              <w:t>400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spacing w:val="1"/>
                <w:sz w:val="21"/>
                <w:szCs w:val="21"/>
              </w:rPr>
              <w:t>4</w:t>
            </w:r>
          </w:p>
        </w:tc>
        <w:tc>
          <w:tcPr>
            <w:tcW w:w="16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spacing w:val="5"/>
                <w:sz w:val="21"/>
                <w:szCs w:val="21"/>
                <w:lang w:val="en-US" w:eastAsia="zh-CN"/>
              </w:rPr>
              <w:t>土壤水分快速测定仪</w:t>
            </w:r>
          </w:p>
        </w:tc>
        <w:tc>
          <w:tcPr>
            <w:tcW w:w="6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sz w:val="21"/>
                <w:szCs w:val="21"/>
              </w:rPr>
              <w:t>台</w:t>
            </w:r>
          </w:p>
        </w:tc>
        <w:tc>
          <w:tcPr>
            <w:tcW w:w="7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sz w:val="21"/>
                <w:szCs w:val="21"/>
                <w:lang w:val="en-US" w:eastAsia="zh-CN"/>
              </w:rPr>
              <w:t>2</w:t>
            </w:r>
          </w:p>
        </w:tc>
        <w:tc>
          <w:tcPr>
            <w:tcW w:w="613" w:type="pct"/>
            <w:tcBorders>
              <w:tl2br w:val="nil"/>
              <w:tr2bl w:val="nil"/>
            </w:tcBorders>
            <w:noWrap/>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仿宋_GB2312" w:cs="Times New Roman"/>
                <w:sz w:val="21"/>
                <w:szCs w:val="21"/>
                <w:highlight w:val="none"/>
                <w:lang w:val="en-US" w:eastAsia="zh-CN"/>
              </w:rPr>
            </w:pPr>
            <w:r>
              <w:rPr>
                <w:rFonts w:hint="default" w:ascii="Times New Roman" w:hAnsi="Times New Roman" w:eastAsia="仿宋_GB2312" w:cs="Times New Roman"/>
                <w:sz w:val="21"/>
                <w:szCs w:val="21"/>
                <w:highlight w:val="none"/>
                <w:lang w:val="en-US" w:eastAsia="zh-CN"/>
              </w:rPr>
              <w:t>80</w:t>
            </w:r>
          </w:p>
        </w:tc>
        <w:tc>
          <w:tcPr>
            <w:tcW w:w="828"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default" w:ascii="Times New Roman" w:hAnsi="Times New Roman" w:eastAsia="仿宋_GB2312" w:cs="Times New Roman"/>
                <w:kern w:val="0"/>
                <w:sz w:val="21"/>
                <w:szCs w:val="21"/>
                <w:highlight w:val="none"/>
                <w:lang w:val="en-US" w:eastAsia="zh-CN" w:bidi="ar"/>
              </w:rPr>
            </w:pPr>
            <w:r>
              <w:rPr>
                <w:rFonts w:hint="default" w:ascii="Times New Roman" w:hAnsi="Times New Roman" w:eastAsia="仿宋_GB2312" w:cs="Times New Roman"/>
                <w:kern w:val="0"/>
                <w:sz w:val="21"/>
                <w:szCs w:val="21"/>
                <w:highlight w:val="none"/>
                <w:lang w:val="en-US" w:eastAsia="zh-CN" w:bidi="ar"/>
              </w:rPr>
              <w:t>32</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sz w:val="21"/>
                <w:szCs w:val="21"/>
              </w:rPr>
              <w:t>5</w:t>
            </w:r>
          </w:p>
        </w:tc>
        <w:tc>
          <w:tcPr>
            <w:tcW w:w="1623" w:type="pct"/>
            <w:tcBorders>
              <w:tl2br w:val="nil"/>
              <w:tr2bl w:val="nil"/>
            </w:tcBorders>
            <w:noWrap w:val="0"/>
            <w:vAlign w:val="center"/>
          </w:tcPr>
          <w:p>
            <w:pPr>
              <w:keepNext w:val="0"/>
              <w:keepLines w:val="0"/>
              <w:widowControl/>
              <w:suppressLineNumbers w:val="0"/>
              <w:jc w:val="center"/>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color w:val="000000"/>
                <w:kern w:val="0"/>
                <w:sz w:val="20"/>
                <w:szCs w:val="20"/>
                <w:lang w:val="en-US" w:eastAsia="zh-CN" w:bidi="ar"/>
              </w:rPr>
              <w:t>植被高度观测仪（测高仪）</w:t>
            </w:r>
          </w:p>
        </w:tc>
        <w:tc>
          <w:tcPr>
            <w:tcW w:w="6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sz w:val="21"/>
                <w:szCs w:val="21"/>
              </w:rPr>
              <w:t>台</w:t>
            </w:r>
          </w:p>
        </w:tc>
        <w:tc>
          <w:tcPr>
            <w:tcW w:w="7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sz w:val="21"/>
                <w:szCs w:val="21"/>
              </w:rPr>
              <w:t>1</w:t>
            </w:r>
          </w:p>
        </w:tc>
        <w:tc>
          <w:tcPr>
            <w:tcW w:w="613" w:type="pct"/>
            <w:tcBorders>
              <w:tl2br w:val="nil"/>
              <w:tr2bl w:val="nil"/>
            </w:tcBorders>
            <w:noWrap/>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仿宋_GB2312" w:cs="Times New Roman"/>
                <w:sz w:val="21"/>
                <w:szCs w:val="21"/>
                <w:highlight w:val="none"/>
                <w:lang w:val="en-US" w:eastAsia="zh-CN"/>
              </w:rPr>
            </w:pPr>
            <w:r>
              <w:rPr>
                <w:rFonts w:hint="default" w:ascii="Times New Roman" w:hAnsi="Times New Roman" w:eastAsia="仿宋_GB2312" w:cs="Times New Roman"/>
                <w:sz w:val="21"/>
                <w:szCs w:val="21"/>
                <w:highlight w:val="none"/>
                <w:lang w:val="en-US" w:eastAsia="zh-CN"/>
              </w:rPr>
              <w:t>8000</w:t>
            </w:r>
          </w:p>
        </w:tc>
        <w:tc>
          <w:tcPr>
            <w:tcW w:w="828"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default" w:ascii="Times New Roman" w:hAnsi="Times New Roman" w:eastAsia="仿宋_GB2312" w:cs="Times New Roman"/>
                <w:kern w:val="0"/>
                <w:sz w:val="21"/>
                <w:szCs w:val="21"/>
                <w:highlight w:val="none"/>
                <w:lang w:val="en-US" w:eastAsia="zh-CN" w:bidi="ar"/>
              </w:rPr>
            </w:pPr>
            <w:r>
              <w:rPr>
                <w:rFonts w:hint="default" w:ascii="Times New Roman" w:hAnsi="Times New Roman" w:eastAsia="仿宋_GB2312" w:cs="Times New Roman"/>
                <w:kern w:val="0"/>
                <w:sz w:val="21"/>
                <w:szCs w:val="21"/>
                <w:highlight w:val="none"/>
                <w:lang w:val="en-US" w:eastAsia="zh-CN" w:bidi="ar"/>
              </w:rPr>
              <w:t>1600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rPr>
              <w:t>6</w:t>
            </w:r>
          </w:p>
        </w:tc>
        <w:tc>
          <w:tcPr>
            <w:tcW w:w="16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pacing w:val="5"/>
                <w:sz w:val="21"/>
                <w:szCs w:val="21"/>
              </w:rPr>
            </w:pPr>
            <w:r>
              <w:rPr>
                <w:rFonts w:hint="default" w:ascii="Times New Roman" w:hAnsi="Times New Roman" w:eastAsia="仿宋_GB2312" w:cs="Times New Roman"/>
                <w:spacing w:val="5"/>
                <w:sz w:val="21"/>
                <w:szCs w:val="21"/>
                <w:lang w:val="en-US" w:eastAsia="zh-CN"/>
              </w:rPr>
              <w:t>坡度仪</w:t>
            </w:r>
          </w:p>
        </w:tc>
        <w:tc>
          <w:tcPr>
            <w:tcW w:w="6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个</w:t>
            </w:r>
          </w:p>
        </w:tc>
        <w:tc>
          <w:tcPr>
            <w:tcW w:w="7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1</w:t>
            </w:r>
          </w:p>
        </w:tc>
        <w:tc>
          <w:tcPr>
            <w:tcW w:w="613" w:type="pct"/>
            <w:tcBorders>
              <w:tl2br w:val="nil"/>
              <w:tr2bl w:val="nil"/>
            </w:tcBorders>
            <w:noWrap/>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仿宋_GB2312" w:cs="Times New Roman"/>
                <w:spacing w:val="2"/>
                <w:sz w:val="21"/>
                <w:szCs w:val="21"/>
                <w:lang w:val="en-US" w:eastAsia="zh-CN"/>
              </w:rPr>
            </w:pPr>
            <w:r>
              <w:rPr>
                <w:rFonts w:hint="default" w:ascii="Times New Roman" w:hAnsi="Times New Roman" w:eastAsia="仿宋_GB2312" w:cs="Times New Roman"/>
                <w:spacing w:val="2"/>
                <w:sz w:val="21"/>
                <w:szCs w:val="21"/>
                <w:lang w:val="en-US" w:eastAsia="zh-CN"/>
              </w:rPr>
              <w:t>200</w:t>
            </w:r>
          </w:p>
        </w:tc>
        <w:tc>
          <w:tcPr>
            <w:tcW w:w="828"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default" w:ascii="Times New Roman" w:hAnsi="Times New Roman" w:eastAsia="仿宋_GB2312" w:cs="Times New Roman"/>
                <w:kern w:val="0"/>
                <w:sz w:val="21"/>
                <w:szCs w:val="21"/>
                <w:highlight w:val="none"/>
                <w:lang w:val="en-US" w:eastAsia="zh-CN" w:bidi="ar"/>
              </w:rPr>
            </w:pPr>
            <w:r>
              <w:rPr>
                <w:rFonts w:hint="default" w:ascii="Times New Roman" w:hAnsi="Times New Roman" w:eastAsia="仿宋_GB2312" w:cs="Times New Roman"/>
                <w:kern w:val="0"/>
                <w:sz w:val="21"/>
                <w:szCs w:val="21"/>
                <w:highlight w:val="none"/>
                <w:lang w:val="en-US" w:eastAsia="zh-CN" w:bidi="ar"/>
              </w:rPr>
              <w:t>40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7</w:t>
            </w:r>
          </w:p>
        </w:tc>
        <w:tc>
          <w:tcPr>
            <w:tcW w:w="16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pacing w:val="5"/>
                <w:sz w:val="21"/>
                <w:szCs w:val="21"/>
                <w:lang w:val="en-US" w:eastAsia="zh-CN"/>
              </w:rPr>
            </w:pPr>
            <w:r>
              <w:rPr>
                <w:rFonts w:hint="default" w:ascii="Times New Roman" w:hAnsi="Times New Roman" w:eastAsia="仿宋_GB2312" w:cs="Times New Roman"/>
                <w:sz w:val="21"/>
                <w:szCs w:val="21"/>
              </w:rPr>
              <w:t>GPS</w:t>
            </w:r>
            <w:r>
              <w:rPr>
                <w:rFonts w:hint="default" w:ascii="Times New Roman" w:hAnsi="Times New Roman" w:eastAsia="仿宋_GB2312" w:cs="Times New Roman"/>
                <w:spacing w:val="10"/>
                <w:sz w:val="21"/>
                <w:szCs w:val="21"/>
              </w:rPr>
              <w:t>定位仪</w:t>
            </w:r>
          </w:p>
        </w:tc>
        <w:tc>
          <w:tcPr>
            <w:tcW w:w="6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套</w:t>
            </w:r>
          </w:p>
        </w:tc>
        <w:tc>
          <w:tcPr>
            <w:tcW w:w="7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1</w:t>
            </w:r>
          </w:p>
        </w:tc>
        <w:tc>
          <w:tcPr>
            <w:tcW w:w="613" w:type="pct"/>
            <w:tcBorders>
              <w:tl2br w:val="nil"/>
              <w:tr2bl w:val="nil"/>
            </w:tcBorders>
            <w:noWrap/>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仿宋_GB2312" w:cs="Times New Roman"/>
                <w:spacing w:val="2"/>
                <w:sz w:val="21"/>
                <w:szCs w:val="21"/>
                <w:lang w:val="en-US" w:eastAsia="zh-CN"/>
              </w:rPr>
            </w:pPr>
            <w:r>
              <w:rPr>
                <w:rFonts w:hint="default" w:ascii="Times New Roman" w:hAnsi="Times New Roman" w:eastAsia="仿宋_GB2312" w:cs="Times New Roman"/>
                <w:spacing w:val="2"/>
                <w:sz w:val="21"/>
                <w:szCs w:val="21"/>
                <w:lang w:val="en-US" w:eastAsia="zh-CN"/>
              </w:rPr>
              <w:t>2000</w:t>
            </w:r>
          </w:p>
        </w:tc>
        <w:tc>
          <w:tcPr>
            <w:tcW w:w="828"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default" w:ascii="Times New Roman" w:hAnsi="Times New Roman" w:eastAsia="仿宋_GB2312" w:cs="Times New Roman"/>
                <w:kern w:val="0"/>
                <w:sz w:val="21"/>
                <w:szCs w:val="21"/>
                <w:highlight w:val="none"/>
                <w:lang w:val="en-US" w:eastAsia="zh-CN" w:bidi="ar"/>
              </w:rPr>
            </w:pPr>
            <w:r>
              <w:rPr>
                <w:rFonts w:hint="default" w:ascii="Times New Roman" w:hAnsi="Times New Roman" w:eastAsia="仿宋_GB2312" w:cs="Times New Roman"/>
                <w:kern w:val="0"/>
                <w:sz w:val="21"/>
                <w:szCs w:val="21"/>
                <w:highlight w:val="none"/>
                <w:lang w:val="en-US" w:eastAsia="zh-CN" w:bidi="ar"/>
              </w:rPr>
              <w:t>400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8</w:t>
            </w:r>
          </w:p>
        </w:tc>
        <w:tc>
          <w:tcPr>
            <w:tcW w:w="16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pacing w:val="5"/>
                <w:sz w:val="21"/>
                <w:szCs w:val="21"/>
                <w:lang w:val="en-US" w:eastAsia="zh-CN"/>
              </w:rPr>
            </w:pPr>
            <w:r>
              <w:rPr>
                <w:rFonts w:hint="default" w:ascii="Times New Roman" w:hAnsi="Times New Roman" w:eastAsia="仿宋_GB2312" w:cs="Times New Roman"/>
                <w:sz w:val="21"/>
                <w:szCs w:val="21"/>
                <w:lang w:val="en-US" w:eastAsia="zh-CN"/>
              </w:rPr>
              <w:t>无人机</w:t>
            </w:r>
          </w:p>
        </w:tc>
        <w:tc>
          <w:tcPr>
            <w:tcW w:w="6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个</w:t>
            </w:r>
          </w:p>
        </w:tc>
        <w:tc>
          <w:tcPr>
            <w:tcW w:w="7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1</w:t>
            </w:r>
          </w:p>
        </w:tc>
        <w:tc>
          <w:tcPr>
            <w:tcW w:w="613" w:type="pct"/>
            <w:tcBorders>
              <w:tl2br w:val="nil"/>
              <w:tr2bl w:val="nil"/>
            </w:tcBorders>
            <w:noWrap/>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仿宋_GB2312" w:cs="Times New Roman"/>
                <w:spacing w:val="2"/>
                <w:sz w:val="21"/>
                <w:szCs w:val="21"/>
                <w:lang w:val="en-US" w:eastAsia="zh-CN"/>
              </w:rPr>
            </w:pPr>
            <w:r>
              <w:rPr>
                <w:rFonts w:hint="default" w:ascii="Times New Roman" w:hAnsi="Times New Roman" w:eastAsia="仿宋_GB2312" w:cs="Times New Roman"/>
                <w:spacing w:val="2"/>
                <w:sz w:val="21"/>
                <w:szCs w:val="21"/>
                <w:lang w:val="en-US" w:eastAsia="zh-CN"/>
              </w:rPr>
              <w:t>18000</w:t>
            </w:r>
          </w:p>
        </w:tc>
        <w:tc>
          <w:tcPr>
            <w:tcW w:w="828"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default" w:ascii="Times New Roman" w:hAnsi="Times New Roman" w:eastAsia="仿宋_GB2312" w:cs="Times New Roman"/>
                <w:kern w:val="0"/>
                <w:sz w:val="21"/>
                <w:szCs w:val="21"/>
                <w:highlight w:val="none"/>
                <w:lang w:val="en-US" w:eastAsia="zh-CN" w:bidi="ar"/>
              </w:rPr>
            </w:pPr>
            <w:r>
              <w:rPr>
                <w:rFonts w:hint="default" w:ascii="Times New Roman" w:hAnsi="Times New Roman" w:eastAsia="仿宋_GB2312" w:cs="Times New Roman"/>
                <w:kern w:val="0"/>
                <w:sz w:val="21"/>
                <w:szCs w:val="21"/>
                <w:highlight w:val="none"/>
                <w:lang w:val="en-US" w:eastAsia="zh-CN" w:bidi="ar"/>
              </w:rPr>
              <w:t>3600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9</w:t>
            </w:r>
          </w:p>
        </w:tc>
        <w:tc>
          <w:tcPr>
            <w:tcW w:w="1623" w:type="pct"/>
            <w:tcBorders>
              <w:tl2br w:val="nil"/>
              <w:tr2bl w:val="nil"/>
            </w:tcBorders>
            <w:noWrap w:val="0"/>
            <w:vAlign w:val="center"/>
          </w:tcPr>
          <w:p>
            <w:pPr>
              <w:keepNext w:val="0"/>
              <w:keepLines w:val="0"/>
              <w:widowControl/>
              <w:suppressLineNumbers w:val="0"/>
              <w:jc w:val="center"/>
              <w:rPr>
                <w:rFonts w:hint="default" w:ascii="Times New Roman" w:hAnsi="Times New Roman" w:eastAsia="仿宋_GB2312" w:cs="Times New Roman"/>
                <w:spacing w:val="5"/>
                <w:sz w:val="21"/>
                <w:szCs w:val="21"/>
                <w:lang w:val="en-US" w:eastAsia="zh-CN"/>
              </w:rPr>
            </w:pPr>
            <w:r>
              <w:rPr>
                <w:rFonts w:hint="default" w:ascii="Times New Roman" w:hAnsi="Times New Roman" w:eastAsia="仿宋_GB2312" w:cs="Times New Roman"/>
                <w:color w:val="000000"/>
                <w:kern w:val="0"/>
                <w:sz w:val="20"/>
                <w:szCs w:val="20"/>
                <w:lang w:val="en-US" w:eastAsia="zh-CN" w:bidi="ar"/>
              </w:rPr>
              <w:t>风向风速自测仪</w:t>
            </w:r>
          </w:p>
        </w:tc>
        <w:tc>
          <w:tcPr>
            <w:tcW w:w="6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台</w:t>
            </w:r>
          </w:p>
        </w:tc>
        <w:tc>
          <w:tcPr>
            <w:tcW w:w="7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1</w:t>
            </w:r>
          </w:p>
        </w:tc>
        <w:tc>
          <w:tcPr>
            <w:tcW w:w="613" w:type="pct"/>
            <w:tcBorders>
              <w:tl2br w:val="nil"/>
              <w:tr2bl w:val="nil"/>
            </w:tcBorders>
            <w:noWrap/>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仿宋_GB2312" w:cs="Times New Roman"/>
                <w:spacing w:val="2"/>
                <w:sz w:val="21"/>
                <w:szCs w:val="21"/>
                <w:lang w:val="en-US" w:eastAsia="zh-CN"/>
              </w:rPr>
            </w:pPr>
            <w:r>
              <w:rPr>
                <w:rFonts w:hint="default" w:ascii="Times New Roman" w:hAnsi="Times New Roman" w:eastAsia="仿宋_GB2312" w:cs="Times New Roman"/>
                <w:spacing w:val="2"/>
                <w:sz w:val="21"/>
                <w:szCs w:val="21"/>
                <w:lang w:val="en-US" w:eastAsia="zh-CN"/>
              </w:rPr>
              <w:t>4000</w:t>
            </w:r>
          </w:p>
        </w:tc>
        <w:tc>
          <w:tcPr>
            <w:tcW w:w="828"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default" w:ascii="Times New Roman" w:hAnsi="Times New Roman" w:eastAsia="仿宋_GB2312" w:cs="Times New Roman"/>
                <w:kern w:val="0"/>
                <w:sz w:val="21"/>
                <w:szCs w:val="21"/>
                <w:highlight w:val="none"/>
                <w:lang w:val="en-US" w:eastAsia="zh-CN" w:bidi="ar"/>
              </w:rPr>
            </w:pPr>
            <w:r>
              <w:rPr>
                <w:rFonts w:hint="default" w:ascii="Times New Roman" w:hAnsi="Times New Roman" w:eastAsia="仿宋_GB2312" w:cs="Times New Roman"/>
                <w:kern w:val="0"/>
                <w:sz w:val="21"/>
                <w:szCs w:val="21"/>
                <w:highlight w:val="none"/>
                <w:lang w:val="en-US" w:eastAsia="zh-CN" w:bidi="ar"/>
              </w:rPr>
              <w:t>800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z w:val="21"/>
                <w:szCs w:val="21"/>
                <w:lang w:val="en-US" w:eastAsia="zh-CN"/>
              </w:rPr>
            </w:pPr>
            <w:r>
              <w:rPr>
                <w:rFonts w:hint="eastAsia" w:eastAsia="仿宋_GB2312" w:cs="Times New Roman"/>
                <w:sz w:val="21"/>
                <w:szCs w:val="21"/>
                <w:lang w:val="en-US" w:eastAsia="zh-CN"/>
              </w:rPr>
              <w:t>10</w:t>
            </w:r>
          </w:p>
        </w:tc>
        <w:tc>
          <w:tcPr>
            <w:tcW w:w="1623" w:type="pct"/>
            <w:tcBorders>
              <w:tl2br w:val="nil"/>
              <w:tr2bl w:val="nil"/>
            </w:tcBorders>
            <w:noWrap w:val="0"/>
            <w:vAlign w:val="center"/>
          </w:tcPr>
          <w:p>
            <w:pPr>
              <w:keepNext w:val="0"/>
              <w:keepLines w:val="0"/>
              <w:widowControl/>
              <w:suppressLineNumbers w:val="0"/>
              <w:jc w:val="center"/>
              <w:rPr>
                <w:rFonts w:hint="default" w:ascii="Times New Roman" w:hAnsi="Times New Roman" w:eastAsia="仿宋_GB2312" w:cs="Times New Roman"/>
                <w:spacing w:val="5"/>
                <w:sz w:val="21"/>
                <w:szCs w:val="21"/>
                <w:lang w:val="en-US" w:eastAsia="zh-CN"/>
              </w:rPr>
            </w:pPr>
            <w:r>
              <w:rPr>
                <w:rFonts w:hint="default" w:ascii="Times New Roman" w:hAnsi="Times New Roman" w:eastAsia="仿宋_GB2312" w:cs="Times New Roman"/>
                <w:color w:val="000000"/>
                <w:kern w:val="0"/>
                <w:sz w:val="20"/>
                <w:szCs w:val="20"/>
                <w:lang w:val="en-US" w:eastAsia="zh-CN" w:bidi="ar"/>
              </w:rPr>
              <w:t>径流泥沙自测仪</w:t>
            </w:r>
          </w:p>
        </w:tc>
        <w:tc>
          <w:tcPr>
            <w:tcW w:w="6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台</w:t>
            </w:r>
          </w:p>
        </w:tc>
        <w:tc>
          <w:tcPr>
            <w:tcW w:w="7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1</w:t>
            </w:r>
          </w:p>
        </w:tc>
        <w:tc>
          <w:tcPr>
            <w:tcW w:w="613" w:type="pct"/>
            <w:tcBorders>
              <w:tl2br w:val="nil"/>
              <w:tr2bl w:val="nil"/>
            </w:tcBorders>
            <w:noWrap/>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仿宋_GB2312" w:cs="Times New Roman"/>
                <w:spacing w:val="2"/>
                <w:sz w:val="21"/>
                <w:szCs w:val="21"/>
                <w:lang w:val="en-US" w:eastAsia="zh-CN"/>
              </w:rPr>
            </w:pPr>
            <w:r>
              <w:rPr>
                <w:rFonts w:hint="default" w:ascii="Times New Roman" w:hAnsi="Times New Roman" w:eastAsia="仿宋_GB2312" w:cs="Times New Roman"/>
                <w:spacing w:val="2"/>
                <w:sz w:val="21"/>
                <w:szCs w:val="21"/>
                <w:lang w:val="en-US" w:eastAsia="zh-CN"/>
              </w:rPr>
              <w:t>3000</w:t>
            </w:r>
          </w:p>
        </w:tc>
        <w:tc>
          <w:tcPr>
            <w:tcW w:w="828"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default" w:ascii="Times New Roman" w:hAnsi="Times New Roman" w:eastAsia="仿宋_GB2312" w:cs="Times New Roman"/>
                <w:kern w:val="0"/>
                <w:sz w:val="21"/>
                <w:szCs w:val="21"/>
                <w:highlight w:val="none"/>
                <w:lang w:val="en-US" w:eastAsia="zh-CN" w:bidi="ar"/>
              </w:rPr>
            </w:pPr>
            <w:r>
              <w:rPr>
                <w:rFonts w:hint="default" w:ascii="Times New Roman" w:hAnsi="Times New Roman" w:eastAsia="仿宋_GB2312" w:cs="Times New Roman"/>
                <w:kern w:val="0"/>
                <w:sz w:val="21"/>
                <w:szCs w:val="21"/>
                <w:highlight w:val="none"/>
                <w:lang w:val="en-US" w:eastAsia="zh-CN" w:bidi="ar"/>
              </w:rPr>
              <w:t>600</w:t>
            </w:r>
          </w:p>
        </w:tc>
      </w:tr>
    </w:tbl>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val="0"/>
          <w:bCs w:val="0"/>
          <w:sz w:val="21"/>
          <w:szCs w:val="21"/>
          <w:highlight w:val="none"/>
        </w:rPr>
      </w:pP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right"/>
        <w:textAlignment w:val="auto"/>
        <w:rPr>
          <w:rFonts w:hint="default" w:ascii="Times New Roman" w:hAnsi="Times New Roman" w:eastAsia="仿宋_GB2312" w:cs="Times New Roman"/>
          <w:b/>
          <w:bCs/>
          <w:sz w:val="21"/>
          <w:szCs w:val="21"/>
          <w:highlight w:val="none"/>
        </w:rPr>
      </w:pPr>
      <w:r>
        <w:rPr>
          <w:rFonts w:hint="default" w:ascii="Times New Roman" w:hAnsi="Times New Roman" w:eastAsia="微软雅黑" w:cs="Times New Roman"/>
          <w:b w:val="0"/>
          <w:bCs w:val="0"/>
          <w:sz w:val="21"/>
          <w:szCs w:val="21"/>
          <w:highlight w:val="none"/>
        </w:rPr>
        <w:t>表7-</w:t>
      </w:r>
      <w:r>
        <w:rPr>
          <w:rFonts w:hint="eastAsia" w:eastAsia="微软雅黑" w:cs="Times New Roman"/>
          <w:b w:val="0"/>
          <w:bCs w:val="0"/>
          <w:sz w:val="21"/>
          <w:szCs w:val="21"/>
          <w:highlight w:val="none"/>
          <w:lang w:val="en-US" w:eastAsia="zh-CN"/>
        </w:rPr>
        <w:t>8</w:t>
      </w:r>
      <w:r>
        <w:rPr>
          <w:rFonts w:hint="default" w:ascii="Times New Roman" w:hAnsi="Times New Roman" w:eastAsia="微软雅黑" w:cs="Times New Roman"/>
          <w:b w:val="0"/>
          <w:bCs w:val="0"/>
          <w:sz w:val="21"/>
          <w:szCs w:val="21"/>
          <w:highlight w:val="none"/>
          <w:lang w:val="en-US" w:eastAsia="zh-CN"/>
        </w:rPr>
        <w:t xml:space="preserve">  </w:t>
      </w:r>
      <w:r>
        <w:rPr>
          <w:rFonts w:hint="default" w:ascii="Times New Roman" w:hAnsi="Times New Roman" w:eastAsia="微软雅黑" w:cs="Times New Roman"/>
          <w:b w:val="0"/>
          <w:bCs w:val="0"/>
          <w:sz w:val="21"/>
          <w:szCs w:val="21"/>
          <w:highlight w:val="none"/>
        </w:rPr>
        <w:t>主要材料单价汇总表</w:t>
      </w:r>
      <w:r>
        <w:rPr>
          <w:rFonts w:hint="default" w:ascii="Times New Roman" w:hAnsi="Times New Roman" w:eastAsia="仿宋_GB2312" w:cs="Times New Roman"/>
          <w:b/>
          <w:bCs/>
          <w:sz w:val="21"/>
          <w:szCs w:val="21"/>
          <w:highlight w:val="none"/>
          <w:lang w:val="en-US" w:eastAsia="zh-CN"/>
        </w:rPr>
        <w:t xml:space="preserve">            </w:t>
      </w:r>
      <w:r>
        <w:rPr>
          <w:rFonts w:hint="eastAsia" w:ascii="Times New Roman" w:hAnsi="Times New Roman" w:eastAsia="仿宋_GB2312" w:cs="Times New Roman"/>
          <w:b/>
          <w:bCs/>
          <w:sz w:val="21"/>
          <w:szCs w:val="21"/>
          <w:highlight w:val="none"/>
          <w:lang w:val="en-US" w:eastAsia="zh-CN"/>
        </w:rPr>
        <w:t xml:space="preserve">   </w:t>
      </w:r>
      <w:r>
        <w:rPr>
          <w:rFonts w:hint="default" w:ascii="Times New Roman" w:hAnsi="Times New Roman" w:eastAsia="仿宋_GB2312" w:cs="Times New Roman"/>
          <w:b/>
          <w:bCs/>
          <w:sz w:val="21"/>
          <w:szCs w:val="21"/>
          <w:highlight w:val="none"/>
          <w:lang w:val="en-US" w:eastAsia="zh-CN"/>
        </w:rPr>
        <w:t xml:space="preserve">     </w:t>
      </w:r>
      <w:r>
        <w:rPr>
          <w:rFonts w:hint="default" w:ascii="Times New Roman" w:hAnsi="Times New Roman" w:eastAsia="仿宋_GB2312" w:cs="Times New Roman"/>
          <w:b/>
          <w:bCs/>
          <w:sz w:val="21"/>
          <w:szCs w:val="21"/>
          <w:highlight w:val="none"/>
        </w:rPr>
        <w:t>单位：元</w:t>
      </w:r>
    </w:p>
    <w:tbl>
      <w:tblPr>
        <w:tblStyle w:val="88"/>
        <w:tblW w:w="4998" w:type="pct"/>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65"/>
        <w:gridCol w:w="1133"/>
        <w:gridCol w:w="691"/>
        <w:gridCol w:w="967"/>
        <w:gridCol w:w="1143"/>
        <w:gridCol w:w="1090"/>
        <w:gridCol w:w="1757"/>
        <w:gridCol w:w="1180"/>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1" w:type="pct"/>
            <w:vMerge w:val="restart"/>
            <w:tcBorders>
              <w:tl2br w:val="nil"/>
              <w:tr2bl w:val="nil"/>
            </w:tcBorders>
            <w:noWrap w:val="0"/>
            <w:vAlign w:val="center"/>
          </w:tcPr>
          <w:p>
            <w:pPr>
              <w:widowControl/>
              <w:jc w:val="center"/>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序号</w:t>
            </w:r>
          </w:p>
        </w:tc>
        <w:tc>
          <w:tcPr>
            <w:tcW w:w="664" w:type="pct"/>
            <w:vMerge w:val="restart"/>
            <w:tcBorders>
              <w:tl2br w:val="nil"/>
              <w:tr2bl w:val="nil"/>
            </w:tcBorders>
            <w:noWrap w:val="0"/>
            <w:vAlign w:val="center"/>
          </w:tcPr>
          <w:p>
            <w:pPr>
              <w:widowControl/>
              <w:jc w:val="center"/>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名称及</w:t>
            </w:r>
          </w:p>
          <w:p>
            <w:pPr>
              <w:widowControl/>
              <w:jc w:val="center"/>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规格</w:t>
            </w:r>
          </w:p>
        </w:tc>
        <w:tc>
          <w:tcPr>
            <w:tcW w:w="405" w:type="pct"/>
            <w:vMerge w:val="restart"/>
            <w:tcBorders>
              <w:tl2br w:val="nil"/>
              <w:tr2bl w:val="nil"/>
            </w:tcBorders>
            <w:noWrap w:val="0"/>
            <w:vAlign w:val="center"/>
          </w:tcPr>
          <w:p>
            <w:pPr>
              <w:widowControl/>
              <w:jc w:val="center"/>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单位</w:t>
            </w:r>
          </w:p>
        </w:tc>
        <w:tc>
          <w:tcPr>
            <w:tcW w:w="567" w:type="pct"/>
            <w:vMerge w:val="restart"/>
            <w:tcBorders>
              <w:tl2br w:val="nil"/>
              <w:tr2bl w:val="nil"/>
            </w:tcBorders>
            <w:noWrap w:val="0"/>
            <w:vAlign w:val="center"/>
          </w:tcPr>
          <w:p>
            <w:pPr>
              <w:widowControl/>
              <w:jc w:val="center"/>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预算价格（元）</w:t>
            </w:r>
          </w:p>
        </w:tc>
        <w:tc>
          <w:tcPr>
            <w:tcW w:w="3030" w:type="pct"/>
            <w:gridSpan w:val="4"/>
            <w:tcBorders>
              <w:tl2br w:val="nil"/>
              <w:tr2bl w:val="nil"/>
            </w:tcBorders>
            <w:noWrap w:val="0"/>
            <w:vAlign w:val="center"/>
          </w:tcPr>
          <w:p>
            <w:pPr>
              <w:widowControl/>
              <w:jc w:val="center"/>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其中</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1" w:type="pct"/>
            <w:vMerge w:val="continue"/>
            <w:tcBorders>
              <w:tl2br w:val="nil"/>
              <w:tr2bl w:val="nil"/>
            </w:tcBorders>
            <w:noWrap w:val="0"/>
            <w:vAlign w:val="center"/>
          </w:tcPr>
          <w:p>
            <w:pPr>
              <w:widowControl/>
              <w:jc w:val="center"/>
              <w:rPr>
                <w:rFonts w:hint="default" w:ascii="Times New Roman" w:hAnsi="Times New Roman" w:eastAsia="仿宋_GB2312" w:cs="Times New Roman"/>
                <w:color w:val="auto"/>
                <w:sz w:val="20"/>
                <w:szCs w:val="20"/>
              </w:rPr>
            </w:pPr>
          </w:p>
        </w:tc>
        <w:tc>
          <w:tcPr>
            <w:tcW w:w="664" w:type="pct"/>
            <w:vMerge w:val="continue"/>
            <w:tcBorders>
              <w:tl2br w:val="nil"/>
              <w:tr2bl w:val="nil"/>
            </w:tcBorders>
            <w:noWrap w:val="0"/>
            <w:vAlign w:val="center"/>
          </w:tcPr>
          <w:p>
            <w:pPr>
              <w:widowControl/>
              <w:jc w:val="center"/>
              <w:rPr>
                <w:rFonts w:hint="default" w:ascii="Times New Roman" w:hAnsi="Times New Roman" w:eastAsia="仿宋_GB2312" w:cs="Times New Roman"/>
                <w:color w:val="auto"/>
                <w:sz w:val="20"/>
                <w:szCs w:val="20"/>
              </w:rPr>
            </w:pPr>
          </w:p>
        </w:tc>
        <w:tc>
          <w:tcPr>
            <w:tcW w:w="405" w:type="pct"/>
            <w:vMerge w:val="continue"/>
            <w:tcBorders>
              <w:tl2br w:val="nil"/>
              <w:tr2bl w:val="nil"/>
            </w:tcBorders>
            <w:noWrap w:val="0"/>
            <w:vAlign w:val="center"/>
          </w:tcPr>
          <w:p>
            <w:pPr>
              <w:widowControl/>
              <w:jc w:val="center"/>
              <w:rPr>
                <w:rFonts w:hint="default" w:ascii="Times New Roman" w:hAnsi="Times New Roman" w:eastAsia="仿宋_GB2312" w:cs="Times New Roman"/>
                <w:color w:val="auto"/>
                <w:sz w:val="20"/>
                <w:szCs w:val="20"/>
              </w:rPr>
            </w:pPr>
          </w:p>
        </w:tc>
        <w:tc>
          <w:tcPr>
            <w:tcW w:w="567" w:type="pct"/>
            <w:vMerge w:val="continue"/>
            <w:tcBorders>
              <w:tl2br w:val="nil"/>
              <w:tr2bl w:val="nil"/>
            </w:tcBorders>
            <w:noWrap w:val="0"/>
            <w:vAlign w:val="center"/>
          </w:tcPr>
          <w:p>
            <w:pPr>
              <w:widowControl/>
              <w:jc w:val="center"/>
              <w:rPr>
                <w:rFonts w:hint="default" w:ascii="Times New Roman" w:hAnsi="Times New Roman" w:eastAsia="仿宋_GB2312" w:cs="Times New Roman"/>
                <w:color w:val="auto"/>
                <w:sz w:val="20"/>
                <w:szCs w:val="20"/>
              </w:rPr>
            </w:pPr>
          </w:p>
        </w:tc>
        <w:tc>
          <w:tcPr>
            <w:tcW w:w="670" w:type="pct"/>
            <w:tcBorders>
              <w:tl2br w:val="nil"/>
              <w:tr2bl w:val="nil"/>
            </w:tcBorders>
            <w:noWrap w:val="0"/>
            <w:vAlign w:val="center"/>
          </w:tcPr>
          <w:p>
            <w:pPr>
              <w:widowControl/>
              <w:jc w:val="center"/>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lang w:val="en-US" w:eastAsia="zh-CN"/>
              </w:rPr>
              <w:t>基</w:t>
            </w:r>
            <w:r>
              <w:rPr>
                <w:rFonts w:hint="default" w:ascii="Times New Roman" w:hAnsi="Times New Roman" w:eastAsia="仿宋_GB2312" w:cs="Times New Roman"/>
                <w:color w:val="auto"/>
                <w:sz w:val="20"/>
                <w:szCs w:val="20"/>
              </w:rPr>
              <w:t>价</w:t>
            </w:r>
          </w:p>
        </w:tc>
        <w:tc>
          <w:tcPr>
            <w:tcW w:w="639" w:type="pct"/>
            <w:tcBorders>
              <w:tl2br w:val="nil"/>
              <w:tr2bl w:val="nil"/>
            </w:tcBorders>
            <w:noWrap w:val="0"/>
            <w:vAlign w:val="center"/>
          </w:tcPr>
          <w:p>
            <w:pPr>
              <w:widowControl/>
              <w:jc w:val="center"/>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运杂费</w:t>
            </w:r>
          </w:p>
        </w:tc>
        <w:tc>
          <w:tcPr>
            <w:tcW w:w="1030" w:type="pct"/>
            <w:tcBorders>
              <w:tl2br w:val="nil"/>
              <w:tr2bl w:val="nil"/>
            </w:tcBorders>
            <w:noWrap w:val="0"/>
            <w:vAlign w:val="center"/>
          </w:tcPr>
          <w:p>
            <w:pPr>
              <w:widowControl/>
              <w:jc w:val="center"/>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采购及保管费</w:t>
            </w:r>
          </w:p>
        </w:tc>
        <w:tc>
          <w:tcPr>
            <w:tcW w:w="690" w:type="pct"/>
            <w:tcBorders>
              <w:tl2br w:val="nil"/>
              <w:tr2bl w:val="nil"/>
            </w:tcBorders>
            <w:noWrap w:val="0"/>
            <w:vAlign w:val="center"/>
          </w:tcPr>
          <w:p>
            <w:pPr>
              <w:widowControl/>
              <w:jc w:val="center"/>
              <w:rPr>
                <w:rFonts w:hint="default" w:ascii="Times New Roman" w:hAnsi="Times New Roman" w:eastAsia="仿宋_GB2312" w:cs="Times New Roman"/>
                <w:color w:val="auto"/>
                <w:sz w:val="20"/>
                <w:szCs w:val="20"/>
                <w:lang w:eastAsia="zh-CN"/>
              </w:rPr>
            </w:pPr>
            <w:r>
              <w:rPr>
                <w:rFonts w:hint="default" w:ascii="Times New Roman" w:hAnsi="Times New Roman" w:eastAsia="仿宋_GB2312" w:cs="Times New Roman"/>
                <w:color w:val="auto"/>
                <w:sz w:val="20"/>
                <w:szCs w:val="20"/>
                <w:lang w:eastAsia="zh-CN"/>
              </w:rPr>
              <w:t>价差</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1" w:type="pct"/>
            <w:tcBorders>
              <w:tl2br w:val="nil"/>
              <w:tr2bl w:val="nil"/>
            </w:tcBorders>
            <w:noWrap w:val="0"/>
            <w:vAlign w:val="center"/>
          </w:tcPr>
          <w:p>
            <w:pPr>
              <w:widowControl/>
              <w:jc w:val="center"/>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1</w:t>
            </w:r>
          </w:p>
        </w:tc>
        <w:tc>
          <w:tcPr>
            <w:tcW w:w="664" w:type="pct"/>
            <w:tcBorders>
              <w:tl2br w:val="nil"/>
              <w:tr2bl w:val="nil"/>
            </w:tcBorders>
            <w:noWrap w:val="0"/>
            <w:vAlign w:val="center"/>
          </w:tcPr>
          <w:p>
            <w:pPr>
              <w:widowControl/>
              <w:jc w:val="center"/>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水</w:t>
            </w:r>
          </w:p>
        </w:tc>
        <w:tc>
          <w:tcPr>
            <w:tcW w:w="405" w:type="pct"/>
            <w:tcBorders>
              <w:tl2br w:val="nil"/>
              <w:tr2bl w:val="nil"/>
            </w:tcBorders>
            <w:noWrap w:val="0"/>
            <w:vAlign w:val="center"/>
          </w:tcPr>
          <w:p>
            <w:pPr>
              <w:widowControl/>
              <w:jc w:val="center"/>
              <w:rPr>
                <w:rFonts w:hint="default" w:ascii="Times New Roman" w:hAnsi="Times New Roman" w:eastAsia="仿宋_GB2312" w:cs="Times New Roman"/>
                <w:color w:val="auto"/>
                <w:sz w:val="20"/>
                <w:szCs w:val="20"/>
                <w:lang w:eastAsia="zh-CN"/>
              </w:rPr>
            </w:pPr>
            <w:r>
              <w:rPr>
                <w:rFonts w:hint="default" w:ascii="Times New Roman" w:hAnsi="Times New Roman" w:eastAsia="仿宋_GB2312" w:cs="Times New Roman"/>
                <w:color w:val="auto"/>
                <w:sz w:val="20"/>
                <w:szCs w:val="20"/>
              </w:rPr>
              <w:t>m</w:t>
            </w:r>
            <w:r>
              <w:rPr>
                <w:rFonts w:hint="default" w:ascii="Times New Roman" w:hAnsi="Times New Roman" w:eastAsia="仿宋_GB2312" w:cs="Times New Roman"/>
                <w:color w:val="auto"/>
                <w:sz w:val="20"/>
                <w:szCs w:val="20"/>
                <w:vertAlign w:val="superscript"/>
                <w:lang w:eastAsia="zh-CN"/>
              </w:rPr>
              <w:t>3</w:t>
            </w:r>
          </w:p>
        </w:tc>
        <w:tc>
          <w:tcPr>
            <w:tcW w:w="567" w:type="pct"/>
            <w:tcBorders>
              <w:tl2br w:val="nil"/>
              <w:tr2bl w:val="nil"/>
            </w:tcBorders>
            <w:noWrap w:val="0"/>
            <w:vAlign w:val="center"/>
          </w:tcPr>
          <w:p>
            <w:pPr>
              <w:widowControl/>
              <w:jc w:val="center"/>
              <w:rPr>
                <w:rFonts w:hint="default"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color w:val="auto"/>
                <w:sz w:val="20"/>
                <w:szCs w:val="20"/>
                <w:lang w:val="en-US" w:eastAsia="zh-CN"/>
              </w:rPr>
              <w:t>2.5</w:t>
            </w:r>
          </w:p>
        </w:tc>
        <w:tc>
          <w:tcPr>
            <w:tcW w:w="670" w:type="pct"/>
            <w:tcBorders>
              <w:tl2br w:val="nil"/>
              <w:tr2bl w:val="nil"/>
            </w:tcBorders>
            <w:noWrap w:val="0"/>
            <w:vAlign w:val="center"/>
          </w:tcPr>
          <w:p>
            <w:pPr>
              <w:widowControl/>
              <w:jc w:val="center"/>
              <w:rPr>
                <w:rFonts w:hint="default" w:ascii="Times New Roman" w:hAnsi="Times New Roman" w:eastAsia="仿宋_GB2312" w:cs="Times New Roman"/>
                <w:color w:val="auto"/>
                <w:sz w:val="20"/>
                <w:szCs w:val="20"/>
              </w:rPr>
            </w:pPr>
          </w:p>
        </w:tc>
        <w:tc>
          <w:tcPr>
            <w:tcW w:w="639" w:type="pct"/>
            <w:tcBorders>
              <w:tl2br w:val="nil"/>
              <w:tr2bl w:val="nil"/>
            </w:tcBorders>
            <w:noWrap w:val="0"/>
            <w:vAlign w:val="center"/>
          </w:tcPr>
          <w:p>
            <w:pPr>
              <w:widowControl/>
              <w:jc w:val="center"/>
              <w:rPr>
                <w:rFonts w:hint="default" w:ascii="Times New Roman" w:hAnsi="Times New Roman" w:eastAsia="仿宋_GB2312" w:cs="Times New Roman"/>
                <w:color w:val="auto"/>
                <w:sz w:val="20"/>
                <w:szCs w:val="20"/>
              </w:rPr>
            </w:pPr>
          </w:p>
        </w:tc>
        <w:tc>
          <w:tcPr>
            <w:tcW w:w="1030" w:type="pct"/>
            <w:tcBorders>
              <w:tl2br w:val="nil"/>
              <w:tr2bl w:val="nil"/>
            </w:tcBorders>
            <w:noWrap w:val="0"/>
            <w:vAlign w:val="center"/>
          </w:tcPr>
          <w:p>
            <w:pPr>
              <w:widowControl/>
              <w:jc w:val="center"/>
              <w:rPr>
                <w:rFonts w:hint="default" w:ascii="Times New Roman" w:hAnsi="Times New Roman" w:eastAsia="仿宋_GB2312" w:cs="Times New Roman"/>
                <w:color w:val="auto"/>
                <w:sz w:val="20"/>
                <w:szCs w:val="20"/>
              </w:rPr>
            </w:pPr>
          </w:p>
        </w:tc>
        <w:tc>
          <w:tcPr>
            <w:tcW w:w="690" w:type="pct"/>
            <w:tcBorders>
              <w:tl2br w:val="nil"/>
              <w:tr2bl w:val="nil"/>
            </w:tcBorders>
            <w:noWrap w:val="0"/>
            <w:vAlign w:val="center"/>
          </w:tcPr>
          <w:p>
            <w:pPr>
              <w:widowControl/>
              <w:jc w:val="center"/>
              <w:rPr>
                <w:rFonts w:hint="default" w:ascii="Times New Roman" w:hAnsi="Times New Roman" w:eastAsia="仿宋_GB2312" w:cs="Times New Roman"/>
                <w:color w:val="auto"/>
                <w:sz w:val="20"/>
                <w:szCs w:val="20"/>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1" w:type="pct"/>
            <w:tcBorders>
              <w:tl2br w:val="nil"/>
              <w:tr2bl w:val="nil"/>
            </w:tcBorders>
            <w:noWrap w:val="0"/>
            <w:vAlign w:val="center"/>
          </w:tcPr>
          <w:p>
            <w:pPr>
              <w:widowControl/>
              <w:jc w:val="center"/>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2</w:t>
            </w:r>
          </w:p>
        </w:tc>
        <w:tc>
          <w:tcPr>
            <w:tcW w:w="664" w:type="pct"/>
            <w:tcBorders>
              <w:tl2br w:val="nil"/>
              <w:tr2bl w:val="nil"/>
            </w:tcBorders>
            <w:noWrap w:val="0"/>
            <w:vAlign w:val="center"/>
          </w:tcPr>
          <w:p>
            <w:pPr>
              <w:widowControl/>
              <w:jc w:val="center"/>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电</w:t>
            </w:r>
          </w:p>
        </w:tc>
        <w:tc>
          <w:tcPr>
            <w:tcW w:w="405" w:type="pct"/>
            <w:tcBorders>
              <w:tl2br w:val="nil"/>
              <w:tr2bl w:val="nil"/>
            </w:tcBorders>
            <w:noWrap w:val="0"/>
            <w:vAlign w:val="center"/>
          </w:tcPr>
          <w:p>
            <w:pPr>
              <w:widowControl/>
              <w:jc w:val="center"/>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kWh</w:t>
            </w:r>
          </w:p>
        </w:tc>
        <w:tc>
          <w:tcPr>
            <w:tcW w:w="567" w:type="pct"/>
            <w:tcBorders>
              <w:tl2br w:val="nil"/>
              <w:tr2bl w:val="nil"/>
            </w:tcBorders>
            <w:noWrap w:val="0"/>
            <w:vAlign w:val="center"/>
          </w:tcPr>
          <w:p>
            <w:pPr>
              <w:widowControl/>
              <w:jc w:val="center"/>
              <w:rPr>
                <w:rFonts w:hint="default"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color w:val="auto"/>
                <w:sz w:val="20"/>
                <w:szCs w:val="20"/>
                <w:lang w:val="en-US" w:eastAsia="zh-CN"/>
              </w:rPr>
              <w:t>1.0</w:t>
            </w:r>
          </w:p>
        </w:tc>
        <w:tc>
          <w:tcPr>
            <w:tcW w:w="670" w:type="pct"/>
            <w:tcBorders>
              <w:tl2br w:val="nil"/>
              <w:tr2bl w:val="nil"/>
            </w:tcBorders>
            <w:noWrap w:val="0"/>
            <w:vAlign w:val="center"/>
          </w:tcPr>
          <w:p>
            <w:pPr>
              <w:widowControl/>
              <w:jc w:val="center"/>
              <w:rPr>
                <w:rFonts w:hint="default" w:ascii="Times New Roman" w:hAnsi="Times New Roman" w:eastAsia="仿宋_GB2312" w:cs="Times New Roman"/>
                <w:color w:val="auto"/>
                <w:sz w:val="20"/>
                <w:szCs w:val="20"/>
              </w:rPr>
            </w:pPr>
          </w:p>
        </w:tc>
        <w:tc>
          <w:tcPr>
            <w:tcW w:w="639" w:type="pct"/>
            <w:tcBorders>
              <w:tl2br w:val="nil"/>
              <w:tr2bl w:val="nil"/>
            </w:tcBorders>
            <w:noWrap w:val="0"/>
            <w:vAlign w:val="center"/>
          </w:tcPr>
          <w:p>
            <w:pPr>
              <w:widowControl/>
              <w:jc w:val="center"/>
              <w:rPr>
                <w:rFonts w:hint="default" w:ascii="Times New Roman" w:hAnsi="Times New Roman" w:eastAsia="仿宋_GB2312" w:cs="Times New Roman"/>
                <w:color w:val="auto"/>
                <w:sz w:val="20"/>
                <w:szCs w:val="20"/>
              </w:rPr>
            </w:pPr>
          </w:p>
        </w:tc>
        <w:tc>
          <w:tcPr>
            <w:tcW w:w="1030" w:type="pct"/>
            <w:tcBorders>
              <w:tl2br w:val="nil"/>
              <w:tr2bl w:val="nil"/>
            </w:tcBorders>
            <w:noWrap w:val="0"/>
            <w:vAlign w:val="center"/>
          </w:tcPr>
          <w:p>
            <w:pPr>
              <w:widowControl/>
              <w:jc w:val="center"/>
              <w:rPr>
                <w:rFonts w:hint="default" w:ascii="Times New Roman" w:hAnsi="Times New Roman" w:eastAsia="仿宋_GB2312" w:cs="Times New Roman"/>
                <w:color w:val="auto"/>
                <w:sz w:val="20"/>
                <w:szCs w:val="20"/>
              </w:rPr>
            </w:pPr>
          </w:p>
        </w:tc>
        <w:tc>
          <w:tcPr>
            <w:tcW w:w="690" w:type="pct"/>
            <w:tcBorders>
              <w:tl2br w:val="nil"/>
              <w:tr2bl w:val="nil"/>
            </w:tcBorders>
            <w:noWrap w:val="0"/>
            <w:vAlign w:val="center"/>
          </w:tcPr>
          <w:p>
            <w:pPr>
              <w:widowControl/>
              <w:jc w:val="center"/>
              <w:rPr>
                <w:rFonts w:hint="default" w:ascii="Times New Roman" w:hAnsi="Times New Roman" w:eastAsia="仿宋_GB2312" w:cs="Times New Roman"/>
                <w:color w:val="auto"/>
                <w:sz w:val="20"/>
                <w:szCs w:val="20"/>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1" w:type="pct"/>
            <w:tcBorders>
              <w:tl2br w:val="nil"/>
              <w:tr2bl w:val="nil"/>
            </w:tcBorders>
            <w:noWrap w:val="0"/>
            <w:vAlign w:val="center"/>
          </w:tcPr>
          <w:p>
            <w:pPr>
              <w:widowControl/>
              <w:jc w:val="center"/>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3</w:t>
            </w:r>
          </w:p>
        </w:tc>
        <w:tc>
          <w:tcPr>
            <w:tcW w:w="664" w:type="pct"/>
            <w:tcBorders>
              <w:tl2br w:val="nil"/>
              <w:tr2bl w:val="nil"/>
            </w:tcBorders>
            <w:noWrap w:val="0"/>
            <w:vAlign w:val="center"/>
          </w:tcPr>
          <w:p>
            <w:pPr>
              <w:widowControl/>
              <w:jc w:val="center"/>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柴油</w:t>
            </w:r>
          </w:p>
        </w:tc>
        <w:tc>
          <w:tcPr>
            <w:tcW w:w="405" w:type="pct"/>
            <w:tcBorders>
              <w:tl2br w:val="nil"/>
              <w:tr2bl w:val="nil"/>
            </w:tcBorders>
            <w:noWrap w:val="0"/>
            <w:vAlign w:val="center"/>
          </w:tcPr>
          <w:p>
            <w:pPr>
              <w:widowControl/>
              <w:jc w:val="center"/>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kg</w:t>
            </w:r>
          </w:p>
        </w:tc>
        <w:tc>
          <w:tcPr>
            <w:tcW w:w="567" w:type="pct"/>
            <w:tcBorders>
              <w:tl2br w:val="nil"/>
              <w:tr2bl w:val="nil"/>
            </w:tcBorders>
            <w:noWrap w:val="0"/>
            <w:vAlign w:val="center"/>
          </w:tcPr>
          <w:p>
            <w:pPr>
              <w:widowControl/>
              <w:jc w:val="center"/>
              <w:rPr>
                <w:rFonts w:hint="default"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color w:val="auto"/>
                <w:sz w:val="20"/>
                <w:szCs w:val="20"/>
                <w:lang w:val="en-US" w:eastAsia="zh-CN"/>
              </w:rPr>
              <w:t>7.21</w:t>
            </w:r>
          </w:p>
        </w:tc>
        <w:tc>
          <w:tcPr>
            <w:tcW w:w="670" w:type="pct"/>
            <w:tcBorders>
              <w:tl2br w:val="nil"/>
              <w:tr2bl w:val="nil"/>
            </w:tcBorders>
            <w:noWrap w:val="0"/>
            <w:vAlign w:val="center"/>
          </w:tcPr>
          <w:p>
            <w:pPr>
              <w:widowControl/>
              <w:jc w:val="center"/>
              <w:rPr>
                <w:rFonts w:hint="default"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color w:val="auto"/>
                <w:sz w:val="20"/>
                <w:szCs w:val="20"/>
                <w:lang w:val="en-US" w:eastAsia="zh-CN"/>
              </w:rPr>
              <w:t>2.99</w:t>
            </w:r>
          </w:p>
        </w:tc>
        <w:tc>
          <w:tcPr>
            <w:tcW w:w="639" w:type="pct"/>
            <w:tcBorders>
              <w:tl2br w:val="nil"/>
              <w:tr2bl w:val="nil"/>
            </w:tcBorders>
            <w:noWrap w:val="0"/>
            <w:vAlign w:val="center"/>
          </w:tcPr>
          <w:p>
            <w:pPr>
              <w:widowControl/>
              <w:jc w:val="center"/>
              <w:rPr>
                <w:rFonts w:hint="default" w:ascii="Times New Roman" w:hAnsi="Times New Roman" w:eastAsia="仿宋_GB2312" w:cs="Times New Roman"/>
                <w:color w:val="auto"/>
                <w:sz w:val="20"/>
                <w:szCs w:val="20"/>
              </w:rPr>
            </w:pPr>
          </w:p>
        </w:tc>
        <w:tc>
          <w:tcPr>
            <w:tcW w:w="1030" w:type="pct"/>
            <w:tcBorders>
              <w:tl2br w:val="nil"/>
              <w:tr2bl w:val="nil"/>
            </w:tcBorders>
            <w:noWrap w:val="0"/>
            <w:vAlign w:val="center"/>
          </w:tcPr>
          <w:p>
            <w:pPr>
              <w:widowControl/>
              <w:jc w:val="center"/>
              <w:rPr>
                <w:rFonts w:hint="default" w:ascii="Times New Roman" w:hAnsi="Times New Roman" w:eastAsia="仿宋_GB2312" w:cs="Times New Roman"/>
                <w:color w:val="auto"/>
                <w:sz w:val="20"/>
                <w:szCs w:val="20"/>
              </w:rPr>
            </w:pPr>
          </w:p>
        </w:tc>
        <w:tc>
          <w:tcPr>
            <w:tcW w:w="690" w:type="pct"/>
            <w:tcBorders>
              <w:tl2br w:val="nil"/>
              <w:tr2bl w:val="nil"/>
            </w:tcBorders>
            <w:noWrap w:val="0"/>
            <w:vAlign w:val="center"/>
          </w:tcPr>
          <w:p>
            <w:pPr>
              <w:widowControl/>
              <w:jc w:val="center"/>
              <w:rPr>
                <w:rFonts w:hint="default"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color w:val="auto"/>
                <w:sz w:val="20"/>
                <w:szCs w:val="20"/>
                <w:lang w:val="en-US" w:eastAsia="zh-CN"/>
              </w:rPr>
              <w:t>4.22</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1" w:type="pct"/>
            <w:tcBorders>
              <w:tl2br w:val="nil"/>
              <w:tr2bl w:val="nil"/>
            </w:tcBorders>
            <w:noWrap w:val="0"/>
            <w:vAlign w:val="center"/>
          </w:tcPr>
          <w:p>
            <w:pPr>
              <w:widowControl/>
              <w:jc w:val="center"/>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4</w:t>
            </w:r>
          </w:p>
        </w:tc>
        <w:tc>
          <w:tcPr>
            <w:tcW w:w="664" w:type="pct"/>
            <w:tcBorders>
              <w:tl2br w:val="nil"/>
              <w:tr2bl w:val="nil"/>
            </w:tcBorders>
            <w:noWrap w:val="0"/>
            <w:vAlign w:val="center"/>
          </w:tcPr>
          <w:p>
            <w:pPr>
              <w:widowControl/>
              <w:jc w:val="center"/>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农家肥</w:t>
            </w:r>
          </w:p>
        </w:tc>
        <w:tc>
          <w:tcPr>
            <w:tcW w:w="405" w:type="pct"/>
            <w:tcBorders>
              <w:tl2br w:val="nil"/>
              <w:tr2bl w:val="nil"/>
            </w:tcBorders>
            <w:noWrap w:val="0"/>
            <w:vAlign w:val="center"/>
          </w:tcPr>
          <w:p>
            <w:pPr>
              <w:widowControl/>
              <w:jc w:val="center"/>
              <w:rPr>
                <w:rFonts w:hint="default" w:ascii="Times New Roman" w:hAnsi="Times New Roman" w:eastAsia="仿宋_GB2312" w:cs="Times New Roman"/>
                <w:color w:val="auto"/>
                <w:sz w:val="20"/>
                <w:szCs w:val="20"/>
                <w:lang w:eastAsia="zh-CN"/>
              </w:rPr>
            </w:pPr>
            <w:r>
              <w:rPr>
                <w:rFonts w:hint="default" w:ascii="Times New Roman" w:hAnsi="Times New Roman" w:eastAsia="仿宋_GB2312" w:cs="Times New Roman"/>
                <w:color w:val="auto"/>
                <w:sz w:val="20"/>
                <w:szCs w:val="20"/>
              </w:rPr>
              <w:t>m</w:t>
            </w:r>
            <w:r>
              <w:rPr>
                <w:rFonts w:hint="default" w:ascii="Times New Roman" w:hAnsi="Times New Roman" w:eastAsia="仿宋_GB2312" w:cs="Times New Roman"/>
                <w:color w:val="auto"/>
                <w:sz w:val="20"/>
                <w:szCs w:val="20"/>
                <w:vertAlign w:val="superscript"/>
                <w:lang w:eastAsia="zh-CN"/>
              </w:rPr>
              <w:t>3</w:t>
            </w:r>
          </w:p>
        </w:tc>
        <w:tc>
          <w:tcPr>
            <w:tcW w:w="567" w:type="pct"/>
            <w:tcBorders>
              <w:tl2br w:val="nil"/>
              <w:tr2bl w:val="nil"/>
            </w:tcBorders>
            <w:noWrap w:val="0"/>
            <w:vAlign w:val="center"/>
          </w:tcPr>
          <w:p>
            <w:pPr>
              <w:widowControl/>
              <w:jc w:val="center"/>
              <w:rPr>
                <w:rFonts w:hint="default"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color w:val="auto"/>
                <w:sz w:val="20"/>
                <w:szCs w:val="20"/>
                <w:lang w:val="en-US" w:eastAsia="zh-CN"/>
              </w:rPr>
              <w:t>85</w:t>
            </w:r>
          </w:p>
        </w:tc>
        <w:tc>
          <w:tcPr>
            <w:tcW w:w="670" w:type="pct"/>
            <w:tcBorders>
              <w:tl2br w:val="nil"/>
              <w:tr2bl w:val="nil"/>
            </w:tcBorders>
            <w:noWrap w:val="0"/>
            <w:vAlign w:val="center"/>
          </w:tcPr>
          <w:p>
            <w:pPr>
              <w:widowControl/>
              <w:jc w:val="center"/>
              <w:rPr>
                <w:rFonts w:hint="default"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color w:val="auto"/>
                <w:sz w:val="20"/>
                <w:szCs w:val="20"/>
                <w:lang w:val="en-US" w:eastAsia="zh-CN"/>
              </w:rPr>
              <w:t>80</w:t>
            </w:r>
          </w:p>
        </w:tc>
        <w:tc>
          <w:tcPr>
            <w:tcW w:w="639" w:type="pct"/>
            <w:tcBorders>
              <w:tl2br w:val="nil"/>
              <w:tr2bl w:val="nil"/>
            </w:tcBorders>
            <w:noWrap w:val="0"/>
            <w:vAlign w:val="center"/>
          </w:tcPr>
          <w:p>
            <w:pPr>
              <w:widowControl/>
              <w:jc w:val="center"/>
              <w:rPr>
                <w:rFonts w:hint="default" w:ascii="Times New Roman" w:hAnsi="Times New Roman" w:eastAsia="仿宋_GB2312" w:cs="Times New Roman"/>
                <w:color w:val="auto"/>
                <w:sz w:val="20"/>
                <w:szCs w:val="20"/>
                <w:lang w:eastAsia="zh-CN"/>
              </w:rPr>
            </w:pPr>
            <w:r>
              <w:rPr>
                <w:rFonts w:hint="default" w:ascii="Times New Roman" w:hAnsi="Times New Roman" w:eastAsia="仿宋_GB2312" w:cs="Times New Roman"/>
                <w:color w:val="auto"/>
                <w:sz w:val="20"/>
                <w:szCs w:val="20"/>
                <w:lang w:val="en-US" w:eastAsia="zh-CN"/>
              </w:rPr>
              <w:t>4</w:t>
            </w:r>
          </w:p>
        </w:tc>
        <w:tc>
          <w:tcPr>
            <w:tcW w:w="1030" w:type="pct"/>
            <w:tcBorders>
              <w:tl2br w:val="nil"/>
              <w:tr2bl w:val="nil"/>
            </w:tcBorders>
            <w:noWrap w:val="0"/>
            <w:vAlign w:val="center"/>
          </w:tcPr>
          <w:p>
            <w:pPr>
              <w:widowControl/>
              <w:jc w:val="center"/>
              <w:rPr>
                <w:rFonts w:hint="default"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color w:val="auto"/>
                <w:sz w:val="20"/>
                <w:szCs w:val="20"/>
                <w:lang w:val="en-US" w:eastAsia="zh-CN"/>
              </w:rPr>
              <w:t>0.02</w:t>
            </w:r>
          </w:p>
        </w:tc>
        <w:tc>
          <w:tcPr>
            <w:tcW w:w="690" w:type="pct"/>
            <w:tcBorders>
              <w:tl2br w:val="nil"/>
              <w:tr2bl w:val="nil"/>
            </w:tcBorders>
            <w:noWrap w:val="0"/>
            <w:vAlign w:val="center"/>
          </w:tcPr>
          <w:p>
            <w:pPr>
              <w:widowControl/>
              <w:jc w:val="center"/>
              <w:rPr>
                <w:rFonts w:hint="default"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color w:val="auto"/>
                <w:sz w:val="20"/>
                <w:szCs w:val="20"/>
                <w:lang w:val="en-US" w:eastAsia="zh-CN"/>
              </w:rPr>
              <w:t>0.98</w:t>
            </w:r>
          </w:p>
        </w:tc>
      </w:tr>
    </w:tbl>
    <w:p>
      <w:pPr>
        <w:keepNext w:val="0"/>
        <w:keepLines w:val="0"/>
        <w:pageBreakBefore w:val="0"/>
        <w:widowControl w:val="0"/>
        <w:kinsoku/>
        <w:wordWrap/>
        <w:overflowPunct/>
        <w:topLinePunct w:val="0"/>
        <w:autoSpaceDE/>
        <w:autoSpaceDN/>
        <w:bidi w:val="0"/>
        <w:adjustRightInd/>
        <w:snapToGrid w:val="0"/>
        <w:spacing w:before="157" w:beforeLines="50" w:line="360" w:lineRule="auto"/>
        <w:ind w:firstLine="0" w:firstLineChars="0"/>
        <w:jc w:val="center"/>
        <w:textAlignment w:val="auto"/>
        <w:rPr>
          <w:rFonts w:hint="default" w:ascii="Times New Roman" w:hAnsi="Times New Roman" w:eastAsia="微软雅黑" w:cs="Times New Roman"/>
          <w:b w:val="0"/>
          <w:bCs w:val="0"/>
          <w:spacing w:val="2"/>
          <w:sz w:val="21"/>
          <w:szCs w:val="21"/>
        </w:rPr>
      </w:pP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val="0"/>
          <w:bCs w:val="0"/>
          <w:spacing w:val="2"/>
          <w:sz w:val="21"/>
          <w:szCs w:val="21"/>
          <w:lang w:eastAsia="zh-CN"/>
        </w:rPr>
      </w:pPr>
      <w:r>
        <w:rPr>
          <w:rFonts w:hint="default" w:ascii="Times New Roman" w:hAnsi="Times New Roman" w:eastAsia="微软雅黑" w:cs="Times New Roman"/>
          <w:b w:val="0"/>
          <w:bCs w:val="0"/>
          <w:spacing w:val="2"/>
          <w:sz w:val="21"/>
          <w:szCs w:val="21"/>
        </w:rPr>
        <w:t>表7-</w:t>
      </w:r>
      <w:r>
        <w:rPr>
          <w:rFonts w:hint="eastAsia" w:eastAsia="微软雅黑" w:cs="Times New Roman"/>
          <w:b w:val="0"/>
          <w:bCs w:val="0"/>
          <w:spacing w:val="2"/>
          <w:sz w:val="21"/>
          <w:szCs w:val="21"/>
          <w:lang w:val="en-US" w:eastAsia="zh-CN"/>
        </w:rPr>
        <w:t>9</w:t>
      </w:r>
      <w:r>
        <w:rPr>
          <w:rFonts w:hint="default" w:ascii="Times New Roman" w:hAnsi="Times New Roman" w:eastAsia="微软雅黑" w:cs="Times New Roman"/>
          <w:b w:val="0"/>
          <w:bCs w:val="0"/>
          <w:spacing w:val="2"/>
          <w:sz w:val="21"/>
          <w:szCs w:val="21"/>
          <w:lang w:val="en-US" w:eastAsia="zh-CN"/>
        </w:rPr>
        <w:t xml:space="preserve">  </w:t>
      </w:r>
      <w:r>
        <w:rPr>
          <w:rFonts w:hint="default" w:ascii="Times New Roman" w:hAnsi="Times New Roman" w:eastAsia="微软雅黑" w:cs="Times New Roman"/>
          <w:b w:val="0"/>
          <w:bCs w:val="0"/>
          <w:spacing w:val="2"/>
          <w:sz w:val="21"/>
          <w:szCs w:val="21"/>
        </w:rPr>
        <w:t>施工机械台时费汇总表</w:t>
      </w:r>
    </w:p>
    <w:p>
      <w:pPr>
        <w:keepNext w:val="0"/>
        <w:keepLines w:val="0"/>
        <w:pageBreakBefore w:val="0"/>
        <w:widowControl w:val="0"/>
        <w:kinsoku/>
        <w:wordWrap/>
        <w:overflowPunct/>
        <w:topLinePunct w:val="0"/>
        <w:autoSpaceDE/>
        <w:autoSpaceDN/>
        <w:bidi w:val="0"/>
        <w:adjustRightInd/>
        <w:snapToGrid w:val="0"/>
        <w:spacing w:line="240" w:lineRule="auto"/>
        <w:jc w:val="right"/>
        <w:textAlignment w:val="auto"/>
        <w:rPr>
          <w:rFonts w:hint="default" w:ascii="Times New Roman" w:hAnsi="Times New Roman" w:eastAsia="仿宋_GB2312" w:cs="Times New Roman"/>
          <w:b/>
          <w:bCs/>
          <w:szCs w:val="21"/>
          <w:highlight w:val="none"/>
        </w:rPr>
      </w:pPr>
      <w:r>
        <w:rPr>
          <w:rFonts w:hint="default" w:ascii="Times New Roman" w:hAnsi="Times New Roman" w:eastAsia="仿宋_GB2312" w:cs="Times New Roman"/>
          <w:b/>
          <w:bCs/>
          <w:szCs w:val="21"/>
          <w:highlight w:val="none"/>
        </w:rPr>
        <w:t>单位：元</w:t>
      </w:r>
    </w:p>
    <w:tbl>
      <w:tblPr>
        <w:tblStyle w:val="88"/>
        <w:tblW w:w="4999"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61"/>
        <w:gridCol w:w="1534"/>
        <w:gridCol w:w="916"/>
        <w:gridCol w:w="1035"/>
        <w:gridCol w:w="1035"/>
        <w:gridCol w:w="936"/>
        <w:gridCol w:w="1000"/>
        <w:gridCol w:w="1310"/>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6" w:type="pct"/>
            <w:vMerge w:val="restart"/>
            <w:tcBorders>
              <w:tl2br w:val="nil"/>
              <w:tr2bl w:val="nil"/>
            </w:tcBorders>
            <w:noWrap w:val="0"/>
            <w:vAlign w:val="center"/>
          </w:tcPr>
          <w:p>
            <w:pPr>
              <w:pStyle w:val="563"/>
              <w:pageBreakBefore w:val="0"/>
              <w:kinsoku/>
              <w:wordWrap/>
              <w:bidi w:val="0"/>
              <w:rPr>
                <w:rFonts w:hint="default" w:ascii="Times New Roman" w:hAnsi="Times New Roman" w:eastAsia="仿宋" w:cs="Times New Roman"/>
                <w:sz w:val="20"/>
                <w:szCs w:val="20"/>
                <w:highlight w:val="none"/>
              </w:rPr>
            </w:pPr>
            <w:r>
              <w:rPr>
                <w:rFonts w:hint="default" w:ascii="Times New Roman" w:hAnsi="Times New Roman" w:eastAsia="仿宋" w:cs="Times New Roman"/>
                <w:sz w:val="20"/>
                <w:szCs w:val="20"/>
                <w:highlight w:val="none"/>
              </w:rPr>
              <w:t>序号</w:t>
            </w:r>
          </w:p>
        </w:tc>
        <w:tc>
          <w:tcPr>
            <w:tcW w:w="899" w:type="pct"/>
            <w:vMerge w:val="restart"/>
            <w:tcBorders>
              <w:tl2br w:val="nil"/>
              <w:tr2bl w:val="nil"/>
            </w:tcBorders>
            <w:noWrap w:val="0"/>
            <w:vAlign w:val="center"/>
          </w:tcPr>
          <w:p>
            <w:pPr>
              <w:pStyle w:val="563"/>
              <w:pageBreakBefore w:val="0"/>
              <w:kinsoku/>
              <w:wordWrap/>
              <w:bidi w:val="0"/>
              <w:rPr>
                <w:rFonts w:hint="default" w:ascii="Times New Roman" w:hAnsi="Times New Roman" w:eastAsia="仿宋" w:cs="Times New Roman"/>
                <w:sz w:val="20"/>
                <w:szCs w:val="20"/>
                <w:highlight w:val="none"/>
              </w:rPr>
            </w:pPr>
            <w:r>
              <w:rPr>
                <w:rFonts w:hint="default" w:ascii="Times New Roman" w:hAnsi="Times New Roman" w:eastAsia="仿宋" w:cs="Times New Roman"/>
                <w:sz w:val="20"/>
                <w:szCs w:val="20"/>
                <w:highlight w:val="none"/>
              </w:rPr>
              <w:t>名称及规格</w:t>
            </w:r>
          </w:p>
        </w:tc>
        <w:tc>
          <w:tcPr>
            <w:tcW w:w="537" w:type="pct"/>
            <w:vMerge w:val="restart"/>
            <w:tcBorders>
              <w:tl2br w:val="nil"/>
              <w:tr2bl w:val="nil"/>
            </w:tcBorders>
            <w:noWrap w:val="0"/>
            <w:vAlign w:val="center"/>
          </w:tcPr>
          <w:p>
            <w:pPr>
              <w:pStyle w:val="563"/>
              <w:pageBreakBefore w:val="0"/>
              <w:kinsoku/>
              <w:wordWrap/>
              <w:bidi w:val="0"/>
              <w:rPr>
                <w:rFonts w:hint="default" w:ascii="Times New Roman" w:hAnsi="Times New Roman" w:eastAsia="仿宋" w:cs="Times New Roman"/>
                <w:sz w:val="20"/>
                <w:szCs w:val="20"/>
                <w:highlight w:val="none"/>
              </w:rPr>
            </w:pPr>
            <w:r>
              <w:rPr>
                <w:rFonts w:hint="default" w:ascii="Times New Roman" w:hAnsi="Times New Roman" w:eastAsia="仿宋" w:cs="Times New Roman"/>
                <w:sz w:val="20"/>
                <w:szCs w:val="20"/>
                <w:highlight w:val="none"/>
              </w:rPr>
              <w:t>台时费</w:t>
            </w:r>
          </w:p>
        </w:tc>
        <w:tc>
          <w:tcPr>
            <w:tcW w:w="3117" w:type="pct"/>
            <w:gridSpan w:val="5"/>
            <w:tcBorders>
              <w:tl2br w:val="nil"/>
              <w:tr2bl w:val="nil"/>
            </w:tcBorders>
            <w:noWrap w:val="0"/>
            <w:vAlign w:val="center"/>
          </w:tcPr>
          <w:p>
            <w:pPr>
              <w:pStyle w:val="563"/>
              <w:pageBreakBefore w:val="0"/>
              <w:kinsoku/>
              <w:wordWrap/>
              <w:bidi w:val="0"/>
              <w:rPr>
                <w:rFonts w:hint="default" w:ascii="Times New Roman" w:hAnsi="Times New Roman" w:eastAsia="仿宋" w:cs="Times New Roman"/>
                <w:sz w:val="20"/>
                <w:szCs w:val="20"/>
                <w:highlight w:val="none"/>
              </w:rPr>
            </w:pPr>
            <w:r>
              <w:rPr>
                <w:rFonts w:hint="default" w:ascii="Times New Roman" w:hAnsi="Times New Roman" w:eastAsia="仿宋" w:cs="Times New Roman"/>
                <w:sz w:val="20"/>
                <w:szCs w:val="20"/>
                <w:highlight w:val="none"/>
              </w:rPr>
              <w:t>其中</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6" w:type="pct"/>
            <w:vMerge w:val="continue"/>
            <w:tcBorders>
              <w:tl2br w:val="nil"/>
              <w:tr2bl w:val="nil"/>
            </w:tcBorders>
            <w:noWrap w:val="0"/>
            <w:vAlign w:val="center"/>
          </w:tcPr>
          <w:p>
            <w:pPr>
              <w:pStyle w:val="563"/>
              <w:pageBreakBefore w:val="0"/>
              <w:kinsoku/>
              <w:wordWrap/>
              <w:bidi w:val="0"/>
              <w:rPr>
                <w:rFonts w:hint="default" w:ascii="Times New Roman" w:hAnsi="Times New Roman" w:eastAsia="仿宋" w:cs="Times New Roman"/>
                <w:sz w:val="20"/>
                <w:szCs w:val="20"/>
                <w:highlight w:val="none"/>
              </w:rPr>
            </w:pPr>
          </w:p>
        </w:tc>
        <w:tc>
          <w:tcPr>
            <w:tcW w:w="899" w:type="pct"/>
            <w:vMerge w:val="continue"/>
            <w:tcBorders>
              <w:tl2br w:val="nil"/>
              <w:tr2bl w:val="nil"/>
            </w:tcBorders>
            <w:noWrap w:val="0"/>
            <w:vAlign w:val="center"/>
          </w:tcPr>
          <w:p>
            <w:pPr>
              <w:pStyle w:val="563"/>
              <w:pageBreakBefore w:val="0"/>
              <w:kinsoku/>
              <w:wordWrap/>
              <w:bidi w:val="0"/>
              <w:rPr>
                <w:rFonts w:hint="default" w:ascii="Times New Roman" w:hAnsi="Times New Roman" w:eastAsia="仿宋" w:cs="Times New Roman"/>
                <w:sz w:val="20"/>
                <w:szCs w:val="20"/>
                <w:highlight w:val="none"/>
              </w:rPr>
            </w:pPr>
          </w:p>
        </w:tc>
        <w:tc>
          <w:tcPr>
            <w:tcW w:w="537" w:type="pct"/>
            <w:vMerge w:val="continue"/>
            <w:tcBorders>
              <w:tl2br w:val="nil"/>
              <w:tr2bl w:val="nil"/>
            </w:tcBorders>
            <w:noWrap w:val="0"/>
            <w:vAlign w:val="center"/>
          </w:tcPr>
          <w:p>
            <w:pPr>
              <w:pStyle w:val="563"/>
              <w:pageBreakBefore w:val="0"/>
              <w:kinsoku/>
              <w:wordWrap/>
              <w:bidi w:val="0"/>
              <w:rPr>
                <w:rFonts w:hint="default" w:ascii="Times New Roman" w:hAnsi="Times New Roman" w:eastAsia="仿宋" w:cs="Times New Roman"/>
                <w:sz w:val="20"/>
                <w:szCs w:val="20"/>
                <w:highlight w:val="none"/>
              </w:rPr>
            </w:pPr>
          </w:p>
        </w:tc>
        <w:tc>
          <w:tcPr>
            <w:tcW w:w="607" w:type="pct"/>
            <w:tcBorders>
              <w:tl2br w:val="nil"/>
              <w:tr2bl w:val="nil"/>
            </w:tcBorders>
            <w:noWrap w:val="0"/>
            <w:vAlign w:val="center"/>
          </w:tcPr>
          <w:p>
            <w:pPr>
              <w:pStyle w:val="563"/>
              <w:pageBreakBefore w:val="0"/>
              <w:kinsoku/>
              <w:wordWrap/>
              <w:bidi w:val="0"/>
              <w:rPr>
                <w:rFonts w:hint="default" w:ascii="Times New Roman" w:hAnsi="Times New Roman" w:eastAsia="仿宋" w:cs="Times New Roman"/>
                <w:sz w:val="20"/>
                <w:szCs w:val="20"/>
                <w:highlight w:val="none"/>
              </w:rPr>
            </w:pPr>
            <w:r>
              <w:rPr>
                <w:rFonts w:hint="default" w:ascii="Times New Roman" w:hAnsi="Times New Roman" w:eastAsia="仿宋" w:cs="Times New Roman"/>
                <w:sz w:val="20"/>
                <w:szCs w:val="20"/>
                <w:highlight w:val="none"/>
              </w:rPr>
              <w:t>折旧费</w:t>
            </w:r>
          </w:p>
        </w:tc>
        <w:tc>
          <w:tcPr>
            <w:tcW w:w="607" w:type="pct"/>
            <w:tcBorders>
              <w:tl2br w:val="nil"/>
              <w:tr2bl w:val="nil"/>
            </w:tcBorders>
            <w:noWrap w:val="0"/>
            <w:vAlign w:val="center"/>
          </w:tcPr>
          <w:p>
            <w:pPr>
              <w:pStyle w:val="563"/>
              <w:pageBreakBefore w:val="0"/>
              <w:kinsoku/>
              <w:wordWrap/>
              <w:bidi w:val="0"/>
              <w:rPr>
                <w:rFonts w:hint="default" w:ascii="Times New Roman" w:hAnsi="Times New Roman" w:eastAsia="仿宋" w:cs="Times New Roman"/>
                <w:sz w:val="20"/>
                <w:szCs w:val="20"/>
                <w:highlight w:val="none"/>
              </w:rPr>
            </w:pPr>
            <w:r>
              <w:rPr>
                <w:rFonts w:hint="default" w:ascii="Times New Roman" w:hAnsi="Times New Roman" w:eastAsia="仿宋" w:cs="Times New Roman"/>
                <w:sz w:val="20"/>
                <w:szCs w:val="20"/>
                <w:highlight w:val="none"/>
              </w:rPr>
              <w:t>修理及替换设备费</w:t>
            </w:r>
          </w:p>
        </w:tc>
        <w:tc>
          <w:tcPr>
            <w:tcW w:w="549" w:type="pct"/>
            <w:tcBorders>
              <w:tl2br w:val="nil"/>
              <w:tr2bl w:val="nil"/>
            </w:tcBorders>
            <w:noWrap w:val="0"/>
            <w:vAlign w:val="center"/>
          </w:tcPr>
          <w:p>
            <w:pPr>
              <w:pStyle w:val="563"/>
              <w:pageBreakBefore w:val="0"/>
              <w:kinsoku/>
              <w:wordWrap/>
              <w:bidi w:val="0"/>
              <w:rPr>
                <w:rFonts w:hint="default" w:ascii="Times New Roman" w:hAnsi="Times New Roman" w:eastAsia="仿宋" w:cs="Times New Roman"/>
                <w:sz w:val="20"/>
                <w:szCs w:val="20"/>
                <w:highlight w:val="none"/>
              </w:rPr>
            </w:pPr>
            <w:r>
              <w:rPr>
                <w:rFonts w:hint="default" w:ascii="Times New Roman" w:hAnsi="Times New Roman" w:eastAsia="仿宋" w:cs="Times New Roman"/>
                <w:sz w:val="20"/>
                <w:szCs w:val="20"/>
                <w:highlight w:val="none"/>
              </w:rPr>
              <w:t>安拆费</w:t>
            </w:r>
          </w:p>
        </w:tc>
        <w:tc>
          <w:tcPr>
            <w:tcW w:w="586" w:type="pct"/>
            <w:tcBorders>
              <w:tl2br w:val="nil"/>
              <w:tr2bl w:val="nil"/>
            </w:tcBorders>
            <w:noWrap w:val="0"/>
            <w:vAlign w:val="center"/>
          </w:tcPr>
          <w:p>
            <w:pPr>
              <w:pStyle w:val="563"/>
              <w:pageBreakBefore w:val="0"/>
              <w:kinsoku/>
              <w:wordWrap/>
              <w:bidi w:val="0"/>
              <w:rPr>
                <w:rFonts w:hint="default" w:ascii="Times New Roman" w:hAnsi="Times New Roman" w:eastAsia="仿宋" w:cs="Times New Roman"/>
                <w:sz w:val="20"/>
                <w:szCs w:val="20"/>
                <w:highlight w:val="none"/>
              </w:rPr>
            </w:pPr>
            <w:r>
              <w:rPr>
                <w:rFonts w:hint="default" w:ascii="Times New Roman" w:hAnsi="Times New Roman" w:eastAsia="仿宋" w:cs="Times New Roman"/>
                <w:sz w:val="20"/>
                <w:szCs w:val="20"/>
                <w:highlight w:val="none"/>
              </w:rPr>
              <w:t>人工费</w:t>
            </w:r>
          </w:p>
        </w:tc>
        <w:tc>
          <w:tcPr>
            <w:tcW w:w="765" w:type="pct"/>
            <w:tcBorders>
              <w:tl2br w:val="nil"/>
              <w:tr2bl w:val="nil"/>
            </w:tcBorders>
            <w:noWrap w:val="0"/>
            <w:vAlign w:val="center"/>
          </w:tcPr>
          <w:p>
            <w:pPr>
              <w:pStyle w:val="563"/>
              <w:pageBreakBefore w:val="0"/>
              <w:kinsoku/>
              <w:wordWrap/>
              <w:bidi w:val="0"/>
              <w:rPr>
                <w:rFonts w:hint="default" w:ascii="Times New Roman" w:hAnsi="Times New Roman" w:eastAsia="仿宋" w:cs="Times New Roman"/>
                <w:sz w:val="20"/>
                <w:szCs w:val="20"/>
                <w:highlight w:val="none"/>
              </w:rPr>
            </w:pPr>
            <w:r>
              <w:rPr>
                <w:rFonts w:hint="default" w:ascii="Times New Roman" w:hAnsi="Times New Roman" w:eastAsia="仿宋" w:cs="Times New Roman"/>
                <w:sz w:val="20"/>
                <w:szCs w:val="20"/>
                <w:highlight w:val="none"/>
              </w:rPr>
              <w:t>动力燃料费</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6" w:type="pct"/>
            <w:tcBorders>
              <w:tl2br w:val="nil"/>
              <w:tr2bl w:val="nil"/>
            </w:tcBorders>
            <w:noWrap w:val="0"/>
            <w:vAlign w:val="center"/>
          </w:tcPr>
          <w:p>
            <w:pPr>
              <w:pStyle w:val="563"/>
              <w:pageBreakBefore w:val="0"/>
              <w:kinsoku/>
              <w:wordWrap/>
              <w:bidi w:val="0"/>
              <w:rPr>
                <w:rFonts w:hint="default" w:ascii="Times New Roman" w:hAnsi="Times New Roman" w:eastAsia="仿宋" w:cs="Times New Roman"/>
                <w:sz w:val="20"/>
                <w:szCs w:val="20"/>
                <w:highlight w:val="none"/>
              </w:rPr>
            </w:pPr>
            <w:r>
              <w:rPr>
                <w:rFonts w:hint="default" w:ascii="Times New Roman" w:hAnsi="Times New Roman" w:eastAsia="仿宋" w:cs="Times New Roman"/>
                <w:sz w:val="20"/>
                <w:szCs w:val="20"/>
                <w:highlight w:val="none"/>
              </w:rPr>
              <w:t>1</w:t>
            </w:r>
          </w:p>
        </w:tc>
        <w:tc>
          <w:tcPr>
            <w:tcW w:w="899" w:type="pct"/>
            <w:tcBorders>
              <w:tl2br w:val="nil"/>
              <w:tr2bl w:val="nil"/>
            </w:tcBorders>
            <w:noWrap w:val="0"/>
            <w:vAlign w:val="center"/>
          </w:tcPr>
          <w:p>
            <w:pPr>
              <w:pStyle w:val="563"/>
              <w:pageBreakBefore w:val="0"/>
              <w:kinsoku/>
              <w:wordWrap/>
              <w:bidi w:val="0"/>
              <w:rPr>
                <w:rFonts w:hint="default" w:ascii="Times New Roman" w:hAnsi="Times New Roman" w:eastAsia="仿宋" w:cs="Times New Roman"/>
                <w:sz w:val="20"/>
                <w:szCs w:val="20"/>
                <w:highlight w:val="none"/>
              </w:rPr>
            </w:pPr>
            <w:r>
              <w:rPr>
                <w:rFonts w:hint="default" w:ascii="Times New Roman" w:hAnsi="Times New Roman" w:eastAsia="仿宋" w:cs="Times New Roman"/>
                <w:sz w:val="20"/>
                <w:szCs w:val="20"/>
                <w:highlight w:val="none"/>
              </w:rPr>
              <w:t>推土机74kw</w:t>
            </w:r>
          </w:p>
        </w:tc>
        <w:tc>
          <w:tcPr>
            <w:tcW w:w="537" w:type="pct"/>
            <w:tcBorders>
              <w:tl2br w:val="nil"/>
              <w:tr2bl w:val="nil"/>
            </w:tcBorders>
            <w:noWrap w:val="0"/>
            <w:vAlign w:val="center"/>
          </w:tcPr>
          <w:p>
            <w:pPr>
              <w:pageBreakBefore w:val="0"/>
              <w:widowControl/>
              <w:kinsoku/>
              <w:wordWrap/>
              <w:bidi w:val="0"/>
              <w:jc w:val="center"/>
              <w:textAlignment w:val="center"/>
              <w:rPr>
                <w:rFonts w:hint="default" w:ascii="Times New Roman" w:hAnsi="Times New Roman" w:eastAsia="仿宋" w:cs="Times New Roman"/>
                <w:kern w:val="0"/>
                <w:sz w:val="20"/>
                <w:szCs w:val="20"/>
                <w:highlight w:val="none"/>
              </w:rPr>
            </w:pPr>
            <w:r>
              <w:rPr>
                <w:rFonts w:hint="default" w:ascii="Times New Roman" w:hAnsi="Times New Roman" w:eastAsia="仿宋" w:cs="Times New Roman"/>
                <w:kern w:val="0"/>
                <w:sz w:val="20"/>
                <w:szCs w:val="20"/>
                <w:highlight w:val="none"/>
              </w:rPr>
              <w:t>58.76</w:t>
            </w:r>
          </w:p>
        </w:tc>
        <w:tc>
          <w:tcPr>
            <w:tcW w:w="607" w:type="pct"/>
            <w:tcBorders>
              <w:tl2br w:val="nil"/>
              <w:tr2bl w:val="nil"/>
            </w:tcBorders>
            <w:noWrap w:val="0"/>
            <w:vAlign w:val="center"/>
          </w:tcPr>
          <w:p>
            <w:pPr>
              <w:pageBreakBefore w:val="0"/>
              <w:widowControl/>
              <w:kinsoku/>
              <w:wordWrap/>
              <w:bidi w:val="0"/>
              <w:jc w:val="center"/>
              <w:textAlignment w:val="center"/>
              <w:rPr>
                <w:rFonts w:hint="default" w:ascii="Times New Roman" w:hAnsi="Times New Roman" w:eastAsia="仿宋" w:cs="Times New Roman"/>
                <w:kern w:val="0"/>
                <w:sz w:val="20"/>
                <w:szCs w:val="20"/>
                <w:highlight w:val="none"/>
              </w:rPr>
            </w:pPr>
            <w:r>
              <w:rPr>
                <w:rFonts w:hint="default" w:ascii="Times New Roman" w:hAnsi="Times New Roman" w:eastAsia="仿宋" w:cs="Times New Roman"/>
                <w:kern w:val="0"/>
                <w:sz w:val="20"/>
                <w:szCs w:val="20"/>
                <w:highlight w:val="none"/>
              </w:rPr>
              <w:t>11.55</w:t>
            </w:r>
          </w:p>
        </w:tc>
        <w:tc>
          <w:tcPr>
            <w:tcW w:w="607" w:type="pct"/>
            <w:tcBorders>
              <w:tl2br w:val="nil"/>
              <w:tr2bl w:val="nil"/>
            </w:tcBorders>
            <w:noWrap w:val="0"/>
            <w:vAlign w:val="center"/>
          </w:tcPr>
          <w:p>
            <w:pPr>
              <w:pageBreakBefore w:val="0"/>
              <w:widowControl/>
              <w:kinsoku/>
              <w:wordWrap/>
              <w:bidi w:val="0"/>
              <w:jc w:val="center"/>
              <w:textAlignment w:val="center"/>
              <w:rPr>
                <w:rFonts w:hint="eastAsia" w:ascii="Times New Roman" w:hAnsi="Times New Roman" w:eastAsia="仿宋" w:cs="Times New Roman"/>
                <w:kern w:val="0"/>
                <w:sz w:val="20"/>
                <w:szCs w:val="20"/>
                <w:highlight w:val="none"/>
                <w:lang w:eastAsia="zh-CN"/>
              </w:rPr>
            </w:pPr>
            <w:r>
              <w:rPr>
                <w:rFonts w:hint="eastAsia" w:eastAsia="仿宋" w:cs="Times New Roman"/>
                <w:kern w:val="0"/>
                <w:sz w:val="20"/>
                <w:szCs w:val="20"/>
                <w:highlight w:val="none"/>
                <w:lang w:eastAsia="zh-CN"/>
              </w:rPr>
              <w:t>14.58</w:t>
            </w:r>
          </w:p>
        </w:tc>
        <w:tc>
          <w:tcPr>
            <w:tcW w:w="549" w:type="pct"/>
            <w:tcBorders>
              <w:tl2br w:val="nil"/>
              <w:tr2bl w:val="nil"/>
            </w:tcBorders>
            <w:noWrap w:val="0"/>
            <w:vAlign w:val="center"/>
          </w:tcPr>
          <w:p>
            <w:pPr>
              <w:pageBreakBefore w:val="0"/>
              <w:widowControl/>
              <w:kinsoku/>
              <w:wordWrap/>
              <w:bidi w:val="0"/>
              <w:jc w:val="center"/>
              <w:textAlignment w:val="center"/>
              <w:rPr>
                <w:rFonts w:hint="default" w:ascii="Times New Roman" w:hAnsi="Times New Roman" w:eastAsia="仿宋" w:cs="Times New Roman"/>
                <w:kern w:val="0"/>
                <w:sz w:val="20"/>
                <w:szCs w:val="20"/>
                <w:highlight w:val="none"/>
              </w:rPr>
            </w:pPr>
            <w:r>
              <w:rPr>
                <w:rFonts w:hint="default" w:ascii="Times New Roman" w:hAnsi="Times New Roman" w:eastAsia="仿宋" w:cs="Times New Roman"/>
                <w:kern w:val="0"/>
                <w:sz w:val="20"/>
                <w:szCs w:val="20"/>
                <w:highlight w:val="none"/>
              </w:rPr>
              <w:t>0.52</w:t>
            </w:r>
          </w:p>
        </w:tc>
        <w:tc>
          <w:tcPr>
            <w:tcW w:w="586" w:type="pct"/>
            <w:tcBorders>
              <w:tl2br w:val="nil"/>
              <w:tr2bl w:val="nil"/>
            </w:tcBorders>
            <w:noWrap w:val="0"/>
            <w:vAlign w:val="center"/>
          </w:tcPr>
          <w:p>
            <w:pPr>
              <w:pageBreakBefore w:val="0"/>
              <w:widowControl/>
              <w:kinsoku/>
              <w:wordWrap/>
              <w:bidi w:val="0"/>
              <w:jc w:val="center"/>
              <w:textAlignment w:val="center"/>
              <w:rPr>
                <w:rFonts w:hint="default" w:ascii="Times New Roman" w:hAnsi="Times New Roman" w:eastAsia="仿宋" w:cs="Times New Roman"/>
                <w:kern w:val="0"/>
                <w:sz w:val="20"/>
                <w:szCs w:val="20"/>
                <w:highlight w:val="none"/>
              </w:rPr>
            </w:pPr>
            <w:r>
              <w:rPr>
                <w:rFonts w:hint="default" w:ascii="Times New Roman" w:hAnsi="Times New Roman" w:eastAsia="仿宋" w:cs="Times New Roman"/>
                <w:kern w:val="0"/>
                <w:sz w:val="20"/>
                <w:szCs w:val="20"/>
                <w:highlight w:val="none"/>
              </w:rPr>
              <w:t>1.89</w:t>
            </w:r>
          </w:p>
        </w:tc>
        <w:tc>
          <w:tcPr>
            <w:tcW w:w="765" w:type="pct"/>
            <w:tcBorders>
              <w:tl2br w:val="nil"/>
              <w:tr2bl w:val="nil"/>
            </w:tcBorders>
            <w:noWrap w:val="0"/>
            <w:vAlign w:val="center"/>
          </w:tcPr>
          <w:p>
            <w:pPr>
              <w:pageBreakBefore w:val="0"/>
              <w:widowControl/>
              <w:kinsoku/>
              <w:wordWrap/>
              <w:bidi w:val="0"/>
              <w:jc w:val="center"/>
              <w:textAlignment w:val="center"/>
              <w:rPr>
                <w:rFonts w:hint="default" w:ascii="Times New Roman" w:hAnsi="Times New Roman" w:eastAsia="仿宋" w:cs="Times New Roman"/>
                <w:kern w:val="0"/>
                <w:sz w:val="20"/>
                <w:szCs w:val="20"/>
                <w:highlight w:val="none"/>
              </w:rPr>
            </w:pPr>
            <w:r>
              <w:rPr>
                <w:rFonts w:hint="default" w:ascii="Times New Roman" w:hAnsi="Times New Roman" w:eastAsia="仿宋" w:cs="Times New Roman"/>
                <w:kern w:val="0"/>
                <w:sz w:val="20"/>
                <w:szCs w:val="20"/>
                <w:highlight w:val="none"/>
              </w:rPr>
              <w:t>30.94</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6" w:type="pct"/>
            <w:tcBorders>
              <w:tl2br w:val="nil"/>
              <w:tr2bl w:val="nil"/>
            </w:tcBorders>
            <w:noWrap w:val="0"/>
            <w:vAlign w:val="center"/>
          </w:tcPr>
          <w:p>
            <w:pPr>
              <w:pStyle w:val="563"/>
              <w:pageBreakBefore w:val="0"/>
              <w:kinsoku/>
              <w:wordWrap/>
              <w:bidi w:val="0"/>
              <w:rPr>
                <w:rFonts w:hint="default" w:ascii="Times New Roman" w:hAnsi="Times New Roman" w:eastAsia="仿宋" w:cs="Times New Roman"/>
                <w:sz w:val="20"/>
                <w:szCs w:val="20"/>
                <w:highlight w:val="none"/>
              </w:rPr>
            </w:pPr>
            <w:r>
              <w:rPr>
                <w:rFonts w:hint="default" w:ascii="Times New Roman" w:hAnsi="Times New Roman" w:eastAsia="仿宋" w:cs="Times New Roman"/>
                <w:sz w:val="20"/>
                <w:szCs w:val="20"/>
                <w:highlight w:val="none"/>
              </w:rPr>
              <w:t>2</w:t>
            </w:r>
          </w:p>
        </w:tc>
        <w:tc>
          <w:tcPr>
            <w:tcW w:w="899" w:type="pct"/>
            <w:tcBorders>
              <w:tl2br w:val="nil"/>
              <w:tr2bl w:val="nil"/>
            </w:tcBorders>
            <w:noWrap w:val="0"/>
            <w:vAlign w:val="center"/>
          </w:tcPr>
          <w:p>
            <w:pPr>
              <w:pStyle w:val="563"/>
              <w:pageBreakBefore w:val="0"/>
              <w:kinsoku/>
              <w:wordWrap/>
              <w:bidi w:val="0"/>
              <w:rPr>
                <w:rFonts w:hint="default" w:ascii="Times New Roman" w:hAnsi="Times New Roman" w:eastAsia="仿宋" w:cs="Times New Roman"/>
                <w:sz w:val="20"/>
                <w:szCs w:val="20"/>
                <w:highlight w:val="none"/>
              </w:rPr>
            </w:pPr>
            <w:r>
              <w:rPr>
                <w:rFonts w:hint="default" w:ascii="Times New Roman" w:hAnsi="Times New Roman" w:eastAsia="仿宋" w:cs="Times New Roman"/>
                <w:sz w:val="20"/>
                <w:szCs w:val="20"/>
                <w:highlight w:val="none"/>
              </w:rPr>
              <w:t>拖拉机37kw</w:t>
            </w:r>
          </w:p>
        </w:tc>
        <w:tc>
          <w:tcPr>
            <w:tcW w:w="537" w:type="pct"/>
            <w:tcBorders>
              <w:tl2br w:val="nil"/>
              <w:tr2bl w:val="nil"/>
            </w:tcBorders>
            <w:noWrap w:val="0"/>
            <w:vAlign w:val="center"/>
          </w:tcPr>
          <w:p>
            <w:pPr>
              <w:pageBreakBefore w:val="0"/>
              <w:widowControl/>
              <w:kinsoku/>
              <w:wordWrap/>
              <w:bidi w:val="0"/>
              <w:jc w:val="center"/>
              <w:textAlignment w:val="center"/>
              <w:rPr>
                <w:rFonts w:hint="default" w:ascii="Times New Roman" w:hAnsi="Times New Roman" w:eastAsia="仿宋" w:cs="Times New Roman"/>
                <w:kern w:val="0"/>
                <w:sz w:val="20"/>
                <w:szCs w:val="20"/>
                <w:highlight w:val="none"/>
              </w:rPr>
            </w:pPr>
            <w:r>
              <w:rPr>
                <w:rFonts w:hint="default" w:ascii="Times New Roman" w:hAnsi="Times New Roman" w:eastAsia="仿宋" w:cs="Times New Roman"/>
                <w:kern w:val="0"/>
                <w:sz w:val="20"/>
                <w:szCs w:val="20"/>
                <w:highlight w:val="none"/>
              </w:rPr>
              <w:t>34.97</w:t>
            </w:r>
          </w:p>
        </w:tc>
        <w:tc>
          <w:tcPr>
            <w:tcW w:w="607" w:type="pct"/>
            <w:tcBorders>
              <w:tl2br w:val="nil"/>
              <w:tr2bl w:val="nil"/>
            </w:tcBorders>
            <w:noWrap w:val="0"/>
            <w:vAlign w:val="center"/>
          </w:tcPr>
          <w:p>
            <w:pPr>
              <w:pageBreakBefore w:val="0"/>
              <w:widowControl/>
              <w:kinsoku/>
              <w:wordWrap/>
              <w:bidi w:val="0"/>
              <w:jc w:val="center"/>
              <w:textAlignment w:val="center"/>
              <w:rPr>
                <w:rFonts w:hint="default" w:ascii="Times New Roman" w:hAnsi="Times New Roman" w:eastAsia="仿宋" w:cs="Times New Roman"/>
                <w:kern w:val="0"/>
                <w:sz w:val="20"/>
                <w:szCs w:val="20"/>
                <w:highlight w:val="none"/>
              </w:rPr>
            </w:pPr>
            <w:r>
              <w:rPr>
                <w:rFonts w:hint="default" w:ascii="Times New Roman" w:hAnsi="Times New Roman" w:eastAsia="仿宋" w:cs="Times New Roman"/>
                <w:kern w:val="0"/>
                <w:sz w:val="20"/>
                <w:szCs w:val="20"/>
                <w:highlight w:val="none"/>
              </w:rPr>
              <w:t>3.88</w:t>
            </w:r>
          </w:p>
        </w:tc>
        <w:tc>
          <w:tcPr>
            <w:tcW w:w="607" w:type="pct"/>
            <w:tcBorders>
              <w:tl2br w:val="nil"/>
              <w:tr2bl w:val="nil"/>
            </w:tcBorders>
            <w:noWrap w:val="0"/>
            <w:vAlign w:val="center"/>
          </w:tcPr>
          <w:p>
            <w:pPr>
              <w:pageBreakBefore w:val="0"/>
              <w:widowControl/>
              <w:kinsoku/>
              <w:wordWrap/>
              <w:bidi w:val="0"/>
              <w:jc w:val="center"/>
              <w:textAlignment w:val="center"/>
              <w:rPr>
                <w:rFonts w:hint="default" w:ascii="Times New Roman" w:hAnsi="Times New Roman" w:eastAsia="仿宋" w:cs="Times New Roman"/>
                <w:kern w:val="0"/>
                <w:sz w:val="20"/>
                <w:szCs w:val="20"/>
                <w:highlight w:val="none"/>
              </w:rPr>
            </w:pPr>
            <w:r>
              <w:rPr>
                <w:rFonts w:hint="default" w:ascii="Times New Roman" w:hAnsi="Times New Roman" w:eastAsia="仿宋" w:cs="Times New Roman"/>
                <w:kern w:val="0"/>
                <w:sz w:val="20"/>
                <w:szCs w:val="20"/>
                <w:highlight w:val="none"/>
              </w:rPr>
              <w:t>4.66</w:t>
            </w:r>
          </w:p>
        </w:tc>
        <w:tc>
          <w:tcPr>
            <w:tcW w:w="549" w:type="pct"/>
            <w:tcBorders>
              <w:tl2br w:val="nil"/>
              <w:tr2bl w:val="nil"/>
            </w:tcBorders>
            <w:noWrap w:val="0"/>
            <w:vAlign w:val="center"/>
          </w:tcPr>
          <w:p>
            <w:pPr>
              <w:pageBreakBefore w:val="0"/>
              <w:widowControl/>
              <w:kinsoku/>
              <w:wordWrap/>
              <w:bidi w:val="0"/>
              <w:jc w:val="center"/>
              <w:textAlignment w:val="center"/>
              <w:rPr>
                <w:rFonts w:hint="default" w:ascii="Times New Roman" w:hAnsi="Times New Roman" w:eastAsia="仿宋" w:cs="Times New Roman"/>
                <w:kern w:val="0"/>
                <w:sz w:val="20"/>
                <w:szCs w:val="20"/>
                <w:highlight w:val="none"/>
              </w:rPr>
            </w:pPr>
            <w:r>
              <w:rPr>
                <w:rFonts w:hint="default" w:ascii="Times New Roman" w:hAnsi="Times New Roman" w:eastAsia="仿宋" w:cs="Times New Roman"/>
                <w:kern w:val="0"/>
                <w:sz w:val="20"/>
                <w:szCs w:val="20"/>
                <w:highlight w:val="none"/>
              </w:rPr>
              <w:t>0.22</w:t>
            </w:r>
          </w:p>
        </w:tc>
        <w:tc>
          <w:tcPr>
            <w:tcW w:w="586" w:type="pct"/>
            <w:tcBorders>
              <w:tl2br w:val="nil"/>
              <w:tr2bl w:val="nil"/>
            </w:tcBorders>
            <w:noWrap w:val="0"/>
            <w:vAlign w:val="center"/>
          </w:tcPr>
          <w:p>
            <w:pPr>
              <w:pageBreakBefore w:val="0"/>
              <w:widowControl/>
              <w:kinsoku/>
              <w:wordWrap/>
              <w:bidi w:val="0"/>
              <w:jc w:val="center"/>
              <w:textAlignment w:val="center"/>
              <w:rPr>
                <w:rFonts w:hint="default" w:ascii="Times New Roman" w:hAnsi="Times New Roman" w:eastAsia="仿宋" w:cs="Times New Roman"/>
                <w:kern w:val="0"/>
                <w:sz w:val="20"/>
                <w:szCs w:val="20"/>
                <w:highlight w:val="none"/>
              </w:rPr>
            </w:pPr>
            <w:r>
              <w:rPr>
                <w:rFonts w:hint="default" w:ascii="Times New Roman" w:hAnsi="Times New Roman" w:eastAsia="仿宋" w:cs="Times New Roman"/>
                <w:kern w:val="0"/>
                <w:sz w:val="20"/>
                <w:szCs w:val="20"/>
                <w:highlight w:val="none"/>
              </w:rPr>
              <w:t>2.01</w:t>
            </w:r>
          </w:p>
        </w:tc>
        <w:tc>
          <w:tcPr>
            <w:tcW w:w="765" w:type="pct"/>
            <w:tcBorders>
              <w:tl2br w:val="nil"/>
              <w:tr2bl w:val="nil"/>
            </w:tcBorders>
            <w:noWrap w:val="0"/>
            <w:vAlign w:val="center"/>
          </w:tcPr>
          <w:p>
            <w:pPr>
              <w:pageBreakBefore w:val="0"/>
              <w:widowControl/>
              <w:kinsoku/>
              <w:wordWrap/>
              <w:bidi w:val="0"/>
              <w:jc w:val="center"/>
              <w:textAlignment w:val="center"/>
              <w:rPr>
                <w:rFonts w:hint="default" w:ascii="Times New Roman" w:hAnsi="Times New Roman" w:eastAsia="仿宋" w:cs="Times New Roman"/>
                <w:kern w:val="0"/>
                <w:sz w:val="20"/>
                <w:szCs w:val="20"/>
                <w:highlight w:val="none"/>
              </w:rPr>
            </w:pPr>
            <w:r>
              <w:rPr>
                <w:rFonts w:hint="default" w:ascii="Times New Roman" w:hAnsi="Times New Roman" w:eastAsia="仿宋" w:cs="Times New Roman"/>
                <w:kern w:val="0"/>
                <w:sz w:val="20"/>
                <w:szCs w:val="20"/>
                <w:highlight w:val="none"/>
              </w:rPr>
              <w:t>24.19</w:t>
            </w:r>
          </w:p>
        </w:tc>
      </w:tr>
    </w:tbl>
    <w:p>
      <w:pPr>
        <w:pageBreakBefore w:val="0"/>
        <w:kinsoku/>
        <w:wordWrap/>
        <w:bidi w:val="0"/>
        <w:spacing w:line="400" w:lineRule="exact"/>
        <w:rPr>
          <w:rFonts w:hint="default" w:ascii="Times New Roman" w:hAnsi="Times New Roman" w:eastAsia="仿宋_GB2312" w:cs="Times New Roman"/>
          <w:b/>
          <w:bCs/>
          <w:sz w:val="24"/>
          <w:highlight w:val="none"/>
        </w:rPr>
      </w:pPr>
    </w:p>
    <w:p>
      <w:pPr>
        <w:pageBreakBefore w:val="0"/>
        <w:kinsoku/>
        <w:wordWrap/>
        <w:bidi w:val="0"/>
        <w:spacing w:line="400" w:lineRule="exact"/>
        <w:jc w:val="center"/>
        <w:rPr>
          <w:rFonts w:hint="default" w:ascii="Times New Roman" w:hAnsi="Times New Roman" w:eastAsia="仿宋_GB2312" w:cs="Times New Roman"/>
          <w:b/>
          <w:bCs/>
          <w:sz w:val="24"/>
          <w:highlight w:val="none"/>
        </w:rPr>
      </w:pPr>
    </w:p>
    <w:p>
      <w:pPr>
        <w:pageBreakBefore w:val="0"/>
        <w:kinsoku/>
        <w:wordWrap/>
        <w:bidi w:val="0"/>
        <w:spacing w:line="400" w:lineRule="exact"/>
        <w:jc w:val="center"/>
        <w:rPr>
          <w:rFonts w:hint="default" w:ascii="Times New Roman" w:hAnsi="Times New Roman" w:eastAsia="仿宋_GB2312" w:cs="Times New Roman"/>
          <w:b/>
          <w:bCs/>
          <w:sz w:val="24"/>
          <w:highlight w:val="none"/>
        </w:rPr>
      </w:pPr>
    </w:p>
    <w:p>
      <w:pPr>
        <w:pageBreakBefore w:val="0"/>
        <w:widowControl/>
        <w:kinsoku/>
        <w:wordWrap/>
        <w:bidi w:val="0"/>
        <w:adjustRightInd w:val="0"/>
        <w:snapToGrid w:val="0"/>
        <w:spacing w:line="360" w:lineRule="auto"/>
        <w:jc w:val="center"/>
        <w:rPr>
          <w:rFonts w:hint="default" w:ascii="Times New Roman" w:hAnsi="Times New Roman" w:eastAsia="仿宋_GB2312" w:cs="Times New Roman"/>
          <w:b/>
          <w:kern w:val="0"/>
          <w:sz w:val="24"/>
          <w:szCs w:val="28"/>
          <w:highlight w:val="none"/>
        </w:rPr>
      </w:pPr>
    </w:p>
    <w:p>
      <w:pPr>
        <w:pageBreakBefore w:val="0"/>
        <w:widowControl/>
        <w:kinsoku/>
        <w:wordWrap/>
        <w:bidi w:val="0"/>
        <w:adjustRightInd w:val="0"/>
        <w:snapToGrid w:val="0"/>
        <w:spacing w:line="360" w:lineRule="auto"/>
        <w:jc w:val="center"/>
        <w:rPr>
          <w:rFonts w:hint="default" w:ascii="Times New Roman" w:hAnsi="Times New Roman" w:eastAsia="仿宋_GB2312" w:cs="Times New Roman"/>
          <w:b/>
          <w:kern w:val="0"/>
          <w:sz w:val="24"/>
          <w:szCs w:val="28"/>
          <w:highlight w:val="none"/>
        </w:rPr>
        <w:sectPr>
          <w:headerReference r:id="rId24" w:type="default"/>
          <w:pgSz w:w="11907" w:h="16840"/>
          <w:pgMar w:top="1418" w:right="1797" w:bottom="1418" w:left="1797" w:header="851" w:footer="992" w:gutter="0"/>
          <w:pgBorders>
            <w:top w:val="none" w:sz="0" w:space="0"/>
            <w:left w:val="none" w:sz="0" w:space="0"/>
            <w:bottom w:val="none" w:sz="0" w:space="0"/>
            <w:right w:val="none" w:sz="0" w:space="0"/>
          </w:pgBorders>
          <w:pgNumType w:fmt="decimal"/>
          <w:cols w:space="720" w:num="1"/>
          <w:docGrid w:linePitch="312" w:charSpace="0"/>
        </w:sectPr>
      </w:pP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right"/>
        <w:textAlignment w:val="auto"/>
        <w:rPr>
          <w:rFonts w:hint="default" w:ascii="Times New Roman" w:hAnsi="Times New Roman" w:eastAsia="仿宋_GB2312" w:cs="Times New Roman"/>
          <w:b/>
          <w:bCs/>
          <w:sz w:val="21"/>
          <w:szCs w:val="21"/>
          <w:highlight w:val="none"/>
        </w:rPr>
      </w:pPr>
      <w:r>
        <w:rPr>
          <w:rFonts w:hint="default" w:ascii="Times New Roman" w:hAnsi="Times New Roman" w:eastAsia="微软雅黑" w:cs="Times New Roman"/>
          <w:b w:val="0"/>
          <w:bCs w:val="0"/>
          <w:spacing w:val="2"/>
          <w:sz w:val="21"/>
          <w:szCs w:val="21"/>
        </w:rPr>
        <w:t>表7-1</w:t>
      </w:r>
      <w:r>
        <w:rPr>
          <w:rFonts w:hint="eastAsia" w:eastAsia="微软雅黑" w:cs="Times New Roman"/>
          <w:b w:val="0"/>
          <w:bCs w:val="0"/>
          <w:spacing w:val="2"/>
          <w:sz w:val="21"/>
          <w:szCs w:val="21"/>
          <w:lang w:val="en-US" w:eastAsia="zh-CN"/>
        </w:rPr>
        <w:t>0</w:t>
      </w:r>
      <w:r>
        <w:rPr>
          <w:rFonts w:hint="default" w:ascii="Times New Roman" w:hAnsi="Times New Roman" w:eastAsia="微软雅黑" w:cs="Times New Roman"/>
          <w:b w:val="0"/>
          <w:bCs w:val="0"/>
          <w:spacing w:val="2"/>
          <w:sz w:val="21"/>
          <w:szCs w:val="21"/>
          <w:lang w:val="en-US" w:eastAsia="zh-CN"/>
        </w:rPr>
        <w:t xml:space="preserve">  </w:t>
      </w:r>
      <w:r>
        <w:rPr>
          <w:rFonts w:hint="default" w:ascii="Times New Roman" w:hAnsi="Times New Roman" w:eastAsia="微软雅黑" w:cs="Times New Roman"/>
          <w:b w:val="0"/>
          <w:bCs w:val="0"/>
          <w:spacing w:val="2"/>
          <w:sz w:val="21"/>
          <w:szCs w:val="21"/>
        </w:rPr>
        <w:t>工程单价汇总表</w:t>
      </w:r>
      <w:r>
        <w:rPr>
          <w:rFonts w:hint="default" w:ascii="Times New Roman" w:hAnsi="Times New Roman" w:eastAsia="仿宋_GB2312" w:cs="Times New Roman"/>
          <w:b/>
          <w:bCs/>
          <w:sz w:val="21"/>
          <w:szCs w:val="21"/>
          <w:highlight w:val="none"/>
          <w:lang w:val="en-US" w:eastAsia="zh-CN"/>
        </w:rPr>
        <w:t xml:space="preserve">                                                   </w:t>
      </w:r>
      <w:r>
        <w:rPr>
          <w:rFonts w:hint="default" w:ascii="Times New Roman" w:hAnsi="Times New Roman" w:eastAsia="仿宋_GB2312" w:cs="Times New Roman"/>
          <w:b/>
          <w:bCs/>
          <w:sz w:val="21"/>
          <w:szCs w:val="21"/>
          <w:highlight w:val="none"/>
        </w:rPr>
        <w:t>单位：元</w:t>
      </w:r>
    </w:p>
    <w:tbl>
      <w:tblPr>
        <w:tblStyle w:val="88"/>
        <w:tblW w:w="4996" w:type="pct"/>
        <w:jc w:val="center"/>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91"/>
        <w:gridCol w:w="1024"/>
        <w:gridCol w:w="1672"/>
        <w:gridCol w:w="756"/>
        <w:gridCol w:w="975"/>
        <w:gridCol w:w="825"/>
        <w:gridCol w:w="840"/>
        <w:gridCol w:w="870"/>
        <w:gridCol w:w="900"/>
        <w:gridCol w:w="885"/>
        <w:gridCol w:w="901"/>
        <w:gridCol w:w="884"/>
        <w:gridCol w:w="810"/>
        <w:gridCol w:w="1067"/>
        <w:gridCol w:w="1109"/>
      </w:tblGrid>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43"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b/>
                <w:bCs/>
                <w:kern w:val="0"/>
                <w:sz w:val="20"/>
                <w:szCs w:val="20"/>
                <w:highlight w:val="none"/>
              </w:rPr>
            </w:pPr>
            <w:r>
              <w:rPr>
                <w:rFonts w:hint="default" w:ascii="Times New Roman" w:hAnsi="Times New Roman" w:eastAsia="仿宋" w:cs="Times New Roman"/>
                <w:b/>
                <w:bCs/>
                <w:kern w:val="0"/>
                <w:sz w:val="20"/>
                <w:szCs w:val="20"/>
                <w:highlight w:val="none"/>
              </w:rPr>
              <w:t>序号</w:t>
            </w:r>
          </w:p>
        </w:tc>
        <w:tc>
          <w:tcPr>
            <w:tcW w:w="360"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eastAsia" w:ascii="Times New Roman" w:hAnsi="Times New Roman" w:eastAsia="仿宋" w:cs="Times New Roman"/>
                <w:b/>
                <w:bCs/>
                <w:kern w:val="0"/>
                <w:sz w:val="20"/>
                <w:szCs w:val="20"/>
                <w:highlight w:val="none"/>
                <w:lang w:val="en-US" w:eastAsia="zh-CN"/>
              </w:rPr>
            </w:pPr>
            <w:r>
              <w:rPr>
                <w:rFonts w:hint="eastAsia" w:eastAsia="仿宋" w:cs="Times New Roman"/>
                <w:b/>
                <w:bCs/>
                <w:kern w:val="0"/>
                <w:sz w:val="20"/>
                <w:szCs w:val="20"/>
                <w:highlight w:val="none"/>
                <w:lang w:val="en-US" w:eastAsia="zh-CN"/>
              </w:rPr>
              <w:t>定额编号</w:t>
            </w:r>
          </w:p>
        </w:tc>
        <w:tc>
          <w:tcPr>
            <w:tcW w:w="588"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b/>
                <w:bCs/>
                <w:kern w:val="0"/>
                <w:sz w:val="20"/>
                <w:szCs w:val="20"/>
                <w:highlight w:val="none"/>
              </w:rPr>
            </w:pPr>
            <w:r>
              <w:rPr>
                <w:rFonts w:hint="default" w:ascii="Times New Roman" w:hAnsi="Times New Roman" w:eastAsia="仿宋" w:cs="Times New Roman"/>
                <w:b/>
                <w:bCs/>
                <w:kern w:val="0"/>
                <w:sz w:val="20"/>
                <w:szCs w:val="20"/>
                <w:highlight w:val="none"/>
              </w:rPr>
              <w:t>名称</w:t>
            </w:r>
          </w:p>
        </w:tc>
        <w:tc>
          <w:tcPr>
            <w:tcW w:w="266"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b/>
                <w:bCs/>
                <w:kern w:val="0"/>
                <w:sz w:val="20"/>
                <w:szCs w:val="20"/>
                <w:highlight w:val="none"/>
              </w:rPr>
            </w:pPr>
            <w:r>
              <w:rPr>
                <w:rFonts w:hint="default" w:ascii="Times New Roman" w:hAnsi="Times New Roman" w:eastAsia="仿宋" w:cs="Times New Roman"/>
                <w:b/>
                <w:bCs/>
                <w:kern w:val="0"/>
                <w:sz w:val="20"/>
                <w:szCs w:val="20"/>
                <w:highlight w:val="none"/>
              </w:rPr>
              <w:t>单位</w:t>
            </w:r>
          </w:p>
        </w:tc>
        <w:tc>
          <w:tcPr>
            <w:tcW w:w="343"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b/>
                <w:bCs/>
                <w:kern w:val="0"/>
                <w:sz w:val="20"/>
                <w:szCs w:val="20"/>
                <w:highlight w:val="none"/>
              </w:rPr>
            </w:pPr>
            <w:r>
              <w:rPr>
                <w:rFonts w:hint="default" w:ascii="Times New Roman" w:hAnsi="Times New Roman" w:eastAsia="仿宋" w:cs="Times New Roman"/>
                <w:b/>
                <w:bCs/>
                <w:kern w:val="0"/>
                <w:sz w:val="20"/>
                <w:szCs w:val="20"/>
                <w:highlight w:val="none"/>
              </w:rPr>
              <w:t>单价（元）</w:t>
            </w:r>
          </w:p>
        </w:tc>
        <w:tc>
          <w:tcPr>
            <w:tcW w:w="290"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b/>
                <w:bCs/>
                <w:kern w:val="0"/>
                <w:sz w:val="20"/>
                <w:szCs w:val="20"/>
                <w:highlight w:val="none"/>
              </w:rPr>
            </w:pPr>
            <w:r>
              <w:rPr>
                <w:rFonts w:hint="default" w:ascii="Times New Roman" w:hAnsi="Times New Roman" w:eastAsia="仿宋" w:cs="Times New Roman"/>
                <w:b/>
                <w:bCs/>
                <w:kern w:val="0"/>
                <w:sz w:val="20"/>
                <w:szCs w:val="20"/>
                <w:highlight w:val="none"/>
              </w:rPr>
              <w:t>人工费</w:t>
            </w:r>
          </w:p>
        </w:tc>
        <w:tc>
          <w:tcPr>
            <w:tcW w:w="295"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b/>
                <w:bCs/>
                <w:kern w:val="0"/>
                <w:sz w:val="20"/>
                <w:szCs w:val="20"/>
                <w:highlight w:val="none"/>
              </w:rPr>
            </w:pPr>
            <w:r>
              <w:rPr>
                <w:rFonts w:hint="default" w:ascii="Times New Roman" w:hAnsi="Times New Roman" w:eastAsia="仿宋" w:cs="Times New Roman"/>
                <w:b/>
                <w:bCs/>
                <w:kern w:val="0"/>
                <w:sz w:val="20"/>
                <w:szCs w:val="20"/>
                <w:highlight w:val="none"/>
              </w:rPr>
              <w:t>材料费</w:t>
            </w:r>
          </w:p>
        </w:tc>
        <w:tc>
          <w:tcPr>
            <w:tcW w:w="306"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b/>
                <w:bCs/>
                <w:kern w:val="0"/>
                <w:sz w:val="20"/>
                <w:szCs w:val="20"/>
                <w:highlight w:val="none"/>
              </w:rPr>
            </w:pPr>
            <w:r>
              <w:rPr>
                <w:rFonts w:hint="default" w:ascii="Times New Roman" w:hAnsi="Times New Roman" w:eastAsia="仿宋" w:cs="Times New Roman"/>
                <w:b/>
                <w:bCs/>
                <w:kern w:val="0"/>
                <w:sz w:val="20"/>
                <w:szCs w:val="20"/>
                <w:highlight w:val="none"/>
              </w:rPr>
              <w:t>机械使用费</w:t>
            </w:r>
          </w:p>
        </w:tc>
        <w:tc>
          <w:tcPr>
            <w:tcW w:w="316"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b/>
                <w:bCs/>
                <w:kern w:val="0"/>
                <w:sz w:val="20"/>
                <w:szCs w:val="20"/>
                <w:highlight w:val="none"/>
              </w:rPr>
            </w:pPr>
            <w:r>
              <w:rPr>
                <w:rFonts w:hint="default" w:ascii="Times New Roman" w:hAnsi="Times New Roman" w:eastAsia="仿宋" w:cs="Times New Roman"/>
                <w:b/>
                <w:bCs/>
                <w:kern w:val="0"/>
                <w:sz w:val="20"/>
                <w:szCs w:val="20"/>
                <w:highlight w:val="none"/>
              </w:rPr>
              <w:t>其他直接费</w:t>
            </w:r>
          </w:p>
        </w:tc>
        <w:tc>
          <w:tcPr>
            <w:tcW w:w="311"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b/>
                <w:bCs/>
                <w:kern w:val="0"/>
                <w:sz w:val="20"/>
                <w:szCs w:val="20"/>
                <w:highlight w:val="none"/>
              </w:rPr>
            </w:pPr>
            <w:r>
              <w:rPr>
                <w:rFonts w:hint="default" w:ascii="Times New Roman" w:hAnsi="Times New Roman" w:eastAsia="仿宋" w:cs="Times New Roman"/>
                <w:b/>
                <w:bCs/>
                <w:kern w:val="0"/>
                <w:sz w:val="20"/>
                <w:szCs w:val="20"/>
                <w:highlight w:val="none"/>
              </w:rPr>
              <w:t>现场</w:t>
            </w:r>
          </w:p>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20"/>
                <w:szCs w:val="20"/>
                <w:highlight w:val="none"/>
              </w:rPr>
            </w:pPr>
            <w:r>
              <w:rPr>
                <w:rFonts w:hint="default" w:ascii="Times New Roman" w:hAnsi="Times New Roman" w:eastAsia="仿宋" w:cs="Times New Roman"/>
                <w:b/>
                <w:bCs/>
                <w:kern w:val="0"/>
                <w:sz w:val="20"/>
                <w:szCs w:val="20"/>
                <w:highlight w:val="none"/>
              </w:rPr>
              <w:t>经费</w:t>
            </w:r>
          </w:p>
        </w:tc>
        <w:tc>
          <w:tcPr>
            <w:tcW w:w="317"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b/>
                <w:bCs/>
                <w:kern w:val="0"/>
                <w:sz w:val="20"/>
                <w:szCs w:val="20"/>
                <w:highlight w:val="none"/>
              </w:rPr>
            </w:pPr>
            <w:r>
              <w:rPr>
                <w:rFonts w:hint="default" w:ascii="Times New Roman" w:hAnsi="Times New Roman" w:eastAsia="仿宋" w:cs="Times New Roman"/>
                <w:b/>
                <w:bCs/>
                <w:kern w:val="0"/>
                <w:sz w:val="20"/>
                <w:szCs w:val="20"/>
                <w:highlight w:val="none"/>
              </w:rPr>
              <w:t>间接费</w:t>
            </w:r>
          </w:p>
        </w:tc>
        <w:tc>
          <w:tcPr>
            <w:tcW w:w="311"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b/>
                <w:bCs/>
                <w:kern w:val="0"/>
                <w:sz w:val="20"/>
                <w:szCs w:val="20"/>
                <w:highlight w:val="none"/>
              </w:rPr>
            </w:pPr>
            <w:r>
              <w:rPr>
                <w:rFonts w:hint="default" w:ascii="Times New Roman" w:hAnsi="Times New Roman" w:eastAsia="仿宋" w:cs="Times New Roman"/>
                <w:b/>
                <w:bCs/>
                <w:kern w:val="0"/>
                <w:sz w:val="20"/>
                <w:szCs w:val="20"/>
                <w:highlight w:val="none"/>
              </w:rPr>
              <w:t>企业</w:t>
            </w:r>
          </w:p>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20"/>
                <w:szCs w:val="20"/>
                <w:highlight w:val="none"/>
              </w:rPr>
            </w:pPr>
            <w:r>
              <w:rPr>
                <w:rFonts w:hint="default" w:ascii="Times New Roman" w:hAnsi="Times New Roman" w:eastAsia="仿宋" w:cs="Times New Roman"/>
                <w:b/>
                <w:bCs/>
                <w:kern w:val="0"/>
                <w:sz w:val="20"/>
                <w:szCs w:val="20"/>
                <w:highlight w:val="none"/>
              </w:rPr>
              <w:t>利润</w:t>
            </w:r>
          </w:p>
        </w:tc>
        <w:tc>
          <w:tcPr>
            <w:tcW w:w="285"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b/>
                <w:bCs/>
                <w:kern w:val="0"/>
                <w:sz w:val="20"/>
                <w:szCs w:val="20"/>
                <w:highlight w:val="none"/>
              </w:rPr>
            </w:pPr>
            <w:r>
              <w:rPr>
                <w:rFonts w:hint="default" w:ascii="Times New Roman" w:hAnsi="Times New Roman" w:eastAsia="仿宋" w:cs="Times New Roman"/>
                <w:b/>
                <w:bCs/>
                <w:kern w:val="0"/>
                <w:sz w:val="20"/>
                <w:szCs w:val="20"/>
                <w:highlight w:val="none"/>
              </w:rPr>
              <w:t>价差</w:t>
            </w:r>
          </w:p>
        </w:tc>
        <w:tc>
          <w:tcPr>
            <w:tcW w:w="375"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b/>
                <w:bCs/>
                <w:kern w:val="0"/>
                <w:sz w:val="20"/>
                <w:szCs w:val="20"/>
                <w:highlight w:val="none"/>
              </w:rPr>
            </w:pPr>
            <w:r>
              <w:rPr>
                <w:rFonts w:hint="default" w:ascii="Times New Roman" w:hAnsi="Times New Roman" w:eastAsia="仿宋" w:cs="Times New Roman"/>
                <w:b/>
                <w:bCs/>
                <w:kern w:val="0"/>
                <w:sz w:val="20"/>
                <w:szCs w:val="20"/>
                <w:highlight w:val="none"/>
              </w:rPr>
              <w:t>税金</w:t>
            </w:r>
          </w:p>
        </w:tc>
        <w:tc>
          <w:tcPr>
            <w:tcW w:w="390"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b/>
                <w:bCs/>
                <w:kern w:val="0"/>
                <w:sz w:val="20"/>
                <w:szCs w:val="20"/>
                <w:highlight w:val="none"/>
              </w:rPr>
            </w:pPr>
            <w:r>
              <w:rPr>
                <w:rFonts w:hint="default" w:ascii="Times New Roman" w:hAnsi="Times New Roman" w:eastAsia="仿宋" w:cs="Times New Roman"/>
                <w:b/>
                <w:bCs/>
                <w:kern w:val="0"/>
                <w:sz w:val="20"/>
                <w:szCs w:val="20"/>
                <w:highlight w:val="none"/>
              </w:rPr>
              <w:t>扩大系数</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43"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20"/>
                <w:szCs w:val="20"/>
                <w:highlight w:val="none"/>
              </w:rPr>
            </w:pPr>
            <w:r>
              <w:rPr>
                <w:rFonts w:hint="default" w:ascii="Times New Roman" w:hAnsi="Times New Roman" w:eastAsia="仿宋" w:cs="Times New Roman"/>
                <w:kern w:val="0"/>
                <w:sz w:val="20"/>
                <w:szCs w:val="20"/>
                <w:highlight w:val="none"/>
              </w:rPr>
              <w:t>1</w:t>
            </w:r>
          </w:p>
        </w:tc>
        <w:tc>
          <w:tcPr>
            <w:tcW w:w="360"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20"/>
                <w:szCs w:val="20"/>
                <w:highlight w:val="none"/>
                <w:lang w:val="en-US" w:eastAsia="zh-CN"/>
              </w:rPr>
            </w:pPr>
            <w:r>
              <w:rPr>
                <w:rFonts w:hint="eastAsia" w:eastAsia="仿宋" w:cs="Times New Roman"/>
                <w:kern w:val="0"/>
                <w:sz w:val="20"/>
                <w:szCs w:val="20"/>
                <w:highlight w:val="none"/>
                <w:lang w:val="en-US" w:eastAsia="zh-CN"/>
              </w:rPr>
              <w:t>08045</w:t>
            </w:r>
          </w:p>
        </w:tc>
        <w:tc>
          <w:tcPr>
            <w:tcW w:w="588"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sz w:val="20"/>
                <w:szCs w:val="20"/>
                <w:highlight w:val="none"/>
              </w:rPr>
            </w:pPr>
            <w:r>
              <w:rPr>
                <w:rFonts w:hint="default" w:ascii="Times New Roman" w:hAnsi="Times New Roman" w:eastAsia="仿宋" w:cs="Times New Roman"/>
                <w:sz w:val="20"/>
                <w:szCs w:val="20"/>
                <w:highlight w:val="none"/>
              </w:rPr>
              <w:t>全面整地</w:t>
            </w:r>
          </w:p>
        </w:tc>
        <w:tc>
          <w:tcPr>
            <w:tcW w:w="266" w:type="pct"/>
            <w:tcBorders>
              <w:tl2br w:val="nil"/>
              <w:tr2bl w:val="nil"/>
            </w:tcBorders>
            <w:noWrap w:val="0"/>
            <w:vAlign w:val="center"/>
          </w:tcPr>
          <w:p>
            <w:pPr>
              <w:pStyle w:val="563"/>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 w:cs="Times New Roman"/>
                <w:sz w:val="20"/>
                <w:szCs w:val="20"/>
                <w:highlight w:val="none"/>
              </w:rPr>
            </w:pPr>
            <w:r>
              <w:rPr>
                <w:rFonts w:hint="default" w:ascii="Times New Roman" w:hAnsi="Times New Roman" w:eastAsia="仿宋" w:cs="Times New Roman"/>
                <w:sz w:val="20"/>
                <w:szCs w:val="20"/>
                <w:highlight w:val="none"/>
              </w:rPr>
              <w:t>hm²</w:t>
            </w:r>
          </w:p>
        </w:tc>
        <w:tc>
          <w:tcPr>
            <w:tcW w:w="343" w:type="pct"/>
            <w:tcBorders>
              <w:tl2br w:val="nil"/>
              <w:tr2bl w:val="nil"/>
            </w:tcBorders>
            <w:noWrap w:val="0"/>
            <w:vAlign w:val="center"/>
          </w:tcPr>
          <w:p>
            <w:pPr>
              <w:pStyle w:val="563"/>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 w:cs="Times New Roman"/>
                <w:sz w:val="20"/>
                <w:szCs w:val="20"/>
                <w:highlight w:val="none"/>
                <w:lang w:val="en-US" w:eastAsia="zh-CN"/>
              </w:rPr>
            </w:pPr>
            <w:r>
              <w:rPr>
                <w:rFonts w:hint="default" w:ascii="Times New Roman" w:hAnsi="Times New Roman" w:eastAsia="仿宋" w:cs="Times New Roman"/>
                <w:sz w:val="20"/>
                <w:szCs w:val="20"/>
                <w:highlight w:val="none"/>
                <w:lang w:val="en-US" w:eastAsia="zh-CN"/>
              </w:rPr>
              <w:t>1529.35</w:t>
            </w:r>
          </w:p>
        </w:tc>
        <w:tc>
          <w:tcPr>
            <w:tcW w:w="290" w:type="pct"/>
            <w:tcBorders>
              <w:tl2br w:val="nil"/>
              <w:tr2bl w:val="nil"/>
            </w:tcBorders>
            <w:noWrap w:val="0"/>
            <w:vAlign w:val="center"/>
          </w:tcPr>
          <w:p>
            <w:pPr>
              <w:pStyle w:val="563"/>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 w:cs="Times New Roman"/>
                <w:kern w:val="2"/>
                <w:sz w:val="20"/>
                <w:szCs w:val="20"/>
                <w:highlight w:val="none"/>
                <w:lang w:val="en-US" w:eastAsia="zh-CN"/>
              </w:rPr>
            </w:pPr>
            <w:r>
              <w:rPr>
                <w:rFonts w:hint="default" w:ascii="Times New Roman" w:hAnsi="Times New Roman" w:eastAsia="仿宋" w:cs="Times New Roman"/>
                <w:kern w:val="2"/>
                <w:sz w:val="20"/>
                <w:szCs w:val="20"/>
                <w:highlight w:val="none"/>
                <w:lang w:val="en-US" w:eastAsia="zh-CN"/>
              </w:rPr>
              <w:t>380.00</w:t>
            </w:r>
          </w:p>
        </w:tc>
        <w:tc>
          <w:tcPr>
            <w:tcW w:w="295" w:type="pct"/>
            <w:tcBorders>
              <w:tl2br w:val="nil"/>
              <w:tr2bl w:val="nil"/>
            </w:tcBorders>
            <w:noWrap w:val="0"/>
            <w:vAlign w:val="center"/>
          </w:tcPr>
          <w:p>
            <w:pPr>
              <w:pStyle w:val="563"/>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 w:cs="Times New Roman"/>
                <w:kern w:val="2"/>
                <w:sz w:val="20"/>
                <w:szCs w:val="20"/>
                <w:highlight w:val="none"/>
                <w:lang w:val="en-US" w:eastAsia="zh-CN"/>
              </w:rPr>
            </w:pPr>
            <w:r>
              <w:rPr>
                <w:rFonts w:hint="default" w:ascii="Times New Roman" w:hAnsi="Times New Roman" w:eastAsia="仿宋" w:cs="Times New Roman"/>
                <w:kern w:val="2"/>
                <w:sz w:val="20"/>
                <w:szCs w:val="20"/>
                <w:highlight w:val="none"/>
                <w:lang w:val="en-US" w:eastAsia="zh-CN"/>
              </w:rPr>
              <w:t xml:space="preserve">249.17 </w:t>
            </w:r>
          </w:p>
        </w:tc>
        <w:tc>
          <w:tcPr>
            <w:tcW w:w="306" w:type="pct"/>
            <w:tcBorders>
              <w:tl2br w:val="nil"/>
              <w:tr2bl w:val="nil"/>
            </w:tcBorders>
            <w:noWrap w:val="0"/>
            <w:vAlign w:val="center"/>
          </w:tcPr>
          <w:p>
            <w:pPr>
              <w:pStyle w:val="563"/>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 w:cs="Times New Roman"/>
                <w:kern w:val="2"/>
                <w:sz w:val="20"/>
                <w:szCs w:val="20"/>
                <w:highlight w:val="none"/>
                <w:lang w:val="en-US" w:eastAsia="zh-CN"/>
              </w:rPr>
            </w:pPr>
            <w:r>
              <w:rPr>
                <w:rFonts w:hint="default" w:ascii="Times New Roman" w:hAnsi="Times New Roman" w:eastAsia="仿宋" w:cs="Times New Roman"/>
                <w:kern w:val="2"/>
                <w:sz w:val="20"/>
                <w:szCs w:val="20"/>
                <w:highlight w:val="none"/>
                <w:lang w:val="en-US" w:eastAsia="zh-CN"/>
              </w:rPr>
              <w:t>279.76</w:t>
            </w:r>
          </w:p>
        </w:tc>
        <w:tc>
          <w:tcPr>
            <w:tcW w:w="316" w:type="pct"/>
            <w:tcBorders>
              <w:tl2br w:val="nil"/>
              <w:tr2bl w:val="nil"/>
            </w:tcBorders>
            <w:noWrap w:val="0"/>
            <w:vAlign w:val="center"/>
          </w:tcPr>
          <w:p>
            <w:pPr>
              <w:pStyle w:val="563"/>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 w:cs="Times New Roman"/>
                <w:kern w:val="2"/>
                <w:sz w:val="20"/>
                <w:szCs w:val="20"/>
                <w:highlight w:val="none"/>
                <w:lang w:val="en-US" w:eastAsia="zh-CN"/>
              </w:rPr>
            </w:pPr>
            <w:r>
              <w:rPr>
                <w:rFonts w:hint="default" w:ascii="Times New Roman" w:hAnsi="Times New Roman" w:eastAsia="仿宋" w:cs="Times New Roman"/>
                <w:kern w:val="2"/>
                <w:sz w:val="20"/>
                <w:szCs w:val="20"/>
                <w:highlight w:val="none"/>
                <w:lang w:val="en-US" w:eastAsia="zh-CN"/>
              </w:rPr>
              <w:t>36.36</w:t>
            </w:r>
          </w:p>
        </w:tc>
        <w:tc>
          <w:tcPr>
            <w:tcW w:w="311" w:type="pct"/>
            <w:tcBorders>
              <w:tl2br w:val="nil"/>
              <w:tr2bl w:val="nil"/>
            </w:tcBorders>
            <w:noWrap w:val="0"/>
            <w:vAlign w:val="center"/>
          </w:tcPr>
          <w:p>
            <w:pPr>
              <w:pStyle w:val="563"/>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 w:cs="Times New Roman"/>
                <w:kern w:val="2"/>
                <w:sz w:val="20"/>
                <w:szCs w:val="20"/>
                <w:highlight w:val="none"/>
                <w:lang w:val="en-US" w:eastAsia="zh-CN"/>
              </w:rPr>
            </w:pPr>
            <w:r>
              <w:rPr>
                <w:rFonts w:hint="default" w:ascii="Times New Roman" w:hAnsi="Times New Roman" w:eastAsia="仿宋" w:cs="Times New Roman"/>
                <w:kern w:val="2"/>
                <w:sz w:val="20"/>
                <w:szCs w:val="20"/>
                <w:highlight w:val="none"/>
                <w:lang w:val="en-US" w:eastAsia="zh-CN"/>
              </w:rPr>
              <w:t>45.45</w:t>
            </w:r>
          </w:p>
        </w:tc>
        <w:tc>
          <w:tcPr>
            <w:tcW w:w="317" w:type="pct"/>
            <w:tcBorders>
              <w:tl2br w:val="nil"/>
              <w:tr2bl w:val="nil"/>
            </w:tcBorders>
            <w:noWrap w:val="0"/>
            <w:vAlign w:val="center"/>
          </w:tcPr>
          <w:p>
            <w:pPr>
              <w:pStyle w:val="563"/>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 w:cs="Times New Roman"/>
                <w:kern w:val="2"/>
                <w:sz w:val="20"/>
                <w:szCs w:val="20"/>
                <w:highlight w:val="none"/>
                <w:lang w:val="en-US" w:eastAsia="zh-CN"/>
              </w:rPr>
            </w:pPr>
            <w:r>
              <w:rPr>
                <w:rFonts w:hint="default" w:ascii="Times New Roman" w:hAnsi="Times New Roman" w:eastAsia="仿宋" w:cs="Times New Roman"/>
                <w:kern w:val="2"/>
                <w:sz w:val="20"/>
                <w:szCs w:val="20"/>
                <w:highlight w:val="none"/>
                <w:lang w:val="en-US" w:eastAsia="zh-CN"/>
              </w:rPr>
              <w:t>43.59</w:t>
            </w:r>
          </w:p>
        </w:tc>
        <w:tc>
          <w:tcPr>
            <w:tcW w:w="311" w:type="pct"/>
            <w:tcBorders>
              <w:tl2br w:val="nil"/>
              <w:tr2bl w:val="nil"/>
            </w:tcBorders>
            <w:noWrap w:val="0"/>
            <w:vAlign w:val="center"/>
          </w:tcPr>
          <w:p>
            <w:pPr>
              <w:pStyle w:val="563"/>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 w:cs="Times New Roman"/>
                <w:kern w:val="2"/>
                <w:sz w:val="20"/>
                <w:szCs w:val="20"/>
                <w:highlight w:val="none"/>
                <w:lang w:val="en-US" w:eastAsia="zh-CN"/>
              </w:rPr>
            </w:pPr>
            <w:r>
              <w:rPr>
                <w:rFonts w:hint="default" w:ascii="Times New Roman" w:hAnsi="Times New Roman" w:eastAsia="仿宋" w:cs="Times New Roman"/>
                <w:kern w:val="2"/>
                <w:sz w:val="20"/>
                <w:szCs w:val="20"/>
                <w:highlight w:val="none"/>
                <w:lang w:val="en-US" w:eastAsia="zh-CN"/>
              </w:rPr>
              <w:t>72.40</w:t>
            </w:r>
          </w:p>
        </w:tc>
        <w:tc>
          <w:tcPr>
            <w:tcW w:w="285" w:type="pct"/>
            <w:tcBorders>
              <w:tl2br w:val="nil"/>
              <w:tr2bl w:val="nil"/>
            </w:tcBorders>
            <w:noWrap w:val="0"/>
            <w:vAlign w:val="center"/>
          </w:tcPr>
          <w:p>
            <w:pPr>
              <w:pStyle w:val="563"/>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 w:cs="Times New Roman"/>
                <w:kern w:val="2"/>
                <w:sz w:val="20"/>
                <w:szCs w:val="20"/>
                <w:highlight w:val="none"/>
                <w:lang w:val="en-US" w:eastAsia="zh-CN"/>
              </w:rPr>
            </w:pPr>
            <w:r>
              <w:rPr>
                <w:rFonts w:hint="default" w:ascii="Times New Roman" w:hAnsi="Times New Roman" w:eastAsia="仿宋" w:cs="Times New Roman"/>
                <w:kern w:val="2"/>
                <w:sz w:val="20"/>
                <w:szCs w:val="20"/>
                <w:highlight w:val="none"/>
                <w:lang w:val="en-US" w:eastAsia="zh-CN"/>
              </w:rPr>
              <w:t>168.80</w:t>
            </w:r>
          </w:p>
        </w:tc>
        <w:tc>
          <w:tcPr>
            <w:tcW w:w="375" w:type="pct"/>
            <w:tcBorders>
              <w:tl2br w:val="nil"/>
              <w:tr2bl w:val="nil"/>
            </w:tcBorders>
            <w:noWrap w:val="0"/>
            <w:vAlign w:val="center"/>
          </w:tcPr>
          <w:p>
            <w:pPr>
              <w:pStyle w:val="563"/>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 w:cs="Times New Roman"/>
                <w:kern w:val="2"/>
                <w:sz w:val="20"/>
                <w:szCs w:val="20"/>
                <w:highlight w:val="none"/>
                <w:lang w:val="en-US" w:eastAsia="zh-CN"/>
              </w:rPr>
            </w:pPr>
            <w:r>
              <w:rPr>
                <w:rFonts w:hint="default" w:ascii="Times New Roman" w:hAnsi="Times New Roman" w:eastAsia="仿宋" w:cs="Times New Roman"/>
                <w:kern w:val="2"/>
                <w:sz w:val="20"/>
                <w:szCs w:val="20"/>
                <w:highlight w:val="none"/>
                <w:lang w:val="en-US" w:eastAsia="zh-CN"/>
              </w:rPr>
              <w:t>114.80</w:t>
            </w:r>
          </w:p>
        </w:tc>
        <w:tc>
          <w:tcPr>
            <w:tcW w:w="390" w:type="pct"/>
            <w:tcBorders>
              <w:tl2br w:val="nil"/>
              <w:tr2bl w:val="nil"/>
            </w:tcBorders>
            <w:noWrap w:val="0"/>
            <w:vAlign w:val="center"/>
          </w:tcPr>
          <w:p>
            <w:pPr>
              <w:pStyle w:val="563"/>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 w:cs="Times New Roman"/>
                <w:kern w:val="2"/>
                <w:sz w:val="20"/>
                <w:szCs w:val="20"/>
                <w:highlight w:val="none"/>
                <w:lang w:val="en-US" w:eastAsia="zh-CN"/>
              </w:rPr>
            </w:pPr>
            <w:r>
              <w:rPr>
                <w:rFonts w:hint="default" w:ascii="Times New Roman" w:hAnsi="Times New Roman" w:eastAsia="仿宋" w:cs="Times New Roman"/>
                <w:kern w:val="2"/>
                <w:sz w:val="20"/>
                <w:szCs w:val="20"/>
                <w:highlight w:val="none"/>
                <w:lang w:val="en-US" w:eastAsia="zh-CN"/>
              </w:rPr>
              <w:t>139.03</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43"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20"/>
                <w:szCs w:val="20"/>
                <w:highlight w:val="none"/>
                <w:lang w:val="en-US" w:eastAsia="zh-CN" w:bidi="ar-SA"/>
              </w:rPr>
            </w:pPr>
            <w:r>
              <w:rPr>
                <w:rFonts w:hint="default" w:ascii="Times New Roman" w:hAnsi="Times New Roman" w:eastAsia="仿宋" w:cs="Times New Roman"/>
                <w:kern w:val="0"/>
                <w:sz w:val="20"/>
                <w:szCs w:val="20"/>
                <w:highlight w:val="none"/>
                <w:lang w:val="en-US" w:eastAsia="zh-CN"/>
              </w:rPr>
              <w:t>2</w:t>
            </w:r>
          </w:p>
        </w:tc>
        <w:tc>
          <w:tcPr>
            <w:tcW w:w="360"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20"/>
                <w:szCs w:val="20"/>
                <w:highlight w:val="none"/>
                <w:lang w:val="en-US" w:eastAsia="zh-CN"/>
              </w:rPr>
            </w:pPr>
            <w:r>
              <w:rPr>
                <w:rFonts w:hint="eastAsia" w:eastAsia="仿宋" w:cs="Times New Roman"/>
                <w:kern w:val="0"/>
                <w:sz w:val="20"/>
                <w:szCs w:val="20"/>
                <w:highlight w:val="none"/>
                <w:lang w:val="en-US" w:eastAsia="zh-CN"/>
              </w:rPr>
              <w:t>03053</w:t>
            </w:r>
          </w:p>
        </w:tc>
        <w:tc>
          <w:tcPr>
            <w:tcW w:w="588"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sz w:val="20"/>
                <w:szCs w:val="20"/>
                <w:highlight w:val="none"/>
              </w:rPr>
            </w:pPr>
            <w:r>
              <w:rPr>
                <w:rFonts w:hint="default" w:ascii="Times New Roman" w:hAnsi="Times New Roman" w:eastAsia="仿宋" w:cs="Times New Roman"/>
                <w:sz w:val="20"/>
                <w:szCs w:val="20"/>
                <w:highlight w:val="none"/>
              </w:rPr>
              <w:t>编织袋砌筑</w:t>
            </w:r>
          </w:p>
        </w:tc>
        <w:tc>
          <w:tcPr>
            <w:tcW w:w="266" w:type="pct"/>
            <w:tcBorders>
              <w:tl2br w:val="nil"/>
              <w:tr2bl w:val="nil"/>
            </w:tcBorders>
            <w:noWrap w:val="0"/>
            <w:vAlign w:val="center"/>
          </w:tcPr>
          <w:p>
            <w:pPr>
              <w:pStyle w:val="563"/>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 w:cs="Times New Roman"/>
                <w:sz w:val="20"/>
                <w:szCs w:val="20"/>
                <w:highlight w:val="none"/>
                <w:lang w:val="en-US" w:eastAsia="zh-CN"/>
              </w:rPr>
            </w:pPr>
            <w:r>
              <w:rPr>
                <w:rFonts w:hint="eastAsia" w:eastAsia="仿宋" w:cs="Times New Roman"/>
                <w:sz w:val="20"/>
                <w:szCs w:val="20"/>
                <w:highlight w:val="none"/>
                <w:lang w:val="en-US" w:eastAsia="zh-CN"/>
              </w:rPr>
              <w:t>100</w:t>
            </w:r>
            <w:r>
              <w:rPr>
                <w:rFonts w:hint="default" w:ascii="Times New Roman" w:hAnsi="Times New Roman" w:eastAsia="仿宋" w:cs="Times New Roman"/>
                <w:sz w:val="20"/>
                <w:szCs w:val="20"/>
                <w:highlight w:val="none"/>
                <w:lang w:eastAsia="zh-CN"/>
              </w:rPr>
              <w:t>m³</w:t>
            </w:r>
          </w:p>
        </w:tc>
        <w:tc>
          <w:tcPr>
            <w:tcW w:w="343" w:type="pct"/>
            <w:tcBorders>
              <w:tl2br w:val="nil"/>
              <w:tr2bl w:val="nil"/>
            </w:tcBorders>
            <w:noWrap w:val="0"/>
            <w:vAlign w:val="center"/>
          </w:tcPr>
          <w:p>
            <w:pPr>
              <w:pStyle w:val="563"/>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 w:cs="Times New Roman"/>
                <w:sz w:val="20"/>
                <w:szCs w:val="20"/>
                <w:highlight w:val="none"/>
                <w:lang w:val="en-US" w:eastAsia="zh-CN"/>
              </w:rPr>
            </w:pPr>
            <w:r>
              <w:rPr>
                <w:rFonts w:hint="eastAsia" w:eastAsia="仿宋" w:cs="Times New Roman"/>
                <w:sz w:val="20"/>
                <w:szCs w:val="20"/>
                <w:highlight w:val="none"/>
                <w:lang w:val="en-US" w:eastAsia="zh-CN"/>
              </w:rPr>
              <w:t>53478.78</w:t>
            </w:r>
          </w:p>
        </w:tc>
        <w:tc>
          <w:tcPr>
            <w:tcW w:w="290" w:type="pct"/>
            <w:tcBorders>
              <w:tl2br w:val="nil"/>
              <w:tr2bl w:val="nil"/>
            </w:tcBorders>
            <w:noWrap w:val="0"/>
            <w:vAlign w:val="center"/>
          </w:tcPr>
          <w:p>
            <w:pPr>
              <w:pStyle w:val="563"/>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 w:cs="Times New Roman"/>
                <w:kern w:val="2"/>
                <w:sz w:val="20"/>
                <w:szCs w:val="20"/>
                <w:highlight w:val="none"/>
                <w:lang w:val="en-US" w:eastAsia="zh-CN"/>
              </w:rPr>
            </w:pPr>
            <w:r>
              <w:rPr>
                <w:rFonts w:hint="eastAsia" w:eastAsia="仿宋" w:cs="Times New Roman"/>
                <w:kern w:val="2"/>
                <w:sz w:val="20"/>
                <w:szCs w:val="20"/>
                <w:highlight w:val="none"/>
                <w:lang w:val="en-US" w:eastAsia="zh-CN"/>
              </w:rPr>
              <w:t>23240</w:t>
            </w:r>
          </w:p>
        </w:tc>
        <w:tc>
          <w:tcPr>
            <w:tcW w:w="295" w:type="pct"/>
            <w:tcBorders>
              <w:tl2br w:val="nil"/>
              <w:tr2bl w:val="nil"/>
            </w:tcBorders>
            <w:noWrap w:val="0"/>
            <w:vAlign w:val="center"/>
          </w:tcPr>
          <w:p>
            <w:pPr>
              <w:pStyle w:val="563"/>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 w:cs="Times New Roman"/>
                <w:kern w:val="2"/>
                <w:sz w:val="20"/>
                <w:szCs w:val="20"/>
                <w:highlight w:val="none"/>
                <w:lang w:val="en-US" w:eastAsia="zh-CN"/>
              </w:rPr>
            </w:pPr>
            <w:r>
              <w:rPr>
                <w:rFonts w:hint="eastAsia" w:eastAsia="仿宋" w:cs="Times New Roman"/>
                <w:kern w:val="2"/>
                <w:sz w:val="20"/>
                <w:szCs w:val="20"/>
                <w:highlight w:val="none"/>
                <w:lang w:val="en-US" w:eastAsia="zh-CN"/>
              </w:rPr>
              <w:t>3333</w:t>
            </w:r>
          </w:p>
        </w:tc>
        <w:tc>
          <w:tcPr>
            <w:tcW w:w="306" w:type="pct"/>
            <w:tcBorders>
              <w:tl2br w:val="nil"/>
              <w:tr2bl w:val="nil"/>
            </w:tcBorders>
            <w:noWrap w:val="0"/>
            <w:vAlign w:val="center"/>
          </w:tcPr>
          <w:p>
            <w:pPr>
              <w:pStyle w:val="563"/>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 w:cs="Times New Roman"/>
                <w:kern w:val="2"/>
                <w:sz w:val="20"/>
                <w:szCs w:val="20"/>
                <w:highlight w:val="none"/>
                <w:lang w:val="en-US" w:eastAsia="zh-CN"/>
              </w:rPr>
            </w:pPr>
          </w:p>
        </w:tc>
        <w:tc>
          <w:tcPr>
            <w:tcW w:w="316" w:type="pct"/>
            <w:tcBorders>
              <w:tl2br w:val="nil"/>
              <w:tr2bl w:val="nil"/>
            </w:tcBorders>
            <w:noWrap w:val="0"/>
            <w:vAlign w:val="center"/>
          </w:tcPr>
          <w:p>
            <w:pPr>
              <w:pStyle w:val="563"/>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 w:cs="Times New Roman"/>
                <w:kern w:val="2"/>
                <w:sz w:val="20"/>
                <w:szCs w:val="20"/>
                <w:highlight w:val="none"/>
                <w:lang w:val="en-US" w:eastAsia="zh-CN"/>
              </w:rPr>
            </w:pPr>
            <w:r>
              <w:rPr>
                <w:rFonts w:hint="eastAsia" w:eastAsia="仿宋" w:cs="Times New Roman"/>
                <w:kern w:val="2"/>
                <w:sz w:val="20"/>
                <w:szCs w:val="20"/>
                <w:highlight w:val="none"/>
                <w:lang w:val="en-US" w:eastAsia="zh-CN"/>
              </w:rPr>
              <w:t>1062.92</w:t>
            </w:r>
          </w:p>
        </w:tc>
        <w:tc>
          <w:tcPr>
            <w:tcW w:w="311" w:type="pct"/>
            <w:tcBorders>
              <w:tl2br w:val="nil"/>
              <w:tr2bl w:val="nil"/>
            </w:tcBorders>
            <w:noWrap w:val="0"/>
            <w:vAlign w:val="center"/>
          </w:tcPr>
          <w:p>
            <w:pPr>
              <w:pStyle w:val="563"/>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 w:cs="Times New Roman"/>
                <w:kern w:val="2"/>
                <w:sz w:val="20"/>
                <w:szCs w:val="20"/>
                <w:highlight w:val="none"/>
                <w:lang w:val="en-US" w:eastAsia="zh-CN"/>
              </w:rPr>
            </w:pPr>
            <w:r>
              <w:rPr>
                <w:rFonts w:hint="eastAsia" w:eastAsia="仿宋" w:cs="Times New Roman"/>
                <w:kern w:val="2"/>
                <w:sz w:val="20"/>
                <w:szCs w:val="20"/>
                <w:highlight w:val="none"/>
                <w:lang w:val="en-US" w:eastAsia="zh-CN"/>
              </w:rPr>
              <w:t>1328.65</w:t>
            </w:r>
          </w:p>
        </w:tc>
        <w:tc>
          <w:tcPr>
            <w:tcW w:w="317" w:type="pct"/>
            <w:tcBorders>
              <w:tl2br w:val="nil"/>
              <w:tr2bl w:val="nil"/>
            </w:tcBorders>
            <w:noWrap w:val="0"/>
            <w:vAlign w:val="center"/>
          </w:tcPr>
          <w:p>
            <w:pPr>
              <w:pStyle w:val="563"/>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 w:cs="Times New Roman"/>
                <w:kern w:val="2"/>
                <w:sz w:val="20"/>
                <w:szCs w:val="20"/>
                <w:highlight w:val="none"/>
                <w:lang w:val="en-US" w:eastAsia="zh-CN"/>
              </w:rPr>
            </w:pPr>
            <w:r>
              <w:rPr>
                <w:rFonts w:hint="eastAsia" w:eastAsia="仿宋" w:cs="Times New Roman"/>
                <w:kern w:val="2"/>
                <w:sz w:val="20"/>
                <w:szCs w:val="20"/>
                <w:highlight w:val="none"/>
                <w:lang w:val="en-US" w:eastAsia="zh-CN"/>
              </w:rPr>
              <w:t>1800.59</w:t>
            </w:r>
          </w:p>
        </w:tc>
        <w:tc>
          <w:tcPr>
            <w:tcW w:w="311" w:type="pct"/>
            <w:tcBorders>
              <w:tl2br w:val="nil"/>
              <w:tr2bl w:val="nil"/>
            </w:tcBorders>
            <w:noWrap w:val="0"/>
            <w:vAlign w:val="center"/>
          </w:tcPr>
          <w:p>
            <w:pPr>
              <w:pStyle w:val="563"/>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 w:cs="Times New Roman"/>
                <w:kern w:val="2"/>
                <w:sz w:val="20"/>
                <w:szCs w:val="20"/>
                <w:highlight w:val="none"/>
                <w:lang w:val="en-US" w:eastAsia="zh-CN"/>
              </w:rPr>
            </w:pPr>
            <w:r>
              <w:rPr>
                <w:rFonts w:hint="eastAsia" w:eastAsia="仿宋" w:cs="Times New Roman"/>
                <w:kern w:val="2"/>
                <w:sz w:val="20"/>
                <w:szCs w:val="20"/>
                <w:highlight w:val="none"/>
                <w:lang w:val="en-US" w:eastAsia="zh-CN"/>
              </w:rPr>
              <w:t>1879.81</w:t>
            </w:r>
          </w:p>
        </w:tc>
        <w:tc>
          <w:tcPr>
            <w:tcW w:w="285" w:type="pct"/>
            <w:tcBorders>
              <w:tl2br w:val="nil"/>
              <w:tr2bl w:val="nil"/>
            </w:tcBorders>
            <w:noWrap w:val="0"/>
            <w:vAlign w:val="center"/>
          </w:tcPr>
          <w:p>
            <w:pPr>
              <w:pStyle w:val="563"/>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 w:cs="Times New Roman"/>
                <w:kern w:val="2"/>
                <w:sz w:val="20"/>
                <w:szCs w:val="20"/>
                <w:highlight w:val="none"/>
                <w:lang w:val="en-US" w:eastAsia="zh-CN"/>
              </w:rPr>
            </w:pPr>
          </w:p>
        </w:tc>
        <w:tc>
          <w:tcPr>
            <w:tcW w:w="375" w:type="pct"/>
            <w:tcBorders>
              <w:tl2br w:val="nil"/>
              <w:tr2bl w:val="nil"/>
            </w:tcBorders>
            <w:noWrap w:val="0"/>
            <w:vAlign w:val="center"/>
          </w:tcPr>
          <w:p>
            <w:pPr>
              <w:pStyle w:val="563"/>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 w:cs="Times New Roman"/>
                <w:kern w:val="2"/>
                <w:sz w:val="20"/>
                <w:szCs w:val="20"/>
                <w:highlight w:val="none"/>
                <w:lang w:val="en-US" w:eastAsia="zh-CN"/>
              </w:rPr>
            </w:pPr>
            <w:r>
              <w:rPr>
                <w:rFonts w:hint="eastAsia" w:eastAsia="仿宋" w:cs="Times New Roman"/>
                <w:kern w:val="2"/>
                <w:sz w:val="20"/>
                <w:szCs w:val="20"/>
                <w:highlight w:val="none"/>
                <w:lang w:val="en-US" w:eastAsia="zh-CN"/>
              </w:rPr>
              <w:t>4014.25</w:t>
            </w:r>
          </w:p>
        </w:tc>
        <w:tc>
          <w:tcPr>
            <w:tcW w:w="390" w:type="pct"/>
            <w:tcBorders>
              <w:tl2br w:val="nil"/>
              <w:tr2bl w:val="nil"/>
            </w:tcBorders>
            <w:noWrap w:val="0"/>
            <w:vAlign w:val="center"/>
          </w:tcPr>
          <w:p>
            <w:pPr>
              <w:pStyle w:val="563"/>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 w:cs="Times New Roman"/>
                <w:kern w:val="2"/>
                <w:sz w:val="20"/>
                <w:szCs w:val="20"/>
                <w:highlight w:val="none"/>
                <w:lang w:val="en-US" w:eastAsia="zh-CN"/>
              </w:rPr>
            </w:pPr>
            <w:r>
              <w:rPr>
                <w:rFonts w:hint="eastAsia" w:eastAsia="仿宋" w:cs="Times New Roman"/>
                <w:kern w:val="2"/>
                <w:sz w:val="20"/>
                <w:szCs w:val="20"/>
                <w:highlight w:val="none"/>
                <w:lang w:val="en-US" w:eastAsia="zh-CN"/>
              </w:rPr>
              <w:t>4861.71</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43"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20"/>
                <w:szCs w:val="20"/>
                <w:highlight w:val="none"/>
                <w:lang w:val="en-US" w:eastAsia="zh-CN" w:bidi="ar-SA"/>
              </w:rPr>
            </w:pPr>
            <w:r>
              <w:rPr>
                <w:rFonts w:hint="default" w:ascii="Times New Roman" w:hAnsi="Times New Roman" w:eastAsia="仿宋" w:cs="Times New Roman"/>
                <w:kern w:val="0"/>
                <w:sz w:val="20"/>
                <w:szCs w:val="20"/>
                <w:highlight w:val="none"/>
                <w:lang w:val="en-US" w:eastAsia="zh-CN"/>
              </w:rPr>
              <w:t>3</w:t>
            </w:r>
          </w:p>
        </w:tc>
        <w:tc>
          <w:tcPr>
            <w:tcW w:w="360"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20"/>
                <w:szCs w:val="20"/>
                <w:highlight w:val="none"/>
                <w:lang w:val="en-US" w:eastAsia="zh-CN"/>
              </w:rPr>
            </w:pPr>
            <w:r>
              <w:rPr>
                <w:rFonts w:hint="eastAsia" w:eastAsia="仿宋" w:cs="Times New Roman"/>
                <w:kern w:val="0"/>
                <w:sz w:val="20"/>
                <w:szCs w:val="20"/>
                <w:highlight w:val="none"/>
                <w:lang w:val="en-US" w:eastAsia="zh-CN"/>
              </w:rPr>
              <w:t>03054</w:t>
            </w:r>
          </w:p>
        </w:tc>
        <w:tc>
          <w:tcPr>
            <w:tcW w:w="588"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sz w:val="20"/>
                <w:szCs w:val="20"/>
                <w:highlight w:val="none"/>
              </w:rPr>
            </w:pPr>
            <w:r>
              <w:rPr>
                <w:rFonts w:hint="default" w:ascii="Times New Roman" w:hAnsi="Times New Roman" w:eastAsia="仿宋" w:cs="Times New Roman"/>
                <w:sz w:val="20"/>
                <w:szCs w:val="20"/>
                <w:highlight w:val="none"/>
              </w:rPr>
              <w:t>编织袋拆除</w:t>
            </w:r>
          </w:p>
        </w:tc>
        <w:tc>
          <w:tcPr>
            <w:tcW w:w="266" w:type="pct"/>
            <w:tcBorders>
              <w:tl2br w:val="nil"/>
              <w:tr2bl w:val="nil"/>
            </w:tcBorders>
            <w:noWrap w:val="0"/>
            <w:vAlign w:val="center"/>
          </w:tcPr>
          <w:p>
            <w:pPr>
              <w:pStyle w:val="563"/>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 w:cs="Times New Roman"/>
                <w:sz w:val="20"/>
                <w:szCs w:val="20"/>
                <w:highlight w:val="none"/>
              </w:rPr>
            </w:pPr>
            <w:r>
              <w:rPr>
                <w:rFonts w:hint="eastAsia" w:eastAsia="仿宋" w:cs="Times New Roman"/>
                <w:sz w:val="20"/>
                <w:szCs w:val="20"/>
                <w:highlight w:val="none"/>
                <w:lang w:val="en-US" w:eastAsia="zh-CN"/>
              </w:rPr>
              <w:t>100</w:t>
            </w:r>
            <w:r>
              <w:rPr>
                <w:rFonts w:hint="default" w:ascii="Times New Roman" w:hAnsi="Times New Roman" w:eastAsia="仿宋" w:cs="Times New Roman"/>
                <w:sz w:val="20"/>
                <w:szCs w:val="20"/>
                <w:highlight w:val="none"/>
                <w:lang w:eastAsia="zh-CN"/>
              </w:rPr>
              <w:t>m³</w:t>
            </w:r>
          </w:p>
        </w:tc>
        <w:tc>
          <w:tcPr>
            <w:tcW w:w="343" w:type="pct"/>
            <w:tcBorders>
              <w:tl2br w:val="nil"/>
              <w:tr2bl w:val="nil"/>
            </w:tcBorders>
            <w:noWrap w:val="0"/>
            <w:vAlign w:val="center"/>
          </w:tcPr>
          <w:p>
            <w:pPr>
              <w:pStyle w:val="563"/>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 w:cs="Times New Roman"/>
                <w:sz w:val="20"/>
                <w:szCs w:val="20"/>
                <w:highlight w:val="none"/>
                <w:lang w:val="en-US" w:eastAsia="zh-CN"/>
              </w:rPr>
            </w:pPr>
            <w:r>
              <w:rPr>
                <w:rFonts w:hint="eastAsia" w:eastAsia="仿宋" w:cs="Times New Roman"/>
                <w:sz w:val="20"/>
                <w:szCs w:val="20"/>
                <w:highlight w:val="none"/>
                <w:lang w:val="en-US" w:eastAsia="zh-CN"/>
              </w:rPr>
              <w:t>5052.5</w:t>
            </w:r>
          </w:p>
        </w:tc>
        <w:tc>
          <w:tcPr>
            <w:tcW w:w="290" w:type="pct"/>
            <w:tcBorders>
              <w:tl2br w:val="nil"/>
              <w:tr2bl w:val="nil"/>
            </w:tcBorders>
            <w:noWrap w:val="0"/>
            <w:vAlign w:val="center"/>
          </w:tcPr>
          <w:p>
            <w:pPr>
              <w:pStyle w:val="563"/>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 w:cs="Times New Roman"/>
                <w:kern w:val="2"/>
                <w:sz w:val="20"/>
                <w:szCs w:val="20"/>
                <w:highlight w:val="none"/>
                <w:lang w:val="en-US" w:eastAsia="zh-CN"/>
              </w:rPr>
            </w:pPr>
            <w:r>
              <w:rPr>
                <w:rFonts w:hint="eastAsia" w:eastAsia="仿宋" w:cs="Times New Roman"/>
                <w:kern w:val="2"/>
                <w:sz w:val="20"/>
                <w:szCs w:val="20"/>
                <w:highlight w:val="none"/>
                <w:lang w:val="en-US" w:eastAsia="zh-CN"/>
              </w:rPr>
              <w:t>3460.8</w:t>
            </w:r>
          </w:p>
        </w:tc>
        <w:tc>
          <w:tcPr>
            <w:tcW w:w="295" w:type="pct"/>
            <w:tcBorders>
              <w:tl2br w:val="nil"/>
              <w:tr2bl w:val="nil"/>
            </w:tcBorders>
            <w:noWrap w:val="0"/>
            <w:vAlign w:val="center"/>
          </w:tcPr>
          <w:p>
            <w:pPr>
              <w:pStyle w:val="563"/>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 w:cs="Times New Roman"/>
                <w:kern w:val="2"/>
                <w:sz w:val="20"/>
                <w:szCs w:val="20"/>
                <w:highlight w:val="none"/>
                <w:lang w:val="en-US" w:eastAsia="zh-CN"/>
              </w:rPr>
            </w:pPr>
            <w:r>
              <w:rPr>
                <w:rFonts w:hint="eastAsia" w:eastAsia="仿宋" w:cs="Times New Roman"/>
                <w:kern w:val="2"/>
                <w:sz w:val="20"/>
                <w:szCs w:val="20"/>
                <w:highlight w:val="none"/>
                <w:lang w:val="en-US" w:eastAsia="zh-CN"/>
              </w:rPr>
              <w:t>100.8</w:t>
            </w:r>
          </w:p>
        </w:tc>
        <w:tc>
          <w:tcPr>
            <w:tcW w:w="306" w:type="pct"/>
            <w:tcBorders>
              <w:tl2br w:val="nil"/>
              <w:tr2bl w:val="nil"/>
            </w:tcBorders>
            <w:noWrap w:val="0"/>
            <w:vAlign w:val="center"/>
          </w:tcPr>
          <w:p>
            <w:pPr>
              <w:pStyle w:val="563"/>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 w:cs="Times New Roman"/>
                <w:kern w:val="2"/>
                <w:sz w:val="20"/>
                <w:szCs w:val="20"/>
                <w:highlight w:val="none"/>
                <w:lang w:val="en-US" w:eastAsia="zh-CN"/>
              </w:rPr>
            </w:pPr>
          </w:p>
        </w:tc>
        <w:tc>
          <w:tcPr>
            <w:tcW w:w="316" w:type="pct"/>
            <w:tcBorders>
              <w:tl2br w:val="nil"/>
              <w:tr2bl w:val="nil"/>
            </w:tcBorders>
            <w:noWrap w:val="0"/>
            <w:vAlign w:val="center"/>
          </w:tcPr>
          <w:p>
            <w:pPr>
              <w:pStyle w:val="563"/>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 w:cs="Times New Roman"/>
                <w:kern w:val="2"/>
                <w:sz w:val="20"/>
                <w:szCs w:val="20"/>
                <w:highlight w:val="none"/>
                <w:lang w:val="en-US" w:eastAsia="zh-CN"/>
              </w:rPr>
            </w:pPr>
            <w:r>
              <w:rPr>
                <w:rFonts w:hint="eastAsia" w:eastAsia="仿宋" w:cs="Times New Roman"/>
                <w:kern w:val="2"/>
                <w:sz w:val="20"/>
                <w:szCs w:val="20"/>
                <w:highlight w:val="none"/>
                <w:lang w:val="en-US" w:eastAsia="zh-CN"/>
              </w:rPr>
              <w:t>138.43</w:t>
            </w:r>
          </w:p>
        </w:tc>
        <w:tc>
          <w:tcPr>
            <w:tcW w:w="311" w:type="pct"/>
            <w:tcBorders>
              <w:tl2br w:val="nil"/>
              <w:tr2bl w:val="nil"/>
            </w:tcBorders>
            <w:noWrap w:val="0"/>
            <w:vAlign w:val="center"/>
          </w:tcPr>
          <w:p>
            <w:pPr>
              <w:pStyle w:val="563"/>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 w:cs="Times New Roman"/>
                <w:kern w:val="2"/>
                <w:sz w:val="20"/>
                <w:szCs w:val="20"/>
                <w:highlight w:val="none"/>
                <w:lang w:val="en-US" w:eastAsia="zh-CN"/>
              </w:rPr>
            </w:pPr>
            <w:r>
              <w:rPr>
                <w:rFonts w:hint="eastAsia" w:eastAsia="仿宋" w:cs="Times New Roman"/>
                <w:kern w:val="2"/>
                <w:sz w:val="20"/>
                <w:szCs w:val="20"/>
                <w:highlight w:val="none"/>
                <w:lang w:val="en-US" w:eastAsia="zh-CN"/>
              </w:rPr>
              <w:t>173.04</w:t>
            </w:r>
          </w:p>
        </w:tc>
        <w:tc>
          <w:tcPr>
            <w:tcW w:w="317" w:type="pct"/>
            <w:tcBorders>
              <w:tl2br w:val="nil"/>
              <w:tr2bl w:val="nil"/>
            </w:tcBorders>
            <w:noWrap w:val="0"/>
            <w:vAlign w:val="center"/>
          </w:tcPr>
          <w:p>
            <w:pPr>
              <w:pStyle w:val="563"/>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 w:cs="Times New Roman"/>
                <w:kern w:val="2"/>
                <w:sz w:val="20"/>
                <w:szCs w:val="20"/>
                <w:highlight w:val="none"/>
                <w:lang w:val="en-US" w:eastAsia="zh-CN"/>
              </w:rPr>
            </w:pPr>
            <w:r>
              <w:rPr>
                <w:rFonts w:hint="eastAsia" w:eastAsia="仿宋" w:cs="Times New Roman"/>
                <w:kern w:val="2"/>
                <w:sz w:val="20"/>
                <w:szCs w:val="20"/>
                <w:highlight w:val="none"/>
                <w:lang w:val="en-US" w:eastAsia="zh-CN"/>
              </w:rPr>
              <w:t>165.98</w:t>
            </w:r>
          </w:p>
        </w:tc>
        <w:tc>
          <w:tcPr>
            <w:tcW w:w="311" w:type="pct"/>
            <w:tcBorders>
              <w:tl2br w:val="nil"/>
              <w:tr2bl w:val="nil"/>
            </w:tcBorders>
            <w:noWrap w:val="0"/>
            <w:vAlign w:val="center"/>
          </w:tcPr>
          <w:p>
            <w:pPr>
              <w:pStyle w:val="563"/>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 w:cs="Times New Roman"/>
                <w:kern w:val="2"/>
                <w:sz w:val="20"/>
                <w:szCs w:val="20"/>
                <w:highlight w:val="none"/>
                <w:lang w:val="en-US" w:eastAsia="zh-CN"/>
              </w:rPr>
            </w:pPr>
            <w:r>
              <w:rPr>
                <w:rFonts w:hint="eastAsia" w:eastAsia="仿宋" w:cs="Times New Roman"/>
                <w:kern w:val="2"/>
                <w:sz w:val="20"/>
                <w:szCs w:val="20"/>
                <w:highlight w:val="none"/>
                <w:lang w:val="en-US" w:eastAsia="zh-CN"/>
              </w:rPr>
              <w:t>275.68</w:t>
            </w:r>
          </w:p>
        </w:tc>
        <w:tc>
          <w:tcPr>
            <w:tcW w:w="285" w:type="pct"/>
            <w:tcBorders>
              <w:tl2br w:val="nil"/>
              <w:tr2bl w:val="nil"/>
            </w:tcBorders>
            <w:noWrap w:val="0"/>
            <w:vAlign w:val="center"/>
          </w:tcPr>
          <w:p>
            <w:pPr>
              <w:pStyle w:val="563"/>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 w:cs="Times New Roman"/>
                <w:kern w:val="2"/>
                <w:sz w:val="20"/>
                <w:szCs w:val="20"/>
                <w:highlight w:val="none"/>
                <w:lang w:val="en-US" w:eastAsia="zh-CN"/>
              </w:rPr>
            </w:pPr>
          </w:p>
        </w:tc>
        <w:tc>
          <w:tcPr>
            <w:tcW w:w="375" w:type="pct"/>
            <w:tcBorders>
              <w:tl2br w:val="nil"/>
              <w:tr2bl w:val="nil"/>
            </w:tcBorders>
            <w:noWrap w:val="0"/>
            <w:vAlign w:val="center"/>
          </w:tcPr>
          <w:p>
            <w:pPr>
              <w:pStyle w:val="563"/>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 w:cs="Times New Roman"/>
                <w:kern w:val="2"/>
                <w:sz w:val="20"/>
                <w:szCs w:val="20"/>
                <w:highlight w:val="none"/>
                <w:lang w:val="en-US" w:eastAsia="zh-CN"/>
              </w:rPr>
            </w:pPr>
            <w:r>
              <w:rPr>
                <w:rFonts w:hint="eastAsia" w:eastAsia="仿宋" w:cs="Times New Roman"/>
                <w:kern w:val="2"/>
                <w:sz w:val="20"/>
                <w:szCs w:val="20"/>
                <w:highlight w:val="none"/>
                <w:lang w:val="en-US" w:eastAsia="zh-CN"/>
              </w:rPr>
              <w:t>379.25</w:t>
            </w:r>
          </w:p>
        </w:tc>
        <w:tc>
          <w:tcPr>
            <w:tcW w:w="390" w:type="pct"/>
            <w:tcBorders>
              <w:tl2br w:val="nil"/>
              <w:tr2bl w:val="nil"/>
            </w:tcBorders>
            <w:noWrap w:val="0"/>
            <w:vAlign w:val="center"/>
          </w:tcPr>
          <w:p>
            <w:pPr>
              <w:pStyle w:val="563"/>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 w:cs="Times New Roman"/>
                <w:kern w:val="2"/>
                <w:sz w:val="20"/>
                <w:szCs w:val="20"/>
                <w:highlight w:val="none"/>
                <w:lang w:val="en-US" w:eastAsia="zh-CN"/>
              </w:rPr>
            </w:pPr>
            <w:r>
              <w:rPr>
                <w:rFonts w:hint="eastAsia" w:eastAsia="仿宋" w:cs="Times New Roman"/>
                <w:kern w:val="2"/>
                <w:sz w:val="20"/>
                <w:szCs w:val="20"/>
                <w:highlight w:val="none"/>
                <w:lang w:val="en-US" w:eastAsia="zh-CN"/>
              </w:rPr>
              <w:t>459.32</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43"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20"/>
                <w:szCs w:val="20"/>
                <w:highlight w:val="none"/>
                <w:lang w:val="en-US" w:eastAsia="zh-CN" w:bidi="ar-SA"/>
              </w:rPr>
            </w:pPr>
            <w:r>
              <w:rPr>
                <w:rFonts w:hint="default" w:ascii="Times New Roman" w:hAnsi="Times New Roman" w:eastAsia="仿宋" w:cs="Times New Roman"/>
                <w:kern w:val="0"/>
                <w:sz w:val="20"/>
                <w:szCs w:val="20"/>
                <w:highlight w:val="none"/>
                <w:lang w:val="en-US" w:eastAsia="zh-CN"/>
              </w:rPr>
              <w:t>4</w:t>
            </w:r>
          </w:p>
        </w:tc>
        <w:tc>
          <w:tcPr>
            <w:tcW w:w="360"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20"/>
                <w:szCs w:val="20"/>
                <w:highlight w:val="none"/>
              </w:rPr>
            </w:pPr>
          </w:p>
        </w:tc>
        <w:tc>
          <w:tcPr>
            <w:tcW w:w="588"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20"/>
                <w:szCs w:val="20"/>
                <w:highlight w:val="none"/>
                <w:lang w:val="en-US" w:eastAsia="zh-CN" w:bidi="ar-SA"/>
              </w:rPr>
            </w:pPr>
            <w:r>
              <w:rPr>
                <w:rFonts w:hint="default" w:ascii="Times New Roman" w:hAnsi="Times New Roman" w:eastAsia="仿宋" w:cs="Times New Roman"/>
                <w:kern w:val="0"/>
                <w:sz w:val="20"/>
                <w:szCs w:val="20"/>
                <w:highlight w:val="none"/>
              </w:rPr>
              <w:t>绿化用土回覆</w:t>
            </w:r>
          </w:p>
        </w:tc>
        <w:tc>
          <w:tcPr>
            <w:tcW w:w="266" w:type="pct"/>
            <w:tcBorders>
              <w:tl2br w:val="nil"/>
              <w:tr2bl w:val="nil"/>
            </w:tcBorders>
            <w:noWrap w:val="0"/>
            <w:vAlign w:val="center"/>
          </w:tcPr>
          <w:p>
            <w:pPr>
              <w:pStyle w:val="563"/>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 w:cs="Times New Roman"/>
                <w:sz w:val="20"/>
                <w:szCs w:val="20"/>
                <w:highlight w:val="none"/>
                <w:lang w:val="en-US" w:eastAsia="zh-CN" w:bidi="ar-SA"/>
              </w:rPr>
            </w:pPr>
            <w:r>
              <w:rPr>
                <w:rFonts w:hint="default" w:ascii="Times New Roman" w:hAnsi="Times New Roman" w:eastAsia="仿宋" w:cs="Times New Roman"/>
                <w:sz w:val="20"/>
                <w:szCs w:val="20"/>
                <w:highlight w:val="none"/>
                <w:lang w:eastAsia="zh-CN"/>
              </w:rPr>
              <w:t>m³</w:t>
            </w:r>
          </w:p>
        </w:tc>
        <w:tc>
          <w:tcPr>
            <w:tcW w:w="343" w:type="pct"/>
            <w:tcBorders>
              <w:tl2br w:val="nil"/>
              <w:tr2bl w:val="nil"/>
            </w:tcBorders>
            <w:noWrap w:val="0"/>
            <w:vAlign w:val="center"/>
          </w:tcPr>
          <w:p>
            <w:pPr>
              <w:pStyle w:val="563"/>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 w:cs="Times New Roman"/>
                <w:sz w:val="20"/>
                <w:szCs w:val="20"/>
                <w:highlight w:val="none"/>
                <w:lang w:val="en-US" w:eastAsia="zh-CN" w:bidi="ar-SA"/>
              </w:rPr>
            </w:pPr>
            <w:r>
              <w:rPr>
                <w:rFonts w:hint="eastAsia" w:eastAsia="仿宋" w:cs="Times New Roman"/>
                <w:kern w:val="2"/>
                <w:sz w:val="20"/>
                <w:szCs w:val="20"/>
                <w:highlight w:val="none"/>
                <w:lang w:val="en-US" w:eastAsia="zh-CN"/>
              </w:rPr>
              <w:t>10</w:t>
            </w:r>
          </w:p>
        </w:tc>
        <w:tc>
          <w:tcPr>
            <w:tcW w:w="3199" w:type="pct"/>
            <w:gridSpan w:val="10"/>
            <w:vMerge w:val="restart"/>
            <w:tcBorders>
              <w:tl2br w:val="nil"/>
              <w:tr2bl w:val="nil"/>
            </w:tcBorders>
            <w:noWrap w:val="0"/>
            <w:vAlign w:val="center"/>
          </w:tcPr>
          <w:p>
            <w:pPr>
              <w:pStyle w:val="563"/>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 w:cs="Times New Roman"/>
                <w:kern w:val="0"/>
                <w:sz w:val="20"/>
                <w:szCs w:val="20"/>
                <w:highlight w:val="none"/>
              </w:rPr>
            </w:pPr>
            <w:r>
              <w:rPr>
                <w:rFonts w:hint="default" w:ascii="Times New Roman" w:hAnsi="Times New Roman" w:eastAsia="仿宋" w:cs="Times New Roman"/>
                <w:kern w:val="0"/>
                <w:sz w:val="20"/>
                <w:szCs w:val="20"/>
                <w:highlight w:val="none"/>
              </w:rPr>
              <w:t>主体已列</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43"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20"/>
                <w:szCs w:val="20"/>
                <w:highlight w:val="none"/>
                <w:lang w:val="en-US" w:eastAsia="zh-CN" w:bidi="ar-SA"/>
              </w:rPr>
            </w:pPr>
            <w:r>
              <w:rPr>
                <w:rFonts w:hint="default" w:ascii="Times New Roman" w:hAnsi="Times New Roman" w:eastAsia="仿宋" w:cs="Times New Roman"/>
                <w:kern w:val="0"/>
                <w:sz w:val="20"/>
                <w:szCs w:val="20"/>
                <w:highlight w:val="none"/>
                <w:lang w:val="en-US" w:eastAsia="zh-CN"/>
              </w:rPr>
              <w:t>5</w:t>
            </w:r>
          </w:p>
        </w:tc>
        <w:tc>
          <w:tcPr>
            <w:tcW w:w="360"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sz w:val="20"/>
                <w:szCs w:val="20"/>
                <w:highlight w:val="none"/>
              </w:rPr>
            </w:pPr>
          </w:p>
        </w:tc>
        <w:tc>
          <w:tcPr>
            <w:tcW w:w="588"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sz w:val="20"/>
                <w:szCs w:val="20"/>
                <w:highlight w:val="none"/>
              </w:rPr>
            </w:pPr>
            <w:r>
              <w:rPr>
                <w:rFonts w:hint="default" w:ascii="Times New Roman" w:hAnsi="Times New Roman" w:eastAsia="仿宋" w:cs="Times New Roman"/>
                <w:sz w:val="20"/>
                <w:szCs w:val="20"/>
                <w:highlight w:val="none"/>
              </w:rPr>
              <w:t>雨水管线</w:t>
            </w:r>
          </w:p>
        </w:tc>
        <w:tc>
          <w:tcPr>
            <w:tcW w:w="266"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sz w:val="20"/>
                <w:szCs w:val="20"/>
                <w:highlight w:val="none"/>
              </w:rPr>
            </w:pPr>
            <w:r>
              <w:rPr>
                <w:rFonts w:hint="default" w:ascii="Times New Roman" w:hAnsi="Times New Roman" w:eastAsia="仿宋" w:cs="Times New Roman"/>
                <w:sz w:val="20"/>
                <w:szCs w:val="20"/>
                <w:highlight w:val="none"/>
              </w:rPr>
              <w:t>m</w:t>
            </w:r>
          </w:p>
        </w:tc>
        <w:tc>
          <w:tcPr>
            <w:tcW w:w="343"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仿宋" w:cs="Times New Roman"/>
                <w:sz w:val="20"/>
                <w:szCs w:val="20"/>
                <w:highlight w:val="none"/>
                <w:lang w:val="en-US" w:eastAsia="zh-CN"/>
              </w:rPr>
            </w:pPr>
            <w:r>
              <w:rPr>
                <w:rFonts w:hint="eastAsia" w:eastAsia="仿宋" w:cs="Times New Roman"/>
                <w:sz w:val="20"/>
                <w:szCs w:val="20"/>
                <w:highlight w:val="none"/>
                <w:lang w:val="en-US" w:eastAsia="zh-CN"/>
              </w:rPr>
              <w:t>1000</w:t>
            </w:r>
          </w:p>
        </w:tc>
        <w:tc>
          <w:tcPr>
            <w:tcW w:w="3199" w:type="pct"/>
            <w:gridSpan w:val="10"/>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20"/>
                <w:szCs w:val="20"/>
                <w:highlight w:val="none"/>
              </w:rPr>
            </w:pP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43"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20"/>
                <w:szCs w:val="20"/>
                <w:highlight w:val="none"/>
                <w:lang w:val="en-US" w:eastAsia="zh-CN" w:bidi="ar-SA"/>
              </w:rPr>
            </w:pPr>
            <w:r>
              <w:rPr>
                <w:rFonts w:hint="eastAsia" w:eastAsia="仿宋" w:cs="Times New Roman"/>
                <w:kern w:val="0"/>
                <w:sz w:val="20"/>
                <w:szCs w:val="20"/>
                <w:highlight w:val="none"/>
                <w:lang w:val="en-US" w:eastAsia="zh-CN"/>
              </w:rPr>
              <w:t>6</w:t>
            </w:r>
          </w:p>
        </w:tc>
        <w:tc>
          <w:tcPr>
            <w:tcW w:w="360"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eastAsia" w:eastAsia="仿宋" w:cs="Times New Roman"/>
                <w:sz w:val="20"/>
                <w:szCs w:val="20"/>
                <w:highlight w:val="none"/>
                <w:lang w:eastAsia="zh-CN"/>
              </w:rPr>
            </w:pPr>
          </w:p>
        </w:tc>
        <w:tc>
          <w:tcPr>
            <w:tcW w:w="588"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sz w:val="20"/>
                <w:szCs w:val="20"/>
                <w:highlight w:val="none"/>
                <w:lang w:eastAsia="zh-CN"/>
              </w:rPr>
            </w:pPr>
            <w:r>
              <w:rPr>
                <w:rFonts w:hint="eastAsia" w:eastAsia="仿宋" w:cs="Times New Roman"/>
                <w:sz w:val="20"/>
                <w:szCs w:val="20"/>
                <w:highlight w:val="none"/>
                <w:lang w:eastAsia="zh-CN"/>
              </w:rPr>
              <w:t>雨水口</w:t>
            </w:r>
          </w:p>
        </w:tc>
        <w:tc>
          <w:tcPr>
            <w:tcW w:w="266"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sz w:val="20"/>
                <w:szCs w:val="20"/>
                <w:highlight w:val="none"/>
              </w:rPr>
            </w:pPr>
            <w:r>
              <w:rPr>
                <w:rFonts w:hint="default" w:ascii="Times New Roman" w:hAnsi="Times New Roman" w:eastAsia="仿宋" w:cs="Times New Roman"/>
                <w:sz w:val="20"/>
                <w:szCs w:val="20"/>
                <w:highlight w:val="none"/>
              </w:rPr>
              <w:t>个</w:t>
            </w:r>
          </w:p>
        </w:tc>
        <w:tc>
          <w:tcPr>
            <w:tcW w:w="343"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仿宋" w:cs="Times New Roman"/>
                <w:sz w:val="20"/>
                <w:szCs w:val="20"/>
                <w:highlight w:val="none"/>
                <w:lang w:val="en-US" w:eastAsia="zh-CN"/>
              </w:rPr>
            </w:pPr>
            <w:r>
              <w:rPr>
                <w:rFonts w:hint="eastAsia" w:eastAsia="仿宋" w:cs="Times New Roman"/>
                <w:sz w:val="20"/>
                <w:szCs w:val="20"/>
                <w:highlight w:val="none"/>
                <w:lang w:val="en-US" w:eastAsia="zh-CN"/>
              </w:rPr>
              <w:t>500</w:t>
            </w:r>
          </w:p>
        </w:tc>
        <w:tc>
          <w:tcPr>
            <w:tcW w:w="3199" w:type="pct"/>
            <w:gridSpan w:val="10"/>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20"/>
                <w:szCs w:val="20"/>
                <w:highlight w:val="none"/>
              </w:rPr>
            </w:pP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43"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20"/>
                <w:szCs w:val="20"/>
                <w:highlight w:val="none"/>
                <w:lang w:val="en-US" w:eastAsia="zh-CN" w:bidi="ar-SA"/>
              </w:rPr>
            </w:pPr>
            <w:r>
              <w:rPr>
                <w:rFonts w:hint="eastAsia" w:eastAsia="仿宋" w:cs="Times New Roman"/>
                <w:kern w:val="0"/>
                <w:sz w:val="20"/>
                <w:szCs w:val="20"/>
                <w:highlight w:val="none"/>
                <w:lang w:val="en-US" w:eastAsia="zh-CN" w:bidi="ar-SA"/>
              </w:rPr>
              <w:t>7</w:t>
            </w:r>
          </w:p>
        </w:tc>
        <w:tc>
          <w:tcPr>
            <w:tcW w:w="360"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20"/>
                <w:szCs w:val="20"/>
                <w:highlight w:val="none"/>
              </w:rPr>
            </w:pPr>
          </w:p>
        </w:tc>
        <w:tc>
          <w:tcPr>
            <w:tcW w:w="588"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20"/>
                <w:szCs w:val="20"/>
                <w:highlight w:val="none"/>
              </w:rPr>
            </w:pPr>
            <w:r>
              <w:rPr>
                <w:rFonts w:hint="default" w:ascii="Times New Roman" w:hAnsi="Times New Roman" w:eastAsia="仿宋" w:cs="Times New Roman"/>
                <w:kern w:val="0"/>
                <w:sz w:val="20"/>
                <w:szCs w:val="20"/>
                <w:highlight w:val="none"/>
              </w:rPr>
              <w:t>绿化（含抚育费）</w:t>
            </w:r>
          </w:p>
        </w:tc>
        <w:tc>
          <w:tcPr>
            <w:tcW w:w="266"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20"/>
                <w:szCs w:val="20"/>
                <w:highlight w:val="none"/>
                <w:lang w:eastAsia="zh-CN"/>
              </w:rPr>
            </w:pPr>
            <w:r>
              <w:rPr>
                <w:rFonts w:hint="default" w:ascii="Times New Roman" w:hAnsi="Times New Roman" w:eastAsia="仿宋" w:cs="Times New Roman"/>
                <w:kern w:val="0"/>
                <w:sz w:val="20"/>
                <w:szCs w:val="20"/>
                <w:highlight w:val="none"/>
                <w:lang w:eastAsia="zh-CN"/>
              </w:rPr>
              <w:t>m²</w:t>
            </w:r>
          </w:p>
        </w:tc>
        <w:tc>
          <w:tcPr>
            <w:tcW w:w="343"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仿宋" w:cs="Times New Roman"/>
                <w:sz w:val="20"/>
                <w:szCs w:val="20"/>
                <w:highlight w:val="none"/>
                <w:lang w:val="en-US" w:eastAsia="zh-CN"/>
              </w:rPr>
            </w:pPr>
            <w:r>
              <w:rPr>
                <w:rFonts w:hint="default" w:ascii="Times New Roman" w:hAnsi="Times New Roman" w:eastAsia="仿宋" w:cs="Times New Roman"/>
                <w:sz w:val="20"/>
                <w:szCs w:val="20"/>
                <w:highlight w:val="none"/>
                <w:lang w:val="en-US" w:eastAsia="zh-CN"/>
              </w:rPr>
              <w:t>120</w:t>
            </w:r>
          </w:p>
        </w:tc>
        <w:tc>
          <w:tcPr>
            <w:tcW w:w="3199" w:type="pct"/>
            <w:gridSpan w:val="10"/>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20"/>
                <w:szCs w:val="20"/>
                <w:highlight w:val="none"/>
              </w:rPr>
            </w:pP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43"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20"/>
                <w:szCs w:val="20"/>
                <w:highlight w:val="none"/>
                <w:lang w:val="en-US" w:eastAsia="zh-CN"/>
              </w:rPr>
            </w:pPr>
            <w:r>
              <w:rPr>
                <w:rFonts w:hint="eastAsia" w:eastAsia="仿宋" w:cs="Times New Roman"/>
                <w:kern w:val="0"/>
                <w:sz w:val="20"/>
                <w:szCs w:val="20"/>
                <w:highlight w:val="none"/>
                <w:lang w:val="en-US" w:eastAsia="zh-CN"/>
              </w:rPr>
              <w:t>8</w:t>
            </w:r>
          </w:p>
        </w:tc>
        <w:tc>
          <w:tcPr>
            <w:tcW w:w="360"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20"/>
                <w:szCs w:val="20"/>
                <w:highlight w:val="none"/>
                <w:lang w:val="en-US" w:eastAsia="zh-CN"/>
              </w:rPr>
            </w:pPr>
          </w:p>
        </w:tc>
        <w:tc>
          <w:tcPr>
            <w:tcW w:w="588"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20"/>
                <w:szCs w:val="20"/>
                <w:highlight w:val="none"/>
                <w:lang w:val="en-US" w:eastAsia="zh-CN"/>
              </w:rPr>
            </w:pPr>
            <w:r>
              <w:rPr>
                <w:rFonts w:hint="default" w:ascii="Times New Roman" w:hAnsi="Times New Roman" w:eastAsia="仿宋" w:cs="Times New Roman"/>
                <w:kern w:val="0"/>
                <w:sz w:val="20"/>
                <w:szCs w:val="20"/>
                <w:highlight w:val="none"/>
                <w:lang w:val="en-US" w:eastAsia="zh-CN"/>
              </w:rPr>
              <w:t>密目网苫盖</w:t>
            </w:r>
          </w:p>
        </w:tc>
        <w:tc>
          <w:tcPr>
            <w:tcW w:w="266"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20"/>
                <w:szCs w:val="20"/>
                <w:highlight w:val="none"/>
              </w:rPr>
            </w:pPr>
            <w:r>
              <w:rPr>
                <w:rFonts w:hint="default" w:ascii="Times New Roman" w:hAnsi="Times New Roman" w:eastAsia="仿宋" w:cs="Times New Roman"/>
                <w:sz w:val="20"/>
                <w:szCs w:val="20"/>
                <w:highlight w:val="none"/>
                <w:lang w:eastAsia="zh-CN"/>
              </w:rPr>
              <w:t>m³</w:t>
            </w:r>
          </w:p>
        </w:tc>
        <w:tc>
          <w:tcPr>
            <w:tcW w:w="343"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仿宋" w:cs="Times New Roman"/>
                <w:sz w:val="20"/>
                <w:szCs w:val="20"/>
                <w:highlight w:val="none"/>
                <w:lang w:val="en-US" w:eastAsia="zh-CN"/>
              </w:rPr>
            </w:pPr>
            <w:r>
              <w:rPr>
                <w:rFonts w:hint="eastAsia" w:eastAsia="仿宋" w:cs="Times New Roman"/>
                <w:sz w:val="20"/>
                <w:szCs w:val="20"/>
                <w:highlight w:val="none"/>
                <w:lang w:val="en-US" w:eastAsia="zh-CN"/>
              </w:rPr>
              <w:t>5</w:t>
            </w:r>
          </w:p>
        </w:tc>
        <w:tc>
          <w:tcPr>
            <w:tcW w:w="3199" w:type="pct"/>
            <w:gridSpan w:val="10"/>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20"/>
                <w:szCs w:val="20"/>
                <w:highlight w:val="none"/>
              </w:rPr>
            </w:pPr>
          </w:p>
        </w:tc>
      </w:tr>
    </w:tbl>
    <w:p>
      <w:pPr>
        <w:pageBreakBefore w:val="0"/>
        <w:tabs>
          <w:tab w:val="left" w:pos="4650"/>
        </w:tabs>
        <w:kinsoku/>
        <w:wordWrap/>
        <w:bidi w:val="0"/>
        <w:rPr>
          <w:rFonts w:hint="default" w:ascii="Times New Roman" w:hAnsi="Times New Roman" w:eastAsia="仿宋_GB2312" w:cs="Times New Roman"/>
          <w:b/>
          <w:sz w:val="28"/>
          <w:szCs w:val="28"/>
          <w:highlight w:val="none"/>
        </w:rPr>
      </w:pPr>
    </w:p>
    <w:p>
      <w:pPr>
        <w:pStyle w:val="86"/>
        <w:pageBreakBefore w:val="0"/>
        <w:kinsoku/>
        <w:wordWrap/>
        <w:bidi w:val="0"/>
        <w:ind w:left="0" w:leftChars="0" w:firstLine="0" w:firstLineChars="0"/>
        <w:rPr>
          <w:rFonts w:hint="default" w:ascii="Times New Roman" w:hAnsi="Times New Roman" w:eastAsia="仿宋_GB2312" w:cs="Times New Roman"/>
          <w:b/>
          <w:sz w:val="28"/>
          <w:szCs w:val="28"/>
          <w:highlight w:val="none"/>
        </w:rPr>
      </w:pPr>
    </w:p>
    <w:p>
      <w:pPr>
        <w:pageBreakBefore w:val="0"/>
        <w:kinsoku/>
        <w:wordWrap/>
        <w:bidi w:val="0"/>
        <w:rPr>
          <w:rFonts w:hint="default" w:ascii="Times New Roman" w:hAnsi="Times New Roman" w:cs="Times New Roman"/>
        </w:rPr>
        <w:sectPr>
          <w:headerReference r:id="rId25" w:type="default"/>
          <w:pgSz w:w="16840" w:h="11907" w:orient="landscape"/>
          <w:pgMar w:top="1797" w:right="1418" w:bottom="1797" w:left="1418" w:header="851" w:footer="992" w:gutter="0"/>
          <w:pgBorders>
            <w:top w:val="none" w:sz="0" w:space="0"/>
            <w:left w:val="none" w:sz="0" w:space="0"/>
            <w:bottom w:val="none" w:sz="0" w:space="0"/>
            <w:right w:val="none" w:sz="0" w:space="0"/>
          </w:pgBorders>
          <w:pgNumType w:fmt="decimal"/>
          <w:cols w:space="720" w:num="1"/>
          <w:docGrid w:linePitch="312" w:charSpace="0"/>
        </w:sectPr>
      </w:pPr>
    </w:p>
    <w:p>
      <w:pPr>
        <w:pStyle w:val="5"/>
        <w:keepNext/>
        <w:keepLines/>
        <w:pageBreakBefore w:val="0"/>
        <w:widowControl w:val="0"/>
        <w:kinsoku/>
        <w:wordWrap/>
        <w:overflowPunct/>
        <w:topLinePunct w:val="0"/>
        <w:autoSpaceDE w:val="0"/>
        <w:autoSpaceDN w:val="0"/>
        <w:bidi w:val="0"/>
        <w:adjustRightInd/>
        <w:snapToGrid/>
        <w:ind w:left="431" w:hanging="431"/>
        <w:textAlignment w:val="bottom"/>
        <w:rPr>
          <w:rFonts w:hint="default" w:ascii="Times New Roman" w:hAnsi="Times New Roman" w:eastAsia="仿宋_GB2312" w:cs="Times New Roman"/>
          <w:b/>
          <w:bCs/>
        </w:rPr>
      </w:pPr>
      <w:bookmarkStart w:id="417" w:name="_Toc18099"/>
      <w:bookmarkStart w:id="418" w:name="_Toc4944"/>
      <w:bookmarkStart w:id="419" w:name="_Toc28357"/>
      <w:r>
        <w:rPr>
          <w:rFonts w:hint="default" w:ascii="Times New Roman" w:hAnsi="Times New Roman" w:eastAsia="仿宋_GB2312" w:cs="Times New Roman"/>
          <w:b/>
          <w:bCs/>
        </w:rPr>
        <w:t>7.2效益分析</w:t>
      </w:r>
      <w:bookmarkEnd w:id="417"/>
      <w:bookmarkEnd w:id="418"/>
      <w:bookmarkEnd w:id="419"/>
    </w:p>
    <w:p>
      <w:pPr>
        <w:pStyle w:val="53"/>
        <w:pageBreakBefore w:val="0"/>
        <w:widowControl w:val="0"/>
        <w:kinsoku/>
        <w:wordWrap/>
        <w:bidi w:val="0"/>
        <w:spacing w:line="360" w:lineRule="auto"/>
        <w:ind w:firstLine="480"/>
        <w:jc w:val="both"/>
        <w:rPr>
          <w:rFonts w:hint="default" w:ascii="Times New Roman" w:hAnsi="Times New Roman" w:eastAsia="仿宋_GB2312" w:cs="Times New Roman"/>
          <w:snapToGrid w:val="0"/>
          <w:kern w:val="0"/>
          <w:sz w:val="24"/>
          <w:szCs w:val="24"/>
          <w:highlight w:val="none"/>
        </w:rPr>
      </w:pPr>
      <w:r>
        <w:rPr>
          <w:rFonts w:hint="default" w:ascii="Times New Roman" w:hAnsi="Times New Roman" w:eastAsia="仿宋_GB2312" w:cs="Times New Roman"/>
          <w:snapToGrid w:val="0"/>
          <w:kern w:val="0"/>
          <w:sz w:val="24"/>
          <w:szCs w:val="24"/>
          <w:highlight w:val="none"/>
        </w:rPr>
        <w:t>在工程建设实施的水土保持工程措施及植物措施的目的是控制工程建设造成的新增水土流失，防治扰动面的土壤大量流失，维护工程的安全运行，绿化美化环境，恢复改善工程占地区因占压、挖损、扰动破坏的土地及植被资源，其效益主要体现在生态效益、安全效益和社会效益上。</w:t>
      </w:r>
    </w:p>
    <w:p>
      <w:pPr>
        <w:pStyle w:val="53"/>
        <w:pageBreakBefore w:val="0"/>
        <w:widowControl w:val="0"/>
        <w:kinsoku/>
        <w:wordWrap/>
        <w:bidi w:val="0"/>
        <w:spacing w:line="360" w:lineRule="auto"/>
        <w:ind w:firstLine="480"/>
        <w:jc w:val="both"/>
        <w:rPr>
          <w:rFonts w:hint="default" w:ascii="Times New Roman" w:hAnsi="Times New Roman" w:eastAsia="仿宋_GB2312" w:cs="Times New Roman"/>
          <w:snapToGrid w:val="0"/>
          <w:kern w:val="0"/>
          <w:sz w:val="24"/>
          <w:szCs w:val="24"/>
          <w:highlight w:val="none"/>
        </w:rPr>
      </w:pPr>
      <w:r>
        <w:rPr>
          <w:rFonts w:hint="default" w:ascii="Times New Roman" w:hAnsi="Times New Roman" w:eastAsia="仿宋_GB2312" w:cs="Times New Roman"/>
          <w:sz w:val="24"/>
          <w:szCs w:val="24"/>
          <w:highlight w:val="none"/>
          <w:lang w:eastAsia="zh-CN"/>
        </w:rPr>
        <w:t>本期项目</w:t>
      </w:r>
      <w:r>
        <w:rPr>
          <w:rFonts w:hint="default" w:ascii="Times New Roman" w:hAnsi="Times New Roman" w:eastAsia="仿宋_GB2312" w:cs="Times New Roman"/>
          <w:sz w:val="24"/>
          <w:szCs w:val="24"/>
          <w:highlight w:val="none"/>
        </w:rPr>
        <w:t>水土保持方案对该项目建设、生产受扰动可能带来水土流失的区域规划了相应的水土流失防治措施。根据不同功能区的水土流失特点，采取了相应的工程、植物措施防治施工过程中的水土流失。</w:t>
      </w:r>
    </w:p>
    <w:p>
      <w:pPr>
        <w:pStyle w:val="6"/>
        <w:keepNext/>
        <w:keepLines/>
        <w:pageBreakBefore w:val="0"/>
        <w:widowControl w:val="0"/>
        <w:kinsoku/>
        <w:wordWrap/>
        <w:overflowPunct/>
        <w:topLinePunct w:val="0"/>
        <w:autoSpaceDE/>
        <w:autoSpaceDN/>
        <w:bidi w:val="0"/>
        <w:adjustRightInd/>
        <w:snapToGrid/>
        <w:ind w:left="0" w:firstLine="0"/>
        <w:textAlignment w:val="auto"/>
        <w:rPr>
          <w:rFonts w:hint="default" w:ascii="Times New Roman" w:hAnsi="Times New Roman" w:eastAsia="仿宋_GB2312" w:cs="Times New Roman"/>
          <w:b/>
          <w:bCs/>
          <w:lang w:val="en-US" w:eastAsia="zh-CN"/>
        </w:rPr>
      </w:pPr>
      <w:r>
        <w:rPr>
          <w:rFonts w:hint="default" w:ascii="Times New Roman" w:hAnsi="Times New Roman" w:eastAsia="仿宋_GB2312" w:cs="Times New Roman"/>
          <w:b/>
          <w:bCs/>
          <w:lang w:val="en-US" w:eastAsia="zh-CN"/>
        </w:rPr>
        <w:t>7.2.1工程防治指标统计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在对主体工程设计中具有水土保持功能的措施分析评价基础上，对产生水土流失的区域采取了工程、植物、临时等防护措施，按照方案设计的目标和要求，各项措施实施后，因工程建设带来的水土流失将得到有效控制。设计水平年的防治指标可能实现情况为：水土流失治理度为99%；土壤流失控制比为1.0；</w:t>
      </w:r>
      <w:r>
        <w:rPr>
          <w:rFonts w:hint="default" w:ascii="Times New Roman" w:hAnsi="Times New Roman" w:eastAsia="仿宋_GB2312" w:cs="Times New Roman"/>
          <w:color w:val="auto"/>
          <w:kern w:val="0"/>
          <w:sz w:val="24"/>
          <w:szCs w:val="20"/>
        </w:rPr>
        <w:t>渣土防护率9</w:t>
      </w:r>
      <w:r>
        <w:rPr>
          <w:rFonts w:hint="default" w:ascii="Times New Roman" w:hAnsi="Times New Roman" w:eastAsia="仿宋_GB2312" w:cs="Times New Roman"/>
          <w:color w:val="auto"/>
          <w:kern w:val="0"/>
          <w:sz w:val="24"/>
          <w:szCs w:val="20"/>
          <w:lang w:val="en-US" w:eastAsia="zh-CN"/>
        </w:rPr>
        <w:t>8</w:t>
      </w:r>
      <w:r>
        <w:rPr>
          <w:rFonts w:hint="eastAsia" w:eastAsia="仿宋_GB2312" w:cs="Times New Roman"/>
          <w:color w:val="auto"/>
          <w:kern w:val="0"/>
          <w:sz w:val="24"/>
          <w:szCs w:val="20"/>
          <w:lang w:val="en-US" w:eastAsia="zh-CN"/>
        </w:rPr>
        <w:t>.57</w:t>
      </w:r>
      <w:r>
        <w:rPr>
          <w:rFonts w:hint="default" w:ascii="Times New Roman" w:hAnsi="Times New Roman" w:eastAsia="仿宋_GB2312" w:cs="Times New Roman"/>
          <w:color w:val="auto"/>
          <w:kern w:val="0"/>
          <w:sz w:val="24"/>
          <w:szCs w:val="20"/>
        </w:rPr>
        <w:t>％，</w:t>
      </w:r>
      <w:r>
        <w:rPr>
          <w:rFonts w:hint="default" w:ascii="Times New Roman" w:hAnsi="Times New Roman" w:eastAsia="仿宋_GB2312" w:cs="Times New Roman"/>
          <w:sz w:val="24"/>
          <w:szCs w:val="24"/>
        </w:rPr>
        <w:t>林草植被恢复率为99%；林草覆盖率为</w:t>
      </w:r>
      <w:r>
        <w:rPr>
          <w:rFonts w:hint="default" w:ascii="Times New Roman" w:hAnsi="Times New Roman" w:eastAsia="仿宋_GB2312" w:cs="Times New Roman"/>
          <w:sz w:val="24"/>
          <w:szCs w:val="24"/>
          <w:lang w:val="en-US" w:eastAsia="zh-CN"/>
        </w:rPr>
        <w:t>19</w:t>
      </w:r>
      <w:r>
        <w:rPr>
          <w:rFonts w:hint="eastAsia" w:eastAsia="仿宋_GB2312" w:cs="Times New Roman"/>
          <w:sz w:val="24"/>
          <w:szCs w:val="24"/>
          <w:lang w:val="en-US" w:eastAsia="zh-CN"/>
        </w:rPr>
        <w:t>.77</w:t>
      </w:r>
      <w:r>
        <w:rPr>
          <w:rFonts w:hint="default" w:ascii="Times New Roman" w:hAnsi="Times New Roman" w:eastAsia="仿宋_GB2312" w:cs="Times New Roman"/>
          <w:sz w:val="24"/>
          <w:szCs w:val="24"/>
          <w:lang w:val="en-US" w:eastAsia="zh-CN"/>
        </w:rPr>
        <w:t>%</w:t>
      </w:r>
      <w:r>
        <w:rPr>
          <w:rFonts w:hint="default" w:ascii="Times New Roman" w:hAnsi="Times New Roman" w:eastAsia="仿宋_GB2312" w:cs="Times New Roman"/>
          <w:sz w:val="24"/>
          <w:szCs w:val="24"/>
        </w:rPr>
        <w:t>。</w:t>
      </w:r>
    </w:p>
    <w:p>
      <w:pPr>
        <w:keepNext w:val="0"/>
        <w:keepLines w:val="0"/>
        <w:pageBreakBefore w:val="0"/>
        <w:widowControl w:val="0"/>
        <w:kinsoku/>
        <w:wordWrap/>
        <w:overflowPunct/>
        <w:topLinePunct w:val="0"/>
        <w:autoSpaceDE/>
        <w:autoSpaceDN/>
        <w:bidi w:val="0"/>
        <w:adjustRightInd/>
        <w:snapToGrid w:val="0"/>
        <w:spacing w:line="240" w:lineRule="auto"/>
        <w:ind w:left="0"/>
        <w:jc w:val="center"/>
        <w:textAlignment w:val="auto"/>
        <w:rPr>
          <w:rFonts w:hint="default" w:ascii="Times New Roman" w:hAnsi="Times New Roman" w:eastAsia="微软雅黑" w:cs="Times New Roman"/>
          <w:b w:val="0"/>
          <w:bCs w:val="0"/>
          <w:spacing w:val="2"/>
          <w:sz w:val="21"/>
          <w:szCs w:val="21"/>
          <w:lang w:val="en-US" w:eastAsia="zh-CN"/>
        </w:rPr>
      </w:pPr>
      <w:r>
        <w:rPr>
          <w:rFonts w:hint="default" w:ascii="Times New Roman" w:hAnsi="Times New Roman" w:eastAsia="微软雅黑" w:cs="Times New Roman"/>
          <w:b w:val="0"/>
          <w:bCs w:val="0"/>
          <w:spacing w:val="2"/>
          <w:sz w:val="21"/>
          <w:szCs w:val="21"/>
        </w:rPr>
        <mc:AlternateContent>
          <mc:Choice Requires="wps">
            <w:drawing>
              <wp:anchor distT="0" distB="0" distL="114300" distR="114300" simplePos="0" relativeHeight="251679744" behindDoc="0" locked="0" layoutInCell="0" allowOverlap="1">
                <wp:simplePos x="0" y="0"/>
                <wp:positionH relativeFrom="page">
                  <wp:posOffset>1141095</wp:posOffset>
                </wp:positionH>
                <wp:positionV relativeFrom="page">
                  <wp:posOffset>751205</wp:posOffset>
                </wp:positionV>
                <wp:extent cx="5278755" cy="9525"/>
                <wp:effectExtent l="0" t="0" r="0" b="0"/>
                <wp:wrapNone/>
                <wp:docPr id="94" name="任意多边形 852"/>
                <wp:cNvGraphicFramePr/>
                <a:graphic xmlns:a="http://schemas.openxmlformats.org/drawingml/2006/main">
                  <a:graphicData uri="http://schemas.microsoft.com/office/word/2010/wordprocessingShape">
                    <wps:wsp>
                      <wps:cNvSpPr/>
                      <wps:spPr>
                        <a:xfrm>
                          <a:off x="0" y="0"/>
                          <a:ext cx="5278755" cy="9525"/>
                        </a:xfrm>
                        <a:custGeom>
                          <a:avLst/>
                          <a:gdLst/>
                          <a:ahLst/>
                          <a:cxnLst/>
                          <a:pathLst>
                            <a:path w="8312" h="15">
                              <a:moveTo>
                                <a:pt x="0" y="0"/>
                              </a:moveTo>
                              <a:lnTo>
                                <a:pt x="8312" y="0"/>
                              </a:lnTo>
                              <a:lnTo>
                                <a:pt x="8312" y="14"/>
                              </a:lnTo>
                              <a:lnTo>
                                <a:pt x="0" y="14"/>
                              </a:lnTo>
                              <a:lnTo>
                                <a:pt x="0" y="0"/>
                              </a:lnTo>
                              <a:close/>
                            </a:path>
                          </a:pathLst>
                        </a:custGeom>
                        <a:solidFill>
                          <a:srgbClr val="000000"/>
                        </a:solidFill>
                        <a:ln>
                          <a:noFill/>
                        </a:ln>
                      </wps:spPr>
                      <wps:bodyPr wrap="square" upright="1"/>
                    </wps:wsp>
                  </a:graphicData>
                </a:graphic>
              </wp:anchor>
            </w:drawing>
          </mc:Choice>
          <mc:Fallback>
            <w:pict>
              <v:shape id="任意多边形 852" o:spid="_x0000_s1026" o:spt="100" style="position:absolute;left:0pt;margin-left:89.85pt;margin-top:59.15pt;height:0.75pt;width:415.65pt;mso-position-horizontal-relative:page;mso-position-vertical-relative:page;z-index:251679744;mso-width-relative:page;mso-height-relative:page;" fillcolor="#000000" filled="t" stroked="f" coordsize="8312,15" o:allowincell="f" o:gfxdata="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MJSa&#10;m9oAAAAMAQAADwAAAAAAAAABACAAAAAiAAAAZHJzL2Rvd25yZXYueG1sUEsBAhQAFAAAAAgAh07i&#10;QH2JM2EgAgAAjAQAAA4AAAAAAAAAAQAgAAAAKQEAAGRycy9lMm9Eb2MueG1sUEsFBgAAAAAGAAYA&#10;WQEAALsFAAAAAA==&#10;" path="m0,0l8312,0,8312,14,0,14,0,0xe">
                <v:fill on="t" focussize="0,0"/>
                <v:stroke on="f"/>
                <v:imagedata o:title=""/>
                <o:lock v:ext="edit" aspectratio="f"/>
              </v:shape>
            </w:pict>
          </mc:Fallback>
        </mc:AlternateContent>
      </w:r>
      <w:r>
        <w:rPr>
          <w:rFonts w:hint="default" w:ascii="Times New Roman" w:hAnsi="Times New Roman" w:eastAsia="微软雅黑" w:cs="Times New Roman"/>
          <w:b w:val="0"/>
          <w:bCs w:val="0"/>
          <w:spacing w:val="2"/>
          <w:sz w:val="21"/>
          <w:szCs w:val="21"/>
        </w:rPr>
        <w:t>表7-1</w:t>
      </w:r>
      <w:r>
        <w:rPr>
          <w:rFonts w:hint="eastAsia" w:eastAsia="微软雅黑" w:cs="Times New Roman"/>
          <w:b w:val="0"/>
          <w:bCs w:val="0"/>
          <w:spacing w:val="2"/>
          <w:sz w:val="21"/>
          <w:szCs w:val="21"/>
          <w:lang w:val="en-US" w:eastAsia="zh-CN"/>
        </w:rPr>
        <w:t>1</w:t>
      </w:r>
      <w:r>
        <w:rPr>
          <w:rFonts w:hint="default" w:ascii="Times New Roman" w:hAnsi="Times New Roman" w:eastAsia="微软雅黑" w:cs="Times New Roman"/>
          <w:b w:val="0"/>
          <w:bCs w:val="0"/>
          <w:spacing w:val="2"/>
          <w:sz w:val="21"/>
          <w:szCs w:val="21"/>
          <w:lang w:val="en-US" w:eastAsia="zh-CN"/>
        </w:rPr>
        <w:t xml:space="preserve">  防治标准指标计算表</w:t>
      </w:r>
    </w:p>
    <w:tbl>
      <w:tblPr>
        <w:tblStyle w:val="88"/>
        <w:tblW w:w="4998" w:type="pct"/>
        <w:jc w:val="center"/>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858"/>
        <w:gridCol w:w="964"/>
        <w:gridCol w:w="2855"/>
        <w:gridCol w:w="1851"/>
        <w:gridCol w:w="1093"/>
      </w:tblGrid>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7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auto"/>
                <w:sz w:val="20"/>
                <w:szCs w:val="20"/>
                <w:u w:val="none"/>
              </w:rPr>
            </w:pPr>
            <w:r>
              <w:rPr>
                <w:rFonts w:hint="default" w:ascii="Times New Roman" w:hAnsi="Times New Roman" w:eastAsia="仿宋_GB2312" w:cs="Times New Roman"/>
                <w:i w:val="0"/>
                <w:iCs w:val="0"/>
                <w:color w:val="auto"/>
                <w:kern w:val="0"/>
                <w:sz w:val="20"/>
                <w:szCs w:val="20"/>
                <w:u w:val="none"/>
                <w:lang w:val="en-US" w:eastAsia="zh-CN" w:bidi="ar"/>
              </w:rPr>
              <w:t>防治目标</w:t>
            </w:r>
          </w:p>
        </w:tc>
        <w:tc>
          <w:tcPr>
            <w:tcW w:w="55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auto"/>
                <w:sz w:val="20"/>
                <w:szCs w:val="20"/>
                <w:u w:val="none"/>
              </w:rPr>
            </w:pPr>
            <w:r>
              <w:rPr>
                <w:rFonts w:hint="default" w:ascii="Times New Roman" w:hAnsi="Times New Roman" w:eastAsia="仿宋_GB2312" w:cs="Times New Roman"/>
                <w:i w:val="0"/>
                <w:iCs w:val="0"/>
                <w:color w:val="auto"/>
                <w:kern w:val="0"/>
                <w:sz w:val="20"/>
                <w:szCs w:val="20"/>
                <w:u w:val="none"/>
                <w:lang w:val="en-US" w:eastAsia="zh-CN" w:bidi="ar"/>
              </w:rPr>
              <w:t>规划目标值</w:t>
            </w:r>
          </w:p>
        </w:tc>
        <w:tc>
          <w:tcPr>
            <w:tcW w:w="165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auto"/>
                <w:sz w:val="20"/>
                <w:szCs w:val="20"/>
                <w:u w:val="none"/>
              </w:rPr>
            </w:pPr>
            <w:r>
              <w:rPr>
                <w:rFonts w:hint="default" w:ascii="Times New Roman" w:hAnsi="Times New Roman" w:eastAsia="仿宋_GB2312" w:cs="Times New Roman"/>
                <w:i w:val="0"/>
                <w:iCs w:val="0"/>
                <w:color w:val="auto"/>
                <w:kern w:val="0"/>
                <w:sz w:val="20"/>
                <w:szCs w:val="20"/>
                <w:u w:val="none"/>
                <w:lang w:val="en-US" w:eastAsia="zh-CN" w:bidi="ar"/>
              </w:rPr>
              <w:t>计算公式</w:t>
            </w:r>
          </w:p>
        </w:tc>
        <w:tc>
          <w:tcPr>
            <w:tcW w:w="107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auto"/>
                <w:sz w:val="20"/>
                <w:szCs w:val="20"/>
                <w:u w:val="none"/>
              </w:rPr>
            </w:pPr>
            <w:r>
              <w:rPr>
                <w:rFonts w:hint="default" w:ascii="Times New Roman" w:hAnsi="Times New Roman" w:eastAsia="仿宋_GB2312" w:cs="Times New Roman"/>
                <w:i w:val="0"/>
                <w:iCs w:val="0"/>
                <w:color w:val="auto"/>
                <w:kern w:val="0"/>
                <w:sz w:val="20"/>
                <w:szCs w:val="20"/>
                <w:u w:val="none"/>
                <w:lang w:val="en-US" w:eastAsia="zh-CN" w:bidi="ar"/>
              </w:rPr>
              <w:t>计算过程</w:t>
            </w:r>
          </w:p>
        </w:tc>
        <w:tc>
          <w:tcPr>
            <w:tcW w:w="63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auto"/>
                <w:sz w:val="20"/>
                <w:szCs w:val="20"/>
                <w:u w:val="none"/>
              </w:rPr>
            </w:pPr>
            <w:r>
              <w:rPr>
                <w:rFonts w:hint="default" w:ascii="Times New Roman" w:hAnsi="Times New Roman" w:eastAsia="仿宋_GB2312" w:cs="Times New Roman"/>
                <w:i w:val="0"/>
                <w:iCs w:val="0"/>
                <w:color w:val="auto"/>
                <w:kern w:val="0"/>
                <w:sz w:val="20"/>
                <w:szCs w:val="20"/>
                <w:u w:val="none"/>
                <w:lang w:val="en-US" w:eastAsia="zh-CN" w:bidi="ar"/>
              </w:rPr>
              <w:t>预期实现值</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7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auto"/>
                <w:sz w:val="20"/>
                <w:szCs w:val="20"/>
                <w:u w:val="none"/>
              </w:rPr>
            </w:pPr>
            <w:r>
              <w:rPr>
                <w:rFonts w:hint="default" w:ascii="Times New Roman" w:hAnsi="Times New Roman" w:eastAsia="仿宋_GB2312" w:cs="Times New Roman"/>
                <w:i w:val="0"/>
                <w:iCs w:val="0"/>
                <w:color w:val="auto"/>
                <w:kern w:val="0"/>
                <w:sz w:val="20"/>
                <w:szCs w:val="20"/>
                <w:u w:val="none"/>
                <w:lang w:val="en-US" w:eastAsia="zh-CN" w:bidi="ar"/>
              </w:rPr>
              <w:t>水土流失治理程度（%）</w:t>
            </w:r>
          </w:p>
        </w:tc>
        <w:tc>
          <w:tcPr>
            <w:tcW w:w="55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auto"/>
                <w:sz w:val="20"/>
                <w:szCs w:val="20"/>
                <w:u w:val="none"/>
              </w:rPr>
            </w:pPr>
            <w:r>
              <w:rPr>
                <w:rFonts w:hint="default" w:ascii="Times New Roman" w:hAnsi="Times New Roman" w:eastAsia="仿宋_GB2312" w:cs="Times New Roman"/>
                <w:i w:val="0"/>
                <w:iCs w:val="0"/>
                <w:color w:val="auto"/>
                <w:kern w:val="0"/>
                <w:sz w:val="20"/>
                <w:szCs w:val="20"/>
                <w:u w:val="none"/>
                <w:lang w:val="en-US" w:eastAsia="zh-CN" w:bidi="ar"/>
              </w:rPr>
              <w:t>97</w:t>
            </w:r>
          </w:p>
        </w:tc>
        <w:tc>
          <w:tcPr>
            <w:tcW w:w="165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auto"/>
                <w:sz w:val="20"/>
                <w:szCs w:val="20"/>
                <w:u w:val="none"/>
              </w:rPr>
            </w:pPr>
            <w:r>
              <w:rPr>
                <w:rFonts w:hint="default" w:ascii="Times New Roman" w:hAnsi="Times New Roman" w:eastAsia="仿宋_GB2312" w:cs="Times New Roman"/>
                <w:i w:val="0"/>
                <w:iCs w:val="0"/>
                <w:color w:val="auto"/>
                <w:kern w:val="0"/>
                <w:sz w:val="20"/>
                <w:szCs w:val="20"/>
                <w:u w:val="none"/>
                <w:lang w:val="en-US" w:eastAsia="zh-CN" w:bidi="ar"/>
              </w:rPr>
              <w:t>水土流失治理达标面积/水土流失总面积×100%</w:t>
            </w:r>
          </w:p>
        </w:tc>
        <w:tc>
          <w:tcPr>
            <w:tcW w:w="107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auto"/>
                <w:sz w:val="20"/>
                <w:szCs w:val="20"/>
                <w:u w:val="none"/>
              </w:rPr>
            </w:pPr>
            <w:r>
              <w:rPr>
                <w:rFonts w:hint="eastAsia" w:eastAsia="仿宋_GB2312" w:cs="Times New Roman"/>
                <w:i w:val="0"/>
                <w:iCs w:val="0"/>
                <w:color w:val="auto"/>
                <w:kern w:val="0"/>
                <w:sz w:val="20"/>
                <w:szCs w:val="20"/>
                <w:u w:val="none"/>
                <w:lang w:val="en-US" w:eastAsia="zh-CN" w:bidi="ar"/>
              </w:rPr>
              <w:t>19.78</w:t>
            </w:r>
            <w:r>
              <w:rPr>
                <w:rFonts w:hint="default" w:ascii="Times New Roman" w:hAnsi="Times New Roman" w:eastAsia="仿宋_GB2312" w:cs="Times New Roman"/>
                <w:i w:val="0"/>
                <w:iCs w:val="0"/>
                <w:color w:val="auto"/>
                <w:kern w:val="0"/>
                <w:sz w:val="20"/>
                <w:szCs w:val="20"/>
                <w:u w:val="none"/>
                <w:lang w:val="en-US" w:eastAsia="zh-CN" w:bidi="ar"/>
              </w:rPr>
              <w:t>/</w:t>
            </w:r>
            <w:r>
              <w:rPr>
                <w:rFonts w:hint="eastAsia" w:eastAsia="仿宋_GB2312" w:cs="Times New Roman"/>
                <w:i w:val="0"/>
                <w:iCs w:val="0"/>
                <w:color w:val="auto"/>
                <w:kern w:val="0"/>
                <w:sz w:val="20"/>
                <w:szCs w:val="20"/>
                <w:u w:val="none"/>
                <w:lang w:val="en-US" w:eastAsia="zh-CN" w:bidi="ar"/>
              </w:rPr>
              <w:t>19.98</w:t>
            </w:r>
            <w:r>
              <w:rPr>
                <w:rFonts w:hint="default" w:ascii="Times New Roman" w:hAnsi="Times New Roman" w:eastAsia="仿宋_GB2312" w:cs="Times New Roman"/>
                <w:i w:val="0"/>
                <w:iCs w:val="0"/>
                <w:color w:val="auto"/>
                <w:kern w:val="0"/>
                <w:sz w:val="20"/>
                <w:szCs w:val="20"/>
                <w:u w:val="none"/>
                <w:lang w:val="en-US" w:eastAsia="zh-CN" w:bidi="ar"/>
              </w:rPr>
              <w:t>×100%</w:t>
            </w:r>
          </w:p>
        </w:tc>
        <w:tc>
          <w:tcPr>
            <w:tcW w:w="63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auto"/>
                <w:sz w:val="20"/>
                <w:szCs w:val="20"/>
                <w:u w:val="none"/>
                <w:lang w:val="en-US" w:eastAsia="zh-CN"/>
              </w:rPr>
            </w:pPr>
            <w:r>
              <w:rPr>
                <w:rFonts w:hint="eastAsia" w:eastAsia="仿宋_GB2312" w:cs="Times New Roman"/>
                <w:i w:val="0"/>
                <w:iCs w:val="0"/>
                <w:color w:val="auto"/>
                <w:sz w:val="20"/>
                <w:szCs w:val="20"/>
                <w:u w:val="none"/>
                <w:lang w:val="en-US" w:eastAsia="zh-CN"/>
              </w:rPr>
              <w:t>99</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7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auto"/>
                <w:sz w:val="20"/>
                <w:szCs w:val="20"/>
                <w:u w:val="none"/>
              </w:rPr>
            </w:pPr>
            <w:r>
              <w:rPr>
                <w:rFonts w:hint="default" w:ascii="Times New Roman" w:hAnsi="Times New Roman" w:eastAsia="仿宋_GB2312" w:cs="Times New Roman"/>
                <w:i w:val="0"/>
                <w:iCs w:val="0"/>
                <w:color w:val="auto"/>
                <w:kern w:val="0"/>
                <w:sz w:val="20"/>
                <w:szCs w:val="20"/>
                <w:u w:val="none"/>
                <w:lang w:val="en-US" w:eastAsia="zh-CN" w:bidi="ar"/>
              </w:rPr>
              <w:t>土壤流失控制比</w:t>
            </w:r>
          </w:p>
        </w:tc>
        <w:tc>
          <w:tcPr>
            <w:tcW w:w="55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auto"/>
                <w:sz w:val="20"/>
                <w:szCs w:val="20"/>
                <w:u w:val="none"/>
                <w:lang w:val="en-US"/>
              </w:rPr>
            </w:pPr>
            <w:r>
              <w:rPr>
                <w:rFonts w:hint="default" w:ascii="Times New Roman" w:hAnsi="Times New Roman" w:eastAsia="仿宋_GB2312" w:cs="Times New Roman"/>
                <w:i w:val="0"/>
                <w:iCs w:val="0"/>
                <w:color w:val="auto"/>
                <w:kern w:val="0"/>
                <w:sz w:val="20"/>
                <w:szCs w:val="20"/>
                <w:u w:val="none"/>
                <w:lang w:val="en-US" w:eastAsia="zh-CN" w:bidi="ar"/>
              </w:rPr>
              <w:t>1.0</w:t>
            </w:r>
          </w:p>
        </w:tc>
        <w:tc>
          <w:tcPr>
            <w:tcW w:w="165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auto"/>
                <w:sz w:val="20"/>
                <w:szCs w:val="20"/>
                <w:u w:val="none"/>
              </w:rPr>
            </w:pPr>
            <w:r>
              <w:rPr>
                <w:rFonts w:hint="default" w:ascii="Times New Roman" w:hAnsi="Times New Roman" w:eastAsia="仿宋_GB2312" w:cs="Times New Roman"/>
                <w:i w:val="0"/>
                <w:iCs w:val="0"/>
                <w:color w:val="auto"/>
                <w:kern w:val="0"/>
                <w:sz w:val="20"/>
                <w:szCs w:val="20"/>
                <w:u w:val="none"/>
                <w:lang w:val="en-US" w:eastAsia="zh-CN" w:bidi="ar"/>
              </w:rPr>
              <w:t>容许土壤流失量/治理后平均土壤流失量</w:t>
            </w:r>
          </w:p>
        </w:tc>
        <w:tc>
          <w:tcPr>
            <w:tcW w:w="107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auto"/>
                <w:sz w:val="20"/>
                <w:szCs w:val="20"/>
                <w:u w:val="none"/>
              </w:rPr>
            </w:pPr>
            <w:r>
              <w:rPr>
                <w:rFonts w:hint="default" w:ascii="Times New Roman" w:hAnsi="Times New Roman" w:eastAsia="仿宋_GB2312" w:cs="Times New Roman"/>
                <w:i w:val="0"/>
                <w:iCs w:val="0"/>
                <w:color w:val="auto"/>
                <w:kern w:val="0"/>
                <w:sz w:val="20"/>
                <w:szCs w:val="20"/>
                <w:u w:val="none"/>
                <w:lang w:val="en-US" w:eastAsia="zh-CN" w:bidi="ar"/>
              </w:rPr>
              <w:t>200/200</w:t>
            </w:r>
          </w:p>
        </w:tc>
        <w:tc>
          <w:tcPr>
            <w:tcW w:w="63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auto"/>
                <w:sz w:val="20"/>
                <w:szCs w:val="20"/>
                <w:u w:val="none"/>
                <w:lang w:val="en-US"/>
              </w:rPr>
            </w:pPr>
            <w:r>
              <w:rPr>
                <w:rFonts w:hint="default" w:ascii="Times New Roman" w:hAnsi="Times New Roman" w:eastAsia="仿宋_GB2312" w:cs="Times New Roman"/>
                <w:i w:val="0"/>
                <w:iCs w:val="0"/>
                <w:color w:val="auto"/>
                <w:kern w:val="0"/>
                <w:sz w:val="20"/>
                <w:szCs w:val="20"/>
                <w:u w:val="none"/>
                <w:lang w:val="en-US" w:eastAsia="zh-CN" w:bidi="ar"/>
              </w:rPr>
              <w:t>1.0</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7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auto"/>
                <w:sz w:val="20"/>
                <w:szCs w:val="20"/>
                <w:u w:val="none"/>
              </w:rPr>
            </w:pPr>
            <w:r>
              <w:rPr>
                <w:rFonts w:hint="default" w:ascii="Times New Roman" w:hAnsi="Times New Roman" w:eastAsia="仿宋_GB2312" w:cs="Times New Roman"/>
                <w:i w:val="0"/>
                <w:iCs w:val="0"/>
                <w:color w:val="auto"/>
                <w:kern w:val="0"/>
                <w:sz w:val="20"/>
                <w:szCs w:val="20"/>
                <w:u w:val="none"/>
                <w:lang w:val="en-US" w:eastAsia="zh-CN" w:bidi="ar"/>
              </w:rPr>
              <w:t>渣土防护率（%）</w:t>
            </w:r>
          </w:p>
        </w:tc>
        <w:tc>
          <w:tcPr>
            <w:tcW w:w="55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auto"/>
                <w:sz w:val="20"/>
                <w:szCs w:val="20"/>
                <w:u w:val="none"/>
                <w:lang w:val="en-US"/>
              </w:rPr>
            </w:pPr>
            <w:r>
              <w:rPr>
                <w:rFonts w:hint="default" w:ascii="Times New Roman" w:hAnsi="Times New Roman" w:eastAsia="仿宋_GB2312" w:cs="Times New Roman"/>
                <w:i w:val="0"/>
                <w:iCs w:val="0"/>
                <w:color w:val="auto"/>
                <w:kern w:val="0"/>
                <w:sz w:val="20"/>
                <w:szCs w:val="20"/>
                <w:u w:val="none"/>
                <w:lang w:val="en-US" w:eastAsia="zh-CN" w:bidi="ar"/>
              </w:rPr>
              <w:t>98</w:t>
            </w:r>
          </w:p>
        </w:tc>
        <w:tc>
          <w:tcPr>
            <w:tcW w:w="165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auto"/>
                <w:sz w:val="20"/>
                <w:szCs w:val="20"/>
                <w:u w:val="none"/>
              </w:rPr>
            </w:pPr>
            <w:r>
              <w:rPr>
                <w:rFonts w:hint="default" w:ascii="Times New Roman" w:hAnsi="Times New Roman" w:eastAsia="仿宋_GB2312" w:cs="Times New Roman"/>
                <w:i w:val="0"/>
                <w:iCs w:val="0"/>
                <w:color w:val="auto"/>
                <w:kern w:val="0"/>
                <w:sz w:val="20"/>
                <w:szCs w:val="20"/>
                <w:u w:val="none"/>
                <w:lang w:val="en-US" w:eastAsia="zh-CN" w:bidi="ar"/>
              </w:rPr>
              <w:t>（实际挡护的永久弃渣+临时堆土数量）/（永久弃渣+临时堆土总量）×100%</w:t>
            </w:r>
          </w:p>
        </w:tc>
        <w:tc>
          <w:tcPr>
            <w:tcW w:w="107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auto"/>
                <w:sz w:val="20"/>
                <w:szCs w:val="20"/>
                <w:u w:val="none"/>
                <w:lang w:val="en-US"/>
              </w:rPr>
            </w:pPr>
            <w:r>
              <w:rPr>
                <w:rFonts w:hint="eastAsia" w:eastAsia="仿宋_GB2312" w:cs="Times New Roman"/>
                <w:i w:val="0"/>
                <w:iCs w:val="0"/>
                <w:color w:val="auto"/>
                <w:kern w:val="0"/>
                <w:sz w:val="20"/>
                <w:szCs w:val="20"/>
                <w:u w:val="none"/>
                <w:lang w:val="en-US" w:eastAsia="zh-CN" w:bidi="ar"/>
              </w:rPr>
              <w:t>0.69</w:t>
            </w:r>
            <w:r>
              <w:rPr>
                <w:rFonts w:hint="default" w:ascii="Times New Roman" w:hAnsi="Times New Roman" w:eastAsia="仿宋_GB2312" w:cs="Times New Roman"/>
                <w:i w:val="0"/>
                <w:iCs w:val="0"/>
                <w:color w:val="auto"/>
                <w:kern w:val="0"/>
                <w:sz w:val="20"/>
                <w:szCs w:val="20"/>
                <w:u w:val="none"/>
                <w:lang w:val="en-US" w:eastAsia="zh-CN" w:bidi="ar"/>
              </w:rPr>
              <w:t>/</w:t>
            </w:r>
            <w:r>
              <w:rPr>
                <w:rFonts w:hint="eastAsia" w:eastAsia="仿宋_GB2312" w:cs="Times New Roman"/>
                <w:i w:val="0"/>
                <w:iCs w:val="0"/>
                <w:color w:val="auto"/>
                <w:kern w:val="0"/>
                <w:sz w:val="20"/>
                <w:szCs w:val="20"/>
                <w:u w:val="none"/>
                <w:lang w:val="en-US" w:eastAsia="zh-CN" w:bidi="ar"/>
              </w:rPr>
              <w:t>0.70</w:t>
            </w:r>
            <w:r>
              <w:rPr>
                <w:rFonts w:hint="default" w:ascii="Times New Roman" w:hAnsi="Times New Roman" w:eastAsia="仿宋_GB2312" w:cs="Times New Roman"/>
                <w:i w:val="0"/>
                <w:iCs w:val="0"/>
                <w:color w:val="auto"/>
                <w:kern w:val="0"/>
                <w:sz w:val="20"/>
                <w:szCs w:val="20"/>
                <w:u w:val="none"/>
                <w:lang w:val="en-US" w:eastAsia="zh-CN" w:bidi="ar"/>
              </w:rPr>
              <w:t>×100%</w:t>
            </w:r>
          </w:p>
        </w:tc>
        <w:tc>
          <w:tcPr>
            <w:tcW w:w="63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auto"/>
                <w:sz w:val="20"/>
                <w:szCs w:val="20"/>
                <w:u w:val="none"/>
                <w:lang w:val="en-US" w:eastAsia="zh-CN"/>
              </w:rPr>
            </w:pPr>
            <w:r>
              <w:rPr>
                <w:rFonts w:hint="eastAsia" w:eastAsia="仿宋_GB2312" w:cs="Times New Roman"/>
                <w:i w:val="0"/>
                <w:iCs w:val="0"/>
                <w:color w:val="auto"/>
                <w:sz w:val="20"/>
                <w:szCs w:val="20"/>
                <w:u w:val="none"/>
                <w:lang w:val="en-US" w:eastAsia="zh-CN"/>
              </w:rPr>
              <w:t>98.57</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7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auto"/>
                <w:sz w:val="20"/>
                <w:szCs w:val="20"/>
                <w:u w:val="none"/>
              </w:rPr>
            </w:pPr>
            <w:r>
              <w:rPr>
                <w:rFonts w:hint="default" w:ascii="Times New Roman" w:hAnsi="Times New Roman" w:eastAsia="仿宋_GB2312" w:cs="Times New Roman"/>
                <w:i w:val="0"/>
                <w:iCs w:val="0"/>
                <w:color w:val="auto"/>
                <w:kern w:val="0"/>
                <w:sz w:val="20"/>
                <w:szCs w:val="20"/>
                <w:u w:val="none"/>
                <w:lang w:val="en-US" w:eastAsia="zh-CN" w:bidi="ar"/>
              </w:rPr>
              <w:t>表土保护率（%）</w:t>
            </w:r>
          </w:p>
        </w:tc>
        <w:tc>
          <w:tcPr>
            <w:tcW w:w="55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auto"/>
                <w:sz w:val="20"/>
                <w:szCs w:val="20"/>
                <w:u w:val="none"/>
              </w:rPr>
            </w:pPr>
            <w:r>
              <w:rPr>
                <w:rFonts w:hint="default" w:ascii="Times New Roman" w:hAnsi="Times New Roman" w:eastAsia="仿宋_GB2312" w:cs="Times New Roman"/>
                <w:i w:val="0"/>
                <w:iCs w:val="0"/>
                <w:color w:val="auto"/>
                <w:kern w:val="0"/>
                <w:sz w:val="20"/>
                <w:szCs w:val="20"/>
                <w:u w:val="none"/>
                <w:lang w:val="en-US" w:eastAsia="zh-CN" w:bidi="ar"/>
              </w:rPr>
              <w:t>/</w:t>
            </w:r>
          </w:p>
        </w:tc>
        <w:tc>
          <w:tcPr>
            <w:tcW w:w="165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auto"/>
                <w:sz w:val="20"/>
                <w:szCs w:val="20"/>
                <w:u w:val="none"/>
              </w:rPr>
            </w:pPr>
            <w:r>
              <w:rPr>
                <w:rFonts w:hint="default" w:ascii="Times New Roman" w:hAnsi="Times New Roman" w:eastAsia="仿宋_GB2312" w:cs="Times New Roman"/>
                <w:i w:val="0"/>
                <w:iCs w:val="0"/>
                <w:color w:val="auto"/>
                <w:kern w:val="0"/>
                <w:sz w:val="20"/>
                <w:szCs w:val="20"/>
                <w:u w:val="none"/>
                <w:lang w:val="en-US" w:eastAsia="zh-CN" w:bidi="ar"/>
              </w:rPr>
              <w:t>（实际保护的表土数量）/（可剥离表土总量）×100%</w:t>
            </w:r>
          </w:p>
        </w:tc>
        <w:tc>
          <w:tcPr>
            <w:tcW w:w="107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auto"/>
                <w:sz w:val="20"/>
                <w:szCs w:val="20"/>
                <w:u w:val="none"/>
                <w:lang w:val="en-US"/>
              </w:rPr>
            </w:pPr>
            <w:r>
              <w:rPr>
                <w:rFonts w:hint="default" w:ascii="Times New Roman" w:hAnsi="Times New Roman" w:eastAsia="仿宋_GB2312" w:cs="Times New Roman"/>
                <w:i w:val="0"/>
                <w:iCs w:val="0"/>
                <w:color w:val="auto"/>
                <w:kern w:val="0"/>
                <w:sz w:val="20"/>
                <w:szCs w:val="20"/>
                <w:u w:val="none"/>
                <w:lang w:val="en-US" w:eastAsia="zh-CN" w:bidi="ar"/>
              </w:rPr>
              <w:t>/</w:t>
            </w:r>
          </w:p>
        </w:tc>
        <w:tc>
          <w:tcPr>
            <w:tcW w:w="63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auto"/>
                <w:sz w:val="20"/>
                <w:szCs w:val="20"/>
                <w:u w:val="none"/>
                <w:lang w:val="en-US" w:eastAsia="zh-CN"/>
              </w:rPr>
            </w:pPr>
            <w:r>
              <w:rPr>
                <w:rFonts w:hint="default" w:ascii="Times New Roman" w:hAnsi="Times New Roman" w:eastAsia="仿宋_GB2312" w:cs="Times New Roman"/>
                <w:i w:val="0"/>
                <w:iCs w:val="0"/>
                <w:color w:val="auto"/>
                <w:kern w:val="0"/>
                <w:sz w:val="20"/>
                <w:szCs w:val="20"/>
                <w:u w:val="none"/>
                <w:lang w:val="en-US" w:eastAsia="zh-CN" w:bidi="ar"/>
              </w:rPr>
              <w:t>/</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7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auto"/>
                <w:sz w:val="20"/>
                <w:szCs w:val="20"/>
                <w:u w:val="none"/>
              </w:rPr>
            </w:pPr>
            <w:r>
              <w:rPr>
                <w:rFonts w:hint="default" w:ascii="Times New Roman" w:hAnsi="Times New Roman" w:eastAsia="仿宋_GB2312" w:cs="Times New Roman"/>
                <w:i w:val="0"/>
                <w:iCs w:val="0"/>
                <w:color w:val="auto"/>
                <w:kern w:val="0"/>
                <w:sz w:val="20"/>
                <w:szCs w:val="20"/>
                <w:u w:val="none"/>
                <w:lang w:val="en-US" w:eastAsia="zh-CN" w:bidi="ar"/>
              </w:rPr>
              <w:t>林草植被恢复率（%）</w:t>
            </w:r>
          </w:p>
        </w:tc>
        <w:tc>
          <w:tcPr>
            <w:tcW w:w="55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auto"/>
                <w:sz w:val="20"/>
                <w:szCs w:val="20"/>
                <w:u w:val="none"/>
              </w:rPr>
            </w:pPr>
            <w:r>
              <w:rPr>
                <w:rFonts w:hint="default" w:ascii="Times New Roman" w:hAnsi="Times New Roman" w:eastAsia="仿宋_GB2312" w:cs="Times New Roman"/>
                <w:i w:val="0"/>
                <w:iCs w:val="0"/>
                <w:color w:val="auto"/>
                <w:kern w:val="0"/>
                <w:sz w:val="20"/>
                <w:szCs w:val="20"/>
                <w:u w:val="none"/>
                <w:lang w:val="en-US" w:eastAsia="zh-CN" w:bidi="ar"/>
              </w:rPr>
              <w:t>97</w:t>
            </w:r>
          </w:p>
        </w:tc>
        <w:tc>
          <w:tcPr>
            <w:tcW w:w="165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auto"/>
                <w:sz w:val="20"/>
                <w:szCs w:val="20"/>
                <w:u w:val="none"/>
              </w:rPr>
            </w:pPr>
            <w:r>
              <w:rPr>
                <w:rFonts w:hint="default" w:ascii="Times New Roman" w:hAnsi="Times New Roman" w:eastAsia="仿宋_GB2312" w:cs="Times New Roman"/>
                <w:i w:val="0"/>
                <w:iCs w:val="0"/>
                <w:color w:val="auto"/>
                <w:kern w:val="0"/>
                <w:sz w:val="20"/>
                <w:szCs w:val="20"/>
                <w:u w:val="none"/>
                <w:lang w:val="en-US" w:eastAsia="zh-CN" w:bidi="ar"/>
              </w:rPr>
              <w:t>林草植被面积/可恢复林草植被面积×100%</w:t>
            </w:r>
          </w:p>
        </w:tc>
        <w:tc>
          <w:tcPr>
            <w:tcW w:w="107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auto"/>
                <w:sz w:val="20"/>
                <w:szCs w:val="20"/>
                <w:u w:val="none"/>
              </w:rPr>
            </w:pPr>
            <w:r>
              <w:rPr>
                <w:rFonts w:hint="eastAsia" w:eastAsia="仿宋_GB2312" w:cs="Times New Roman"/>
                <w:i w:val="0"/>
                <w:iCs w:val="0"/>
                <w:color w:val="auto"/>
                <w:kern w:val="0"/>
                <w:sz w:val="20"/>
                <w:szCs w:val="20"/>
                <w:u w:val="none"/>
                <w:lang w:val="en-US" w:eastAsia="zh-CN" w:bidi="ar"/>
              </w:rPr>
              <w:t>3.95</w:t>
            </w:r>
            <w:r>
              <w:rPr>
                <w:rFonts w:hint="default" w:ascii="Times New Roman" w:hAnsi="Times New Roman" w:eastAsia="仿宋_GB2312" w:cs="Times New Roman"/>
                <w:i w:val="0"/>
                <w:iCs w:val="0"/>
                <w:color w:val="auto"/>
                <w:kern w:val="0"/>
                <w:sz w:val="20"/>
                <w:szCs w:val="20"/>
                <w:u w:val="none"/>
                <w:lang w:val="en-US" w:eastAsia="zh-CN" w:bidi="ar"/>
              </w:rPr>
              <w:t>/</w:t>
            </w:r>
            <w:r>
              <w:rPr>
                <w:rFonts w:hint="eastAsia" w:eastAsia="仿宋_GB2312" w:cs="Times New Roman"/>
                <w:i w:val="0"/>
                <w:iCs w:val="0"/>
                <w:color w:val="auto"/>
                <w:kern w:val="0"/>
                <w:sz w:val="20"/>
                <w:szCs w:val="20"/>
                <w:u w:val="none"/>
                <w:lang w:val="en-US" w:eastAsia="zh-CN" w:bidi="ar"/>
              </w:rPr>
              <w:t>3.99</w:t>
            </w:r>
            <w:r>
              <w:rPr>
                <w:rFonts w:hint="default" w:ascii="Times New Roman" w:hAnsi="Times New Roman" w:eastAsia="仿宋_GB2312" w:cs="Times New Roman"/>
                <w:i w:val="0"/>
                <w:iCs w:val="0"/>
                <w:color w:val="auto"/>
                <w:kern w:val="0"/>
                <w:sz w:val="20"/>
                <w:szCs w:val="20"/>
                <w:u w:val="none"/>
                <w:lang w:val="en-US" w:eastAsia="zh-CN" w:bidi="ar"/>
              </w:rPr>
              <w:t>×100%</w:t>
            </w:r>
          </w:p>
        </w:tc>
        <w:tc>
          <w:tcPr>
            <w:tcW w:w="63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auto"/>
                <w:sz w:val="20"/>
                <w:szCs w:val="20"/>
                <w:u w:val="none"/>
                <w:lang w:val="en-US"/>
              </w:rPr>
            </w:pPr>
            <w:r>
              <w:rPr>
                <w:rFonts w:hint="eastAsia" w:eastAsia="仿宋_GB2312" w:cs="Times New Roman"/>
                <w:i w:val="0"/>
                <w:iCs w:val="0"/>
                <w:color w:val="auto"/>
                <w:kern w:val="0"/>
                <w:sz w:val="20"/>
                <w:szCs w:val="20"/>
                <w:u w:val="none"/>
                <w:lang w:val="en-US" w:eastAsia="zh-CN" w:bidi="ar"/>
              </w:rPr>
              <w:t>99</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7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auto"/>
                <w:sz w:val="20"/>
                <w:szCs w:val="20"/>
                <w:u w:val="none"/>
              </w:rPr>
            </w:pPr>
            <w:r>
              <w:rPr>
                <w:rFonts w:hint="default" w:ascii="Times New Roman" w:hAnsi="Times New Roman" w:eastAsia="仿宋_GB2312" w:cs="Times New Roman"/>
                <w:i w:val="0"/>
                <w:iCs w:val="0"/>
                <w:color w:val="auto"/>
                <w:kern w:val="0"/>
                <w:sz w:val="20"/>
                <w:szCs w:val="20"/>
                <w:u w:val="none"/>
                <w:lang w:val="en-US" w:eastAsia="zh-CN" w:bidi="ar"/>
              </w:rPr>
              <w:t>林草覆盖率（%）</w:t>
            </w:r>
          </w:p>
        </w:tc>
        <w:tc>
          <w:tcPr>
            <w:tcW w:w="55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auto"/>
                <w:sz w:val="20"/>
                <w:szCs w:val="20"/>
                <w:u w:val="none"/>
                <w:lang w:val="en-US"/>
              </w:rPr>
            </w:pPr>
            <w:r>
              <w:rPr>
                <w:rFonts w:hint="default" w:ascii="Times New Roman" w:hAnsi="Times New Roman" w:eastAsia="仿宋_GB2312" w:cs="Times New Roman"/>
                <w:i w:val="0"/>
                <w:iCs w:val="0"/>
                <w:color w:val="auto"/>
                <w:kern w:val="0"/>
                <w:sz w:val="20"/>
                <w:szCs w:val="20"/>
                <w:u w:val="none"/>
                <w:lang w:val="en-US" w:eastAsia="zh-CN" w:bidi="ar"/>
              </w:rPr>
              <w:t>19</w:t>
            </w:r>
          </w:p>
        </w:tc>
        <w:tc>
          <w:tcPr>
            <w:tcW w:w="165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auto"/>
                <w:sz w:val="20"/>
                <w:szCs w:val="20"/>
                <w:u w:val="none"/>
              </w:rPr>
            </w:pPr>
            <w:r>
              <w:rPr>
                <w:rFonts w:hint="default" w:ascii="Times New Roman" w:hAnsi="Times New Roman" w:eastAsia="仿宋_GB2312" w:cs="Times New Roman"/>
                <w:i w:val="0"/>
                <w:iCs w:val="0"/>
                <w:color w:val="auto"/>
                <w:kern w:val="0"/>
                <w:sz w:val="20"/>
                <w:szCs w:val="20"/>
                <w:u w:val="none"/>
                <w:lang w:val="en-US" w:eastAsia="zh-CN" w:bidi="ar"/>
              </w:rPr>
              <w:t>林草类植被面积/总面积×100%</w:t>
            </w:r>
          </w:p>
        </w:tc>
        <w:tc>
          <w:tcPr>
            <w:tcW w:w="107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auto"/>
                <w:sz w:val="20"/>
                <w:szCs w:val="20"/>
                <w:u w:val="none"/>
              </w:rPr>
            </w:pPr>
            <w:r>
              <w:rPr>
                <w:rFonts w:hint="eastAsia" w:eastAsia="仿宋_GB2312" w:cs="Times New Roman"/>
                <w:i w:val="0"/>
                <w:iCs w:val="0"/>
                <w:color w:val="auto"/>
                <w:kern w:val="0"/>
                <w:sz w:val="20"/>
                <w:szCs w:val="20"/>
                <w:u w:val="none"/>
                <w:lang w:val="en-US" w:eastAsia="zh-CN" w:bidi="ar"/>
              </w:rPr>
              <w:t>3.95</w:t>
            </w:r>
            <w:r>
              <w:rPr>
                <w:rFonts w:hint="default" w:ascii="Times New Roman" w:hAnsi="Times New Roman" w:eastAsia="仿宋_GB2312" w:cs="Times New Roman"/>
                <w:i w:val="0"/>
                <w:iCs w:val="0"/>
                <w:color w:val="auto"/>
                <w:kern w:val="0"/>
                <w:sz w:val="20"/>
                <w:szCs w:val="20"/>
                <w:u w:val="none"/>
                <w:lang w:val="en-US" w:eastAsia="zh-CN" w:bidi="ar"/>
              </w:rPr>
              <w:t>/</w:t>
            </w:r>
            <w:r>
              <w:rPr>
                <w:rFonts w:hint="eastAsia" w:eastAsia="仿宋_GB2312" w:cs="Times New Roman"/>
                <w:i w:val="0"/>
                <w:iCs w:val="0"/>
                <w:color w:val="auto"/>
                <w:kern w:val="0"/>
                <w:sz w:val="20"/>
                <w:szCs w:val="20"/>
                <w:u w:val="none"/>
                <w:lang w:val="en-US" w:eastAsia="zh-CN" w:bidi="ar"/>
              </w:rPr>
              <w:t>19.98</w:t>
            </w:r>
            <w:r>
              <w:rPr>
                <w:rFonts w:hint="default" w:ascii="Times New Roman" w:hAnsi="Times New Roman" w:eastAsia="仿宋_GB2312" w:cs="Times New Roman"/>
                <w:i w:val="0"/>
                <w:iCs w:val="0"/>
                <w:color w:val="auto"/>
                <w:kern w:val="0"/>
                <w:sz w:val="20"/>
                <w:szCs w:val="20"/>
                <w:u w:val="none"/>
                <w:lang w:val="en-US" w:eastAsia="zh-CN" w:bidi="ar"/>
              </w:rPr>
              <w:t>×100%</w:t>
            </w:r>
          </w:p>
        </w:tc>
        <w:tc>
          <w:tcPr>
            <w:tcW w:w="63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i w:val="0"/>
                <w:iCs w:val="0"/>
                <w:color w:val="auto"/>
                <w:sz w:val="20"/>
                <w:szCs w:val="20"/>
                <w:u w:val="none"/>
                <w:lang w:val="en-US"/>
              </w:rPr>
            </w:pPr>
            <w:r>
              <w:rPr>
                <w:rFonts w:hint="default" w:ascii="Times New Roman" w:hAnsi="Times New Roman" w:eastAsia="仿宋_GB2312" w:cs="Times New Roman"/>
                <w:i w:val="0"/>
                <w:iCs w:val="0"/>
                <w:color w:val="auto"/>
                <w:kern w:val="0"/>
                <w:sz w:val="20"/>
                <w:szCs w:val="20"/>
                <w:u w:val="none"/>
                <w:lang w:val="en-US" w:eastAsia="zh-CN" w:bidi="ar"/>
              </w:rPr>
              <w:t>19.</w:t>
            </w:r>
            <w:r>
              <w:rPr>
                <w:rFonts w:hint="eastAsia" w:eastAsia="仿宋_GB2312" w:cs="Times New Roman"/>
                <w:i w:val="0"/>
                <w:iCs w:val="0"/>
                <w:color w:val="auto"/>
                <w:kern w:val="0"/>
                <w:sz w:val="20"/>
                <w:szCs w:val="20"/>
                <w:u w:val="none"/>
                <w:lang w:val="en-US" w:eastAsia="zh-CN" w:bidi="ar"/>
              </w:rPr>
              <w:t>77</w:t>
            </w:r>
          </w:p>
        </w:tc>
      </w:tr>
    </w:tbl>
    <w:p>
      <w:pPr>
        <w:pStyle w:val="6"/>
        <w:keepNext/>
        <w:keepLines/>
        <w:pageBreakBefore w:val="0"/>
        <w:widowControl w:val="0"/>
        <w:kinsoku/>
        <w:wordWrap/>
        <w:overflowPunct/>
        <w:topLinePunct w:val="0"/>
        <w:autoSpaceDE/>
        <w:autoSpaceDN/>
        <w:bidi w:val="0"/>
        <w:adjustRightInd/>
        <w:snapToGrid/>
        <w:ind w:left="0" w:firstLine="0"/>
        <w:textAlignment w:val="auto"/>
        <w:rPr>
          <w:rFonts w:hint="default" w:ascii="Times New Roman" w:hAnsi="Times New Roman" w:eastAsia="仿宋_GB2312" w:cs="Times New Roman"/>
          <w:b/>
          <w:bCs/>
          <w:lang w:val="en-US" w:eastAsia="zh-CN"/>
        </w:rPr>
      </w:pPr>
      <w:r>
        <w:rPr>
          <w:rFonts w:hint="default" w:ascii="Times New Roman" w:hAnsi="Times New Roman" w:eastAsia="仿宋_GB2312" w:cs="Times New Roman"/>
          <w:b/>
          <w:bCs/>
          <w:lang w:val="en-US" w:eastAsia="zh-CN"/>
        </w:rPr>
        <w:t>7.2.2减少水土流失量计算</w:t>
      </w:r>
    </w:p>
    <w:p>
      <w:pPr>
        <w:pageBreakBefore w:val="0"/>
        <w:kinsoku/>
        <w:wordWrap/>
        <w:bidi w:val="0"/>
        <w:spacing w:line="360" w:lineRule="auto"/>
        <w:ind w:firstLine="480" w:firstLineChars="200"/>
        <w:rPr>
          <w:rFonts w:hint="default" w:ascii="Times New Roman" w:hAnsi="Times New Roman" w:cs="Times New Roman"/>
          <w:color w:val="000000"/>
          <w:highlight w:val="none"/>
        </w:rPr>
      </w:pPr>
      <w:r>
        <w:rPr>
          <w:rFonts w:hint="default" w:ascii="Times New Roman" w:hAnsi="Times New Roman" w:eastAsia="仿宋_GB2312" w:cs="Times New Roman"/>
          <w:bCs/>
          <w:iCs/>
          <w:sz w:val="24"/>
          <w:szCs w:val="28"/>
          <w:highlight w:val="none"/>
        </w:rPr>
        <w:t>本方案对工程建设过程中可能产生水土流失的区域布设了水土保持防护措施，使新增水土流失得到有效控制，原有水土流失得到治理。</w:t>
      </w:r>
      <w:r>
        <w:rPr>
          <w:rFonts w:hint="default" w:ascii="Times New Roman" w:hAnsi="Times New Roman" w:eastAsia="仿宋_GB2312" w:cs="Times New Roman"/>
          <w:bCs/>
          <w:iCs/>
          <w:sz w:val="24"/>
          <w:szCs w:val="28"/>
          <w:highlight w:val="none"/>
          <w:lang w:eastAsia="zh-CN"/>
        </w:rPr>
        <w:t>本期项目</w:t>
      </w:r>
      <w:r>
        <w:rPr>
          <w:rFonts w:hint="default" w:ascii="Times New Roman" w:hAnsi="Times New Roman" w:eastAsia="仿宋_GB2312" w:cs="Times New Roman"/>
          <w:bCs/>
          <w:iCs/>
          <w:sz w:val="24"/>
          <w:szCs w:val="28"/>
          <w:highlight w:val="none"/>
        </w:rPr>
        <w:t>采取水土保持措施后可减少土壤流失量</w:t>
      </w:r>
      <w:r>
        <w:rPr>
          <w:rFonts w:hint="eastAsia" w:eastAsia="仿宋_GB2312" w:cs="Times New Roman"/>
          <w:bCs/>
          <w:iCs/>
          <w:sz w:val="24"/>
          <w:szCs w:val="28"/>
          <w:highlight w:val="none"/>
          <w:lang w:val="en-US" w:eastAsia="zh-CN"/>
        </w:rPr>
        <w:t>1101.10</w:t>
      </w:r>
      <w:r>
        <w:rPr>
          <w:rFonts w:hint="default" w:ascii="Times New Roman" w:hAnsi="Times New Roman" w:eastAsia="仿宋_GB2312" w:cs="Times New Roman"/>
          <w:bCs/>
          <w:iCs/>
          <w:sz w:val="24"/>
          <w:szCs w:val="28"/>
          <w:highlight w:val="none"/>
        </w:rPr>
        <w:t>t。</w:t>
      </w:r>
      <w:r>
        <w:rPr>
          <w:rFonts w:hint="default" w:ascii="Times New Roman" w:hAnsi="Times New Roman" w:eastAsia="仿宋_GB2312" w:cs="Times New Roman"/>
          <w:sz w:val="24"/>
          <w:highlight w:val="none"/>
        </w:rPr>
        <w:t>减少土壤流失量计算见表7-1</w:t>
      </w:r>
      <w:r>
        <w:rPr>
          <w:rFonts w:hint="eastAsia" w:eastAsia="仿宋_GB2312" w:cs="Times New Roman"/>
          <w:sz w:val="24"/>
          <w:highlight w:val="none"/>
          <w:lang w:val="en-US" w:eastAsia="zh-CN"/>
        </w:rPr>
        <w:t>2</w:t>
      </w:r>
      <w:r>
        <w:rPr>
          <w:rFonts w:hint="default" w:ascii="Times New Roman" w:hAnsi="Times New Roman" w:eastAsia="仿宋_GB2312" w:cs="Times New Roman"/>
          <w:sz w:val="24"/>
          <w:highlight w:val="none"/>
        </w:rPr>
        <w:t>。</w:t>
      </w:r>
    </w:p>
    <w:p>
      <w:pPr>
        <w:keepNext w:val="0"/>
        <w:keepLines w:val="0"/>
        <w:pageBreakBefore w:val="0"/>
        <w:widowControl w:val="0"/>
        <w:kinsoku/>
        <w:wordWrap/>
        <w:overflowPunct/>
        <w:topLinePunct w:val="0"/>
        <w:autoSpaceDE/>
        <w:autoSpaceDN/>
        <w:bidi w:val="0"/>
        <w:adjustRightInd/>
        <w:snapToGrid w:val="0"/>
        <w:spacing w:line="240" w:lineRule="auto"/>
        <w:ind w:left="0"/>
        <w:jc w:val="center"/>
        <w:textAlignment w:val="auto"/>
        <w:rPr>
          <w:rFonts w:hint="default" w:ascii="Times New Roman" w:hAnsi="Times New Roman" w:eastAsia="微软雅黑" w:cs="Times New Roman"/>
          <w:b w:val="0"/>
          <w:bCs w:val="0"/>
          <w:spacing w:val="2"/>
          <w:sz w:val="21"/>
          <w:szCs w:val="21"/>
        </w:rPr>
      </w:pPr>
    </w:p>
    <w:p>
      <w:pPr>
        <w:keepNext w:val="0"/>
        <w:keepLines w:val="0"/>
        <w:pageBreakBefore w:val="0"/>
        <w:widowControl w:val="0"/>
        <w:kinsoku/>
        <w:wordWrap/>
        <w:overflowPunct/>
        <w:topLinePunct w:val="0"/>
        <w:autoSpaceDE/>
        <w:autoSpaceDN/>
        <w:bidi w:val="0"/>
        <w:adjustRightInd/>
        <w:snapToGrid w:val="0"/>
        <w:spacing w:line="240" w:lineRule="auto"/>
        <w:ind w:left="0"/>
        <w:jc w:val="center"/>
        <w:textAlignment w:val="auto"/>
        <w:rPr>
          <w:rFonts w:hint="default" w:ascii="Times New Roman" w:hAnsi="Times New Roman" w:eastAsia="微软雅黑" w:cs="Times New Roman"/>
          <w:b w:val="0"/>
          <w:bCs w:val="0"/>
          <w:spacing w:val="2"/>
          <w:sz w:val="21"/>
          <w:szCs w:val="21"/>
        </w:rPr>
      </w:pPr>
    </w:p>
    <w:p>
      <w:pPr>
        <w:keepNext w:val="0"/>
        <w:keepLines w:val="0"/>
        <w:pageBreakBefore w:val="0"/>
        <w:widowControl w:val="0"/>
        <w:kinsoku/>
        <w:wordWrap/>
        <w:overflowPunct/>
        <w:topLinePunct w:val="0"/>
        <w:autoSpaceDE/>
        <w:autoSpaceDN/>
        <w:bidi w:val="0"/>
        <w:adjustRightInd/>
        <w:snapToGrid w:val="0"/>
        <w:spacing w:line="240" w:lineRule="auto"/>
        <w:ind w:left="0"/>
        <w:jc w:val="center"/>
        <w:textAlignment w:val="auto"/>
        <w:rPr>
          <w:rFonts w:hint="default" w:ascii="Times New Roman" w:hAnsi="Times New Roman" w:eastAsia="微软雅黑" w:cs="Times New Roman"/>
          <w:b w:val="0"/>
          <w:bCs w:val="0"/>
          <w:spacing w:val="2"/>
          <w:sz w:val="21"/>
          <w:szCs w:val="21"/>
        </w:rPr>
      </w:pPr>
    </w:p>
    <w:p>
      <w:pPr>
        <w:keepNext w:val="0"/>
        <w:keepLines w:val="0"/>
        <w:pageBreakBefore w:val="0"/>
        <w:widowControl w:val="0"/>
        <w:kinsoku/>
        <w:wordWrap/>
        <w:overflowPunct/>
        <w:topLinePunct w:val="0"/>
        <w:autoSpaceDE/>
        <w:autoSpaceDN/>
        <w:bidi w:val="0"/>
        <w:adjustRightInd/>
        <w:snapToGrid w:val="0"/>
        <w:spacing w:line="240" w:lineRule="auto"/>
        <w:ind w:left="0"/>
        <w:jc w:val="center"/>
        <w:textAlignment w:val="auto"/>
        <w:rPr>
          <w:rFonts w:hint="default" w:ascii="Times New Roman" w:hAnsi="Times New Roman" w:eastAsia="微软雅黑" w:cs="Times New Roman"/>
          <w:b w:val="0"/>
          <w:bCs w:val="0"/>
          <w:spacing w:val="2"/>
          <w:sz w:val="21"/>
          <w:szCs w:val="21"/>
        </w:rPr>
      </w:pPr>
    </w:p>
    <w:p>
      <w:pPr>
        <w:keepNext w:val="0"/>
        <w:keepLines w:val="0"/>
        <w:pageBreakBefore w:val="0"/>
        <w:widowControl w:val="0"/>
        <w:kinsoku/>
        <w:wordWrap/>
        <w:overflowPunct/>
        <w:topLinePunct w:val="0"/>
        <w:autoSpaceDE/>
        <w:autoSpaceDN/>
        <w:bidi w:val="0"/>
        <w:adjustRightInd/>
        <w:snapToGrid w:val="0"/>
        <w:spacing w:line="240" w:lineRule="auto"/>
        <w:ind w:left="0"/>
        <w:jc w:val="center"/>
        <w:textAlignment w:val="auto"/>
        <w:rPr>
          <w:rFonts w:hint="default" w:ascii="Times New Roman" w:hAnsi="Times New Roman" w:eastAsia="微软雅黑" w:cs="Times New Roman"/>
          <w:b w:val="0"/>
          <w:bCs w:val="0"/>
          <w:spacing w:val="2"/>
          <w:sz w:val="21"/>
          <w:szCs w:val="21"/>
        </w:rPr>
      </w:pPr>
      <w:r>
        <w:rPr>
          <w:rFonts w:hint="default" w:ascii="Times New Roman" w:hAnsi="Times New Roman" w:eastAsia="微软雅黑" w:cs="Times New Roman"/>
          <w:b w:val="0"/>
          <w:bCs w:val="0"/>
          <w:spacing w:val="2"/>
          <w:sz w:val="21"/>
          <w:szCs w:val="21"/>
        </w:rPr>
        <w:t>表7-1</w:t>
      </w:r>
      <w:r>
        <w:rPr>
          <w:rFonts w:hint="eastAsia" w:eastAsia="微软雅黑" w:cs="Times New Roman"/>
          <w:b w:val="0"/>
          <w:bCs w:val="0"/>
          <w:spacing w:val="2"/>
          <w:sz w:val="21"/>
          <w:szCs w:val="21"/>
          <w:lang w:val="en-US" w:eastAsia="zh-CN"/>
        </w:rPr>
        <w:t>2</w:t>
      </w:r>
      <w:r>
        <w:rPr>
          <w:rFonts w:hint="default" w:ascii="Times New Roman" w:hAnsi="Times New Roman" w:eastAsia="微软雅黑" w:cs="Times New Roman"/>
          <w:b w:val="0"/>
          <w:bCs w:val="0"/>
          <w:spacing w:val="2"/>
          <w:sz w:val="21"/>
          <w:szCs w:val="21"/>
          <w:lang w:val="en-US" w:eastAsia="zh-CN"/>
        </w:rPr>
        <w:t xml:space="preserve">  </w:t>
      </w:r>
      <w:r>
        <w:rPr>
          <w:rFonts w:hint="default" w:ascii="Times New Roman" w:hAnsi="Times New Roman" w:eastAsia="微软雅黑" w:cs="Times New Roman"/>
          <w:b w:val="0"/>
          <w:bCs w:val="0"/>
          <w:spacing w:val="2"/>
          <w:sz w:val="21"/>
          <w:szCs w:val="21"/>
        </w:rPr>
        <w:t>减少土壤流失量计算表</w:t>
      </w:r>
    </w:p>
    <w:tbl>
      <w:tblPr>
        <w:tblStyle w:val="88"/>
        <w:tblW w:w="4999" w:type="pct"/>
        <w:jc w:val="center"/>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928"/>
        <w:gridCol w:w="1654"/>
        <w:gridCol w:w="1608"/>
        <w:gridCol w:w="1468"/>
        <w:gridCol w:w="1678"/>
        <w:gridCol w:w="1286"/>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9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rPr>
                <w:rFonts w:hint="default" w:ascii="Times New Roman" w:hAnsi="Times New Roman" w:eastAsia="仿宋_GB2312" w:cs="Times New Roman"/>
                <w:color w:val="000000"/>
                <w:sz w:val="20"/>
                <w:szCs w:val="20"/>
                <w:highlight w:val="none"/>
                <w:lang w:val="en-US" w:eastAsia="zh-CN"/>
              </w:rPr>
            </w:pPr>
            <w:r>
              <w:rPr>
                <w:rFonts w:hint="default" w:ascii="Times New Roman" w:hAnsi="Times New Roman" w:eastAsia="仿宋_GB2312" w:cs="Times New Roman"/>
                <w:color w:val="000000"/>
                <w:sz w:val="20"/>
                <w:szCs w:val="20"/>
                <w:highlight w:val="none"/>
                <w:lang w:val="en-US" w:eastAsia="zh-CN"/>
              </w:rPr>
              <w:t>预测单元</w:t>
            </w:r>
          </w:p>
        </w:tc>
        <w:tc>
          <w:tcPr>
            <w:tcW w:w="93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color w:val="000000"/>
                <w:sz w:val="20"/>
                <w:szCs w:val="20"/>
                <w:highlight w:val="none"/>
              </w:rPr>
            </w:pPr>
            <w:r>
              <w:rPr>
                <w:rFonts w:hint="default" w:ascii="Times New Roman" w:hAnsi="Times New Roman" w:eastAsia="仿宋_GB2312" w:cs="Times New Roman"/>
                <w:i w:val="0"/>
                <w:iCs w:val="0"/>
                <w:color w:val="000000"/>
                <w:kern w:val="0"/>
                <w:sz w:val="20"/>
                <w:szCs w:val="20"/>
                <w:u w:val="none"/>
                <w:lang w:val="en-US" w:eastAsia="zh-CN" w:bidi="ar"/>
              </w:rPr>
              <w:t>面积（hm²）</w:t>
            </w:r>
          </w:p>
        </w:tc>
        <w:tc>
          <w:tcPr>
            <w:tcW w:w="85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color w:val="000000"/>
                <w:sz w:val="20"/>
                <w:szCs w:val="20"/>
                <w:highlight w:val="none"/>
              </w:rPr>
            </w:pPr>
            <w:r>
              <w:rPr>
                <w:rFonts w:hint="default" w:ascii="Times New Roman" w:hAnsi="Times New Roman" w:eastAsia="仿宋_GB2312" w:cs="Times New Roman"/>
                <w:i w:val="0"/>
                <w:iCs w:val="0"/>
                <w:color w:val="000000"/>
                <w:kern w:val="0"/>
                <w:sz w:val="20"/>
                <w:szCs w:val="20"/>
                <w:u w:val="none"/>
                <w:lang w:val="en-US" w:eastAsia="zh-CN" w:bidi="ar"/>
              </w:rPr>
              <w:t>建设期防治措施未完善时水土流失量（t）</w:t>
            </w:r>
          </w:p>
        </w:tc>
        <w:tc>
          <w:tcPr>
            <w:tcW w:w="97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color w:val="000000"/>
                <w:sz w:val="20"/>
                <w:szCs w:val="20"/>
                <w:highlight w:val="none"/>
              </w:rPr>
            </w:pPr>
            <w:r>
              <w:rPr>
                <w:rFonts w:hint="default" w:ascii="Times New Roman" w:hAnsi="Times New Roman" w:eastAsia="仿宋_GB2312" w:cs="Times New Roman"/>
                <w:i w:val="0"/>
                <w:iCs w:val="0"/>
                <w:color w:val="000000"/>
                <w:kern w:val="0"/>
                <w:sz w:val="20"/>
                <w:szCs w:val="20"/>
                <w:u w:val="none"/>
                <w:lang w:val="en-US" w:eastAsia="zh-CN" w:bidi="ar"/>
              </w:rPr>
              <w:t>建设期防治措施完善后水土流失量（t）</w:t>
            </w:r>
          </w:p>
        </w:tc>
        <w:tc>
          <w:tcPr>
            <w:tcW w:w="74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color w:val="000000"/>
                <w:sz w:val="20"/>
                <w:szCs w:val="20"/>
                <w:highlight w:val="none"/>
              </w:rPr>
            </w:pPr>
            <w:r>
              <w:rPr>
                <w:rFonts w:hint="default" w:ascii="Times New Roman" w:hAnsi="Times New Roman" w:eastAsia="仿宋_GB2312" w:cs="Times New Roman"/>
                <w:i w:val="0"/>
                <w:iCs w:val="0"/>
                <w:color w:val="000000"/>
                <w:kern w:val="0"/>
                <w:sz w:val="20"/>
                <w:szCs w:val="20"/>
                <w:u w:val="none"/>
                <w:lang w:val="en-US" w:eastAsia="zh-CN" w:bidi="ar"/>
              </w:rPr>
              <w:t>水土流失减少量（t）</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8"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rPr>
                <w:rFonts w:hint="default" w:ascii="Times New Roman" w:hAnsi="Times New Roman" w:eastAsia="仿宋_GB2312" w:cs="Times New Roman"/>
                <w:color w:val="000000"/>
                <w:sz w:val="20"/>
                <w:szCs w:val="20"/>
                <w:highlight w:val="none"/>
                <w:lang w:val="en-US" w:eastAsia="zh-CN"/>
              </w:rPr>
            </w:pPr>
            <w:r>
              <w:rPr>
                <w:rFonts w:hint="default" w:ascii="Times New Roman" w:hAnsi="Times New Roman" w:eastAsia="仿宋_GB2312" w:cs="Times New Roman"/>
                <w:color w:val="000000"/>
                <w:sz w:val="20"/>
                <w:szCs w:val="20"/>
                <w:highlight w:val="none"/>
                <w:lang w:val="en-US" w:eastAsia="zh-CN"/>
              </w:rPr>
              <w:t>工程建设区</w:t>
            </w:r>
          </w:p>
        </w:tc>
        <w:tc>
          <w:tcPr>
            <w:tcW w:w="95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color w:val="000000"/>
                <w:sz w:val="20"/>
                <w:szCs w:val="20"/>
                <w:highlight w:val="none"/>
              </w:rPr>
            </w:pPr>
            <w:r>
              <w:rPr>
                <w:rFonts w:hint="default" w:ascii="Times New Roman" w:hAnsi="Times New Roman" w:eastAsia="仿宋_GB2312" w:cs="Times New Roman"/>
                <w:sz w:val="20"/>
                <w:szCs w:val="20"/>
                <w:lang w:val="en-US" w:eastAsia="zh-CN"/>
              </w:rPr>
              <w:t>建构筑物区</w:t>
            </w:r>
          </w:p>
        </w:tc>
        <w:tc>
          <w:tcPr>
            <w:tcW w:w="9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color w:val="000000"/>
                <w:sz w:val="20"/>
                <w:szCs w:val="20"/>
                <w:highlight w:val="none"/>
                <w:lang w:val="en-US" w:eastAsia="zh-CN"/>
              </w:rPr>
            </w:pPr>
            <w:r>
              <w:rPr>
                <w:rFonts w:hint="eastAsia" w:eastAsia="仿宋_GB2312" w:cs="Times New Roman"/>
                <w:sz w:val="20"/>
                <w:szCs w:val="20"/>
                <w:lang w:val="en-US" w:eastAsia="zh-CN"/>
              </w:rPr>
              <w:t>8.00</w:t>
            </w:r>
          </w:p>
        </w:tc>
        <w:tc>
          <w:tcPr>
            <w:tcW w:w="14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eastAsia="仿宋_GB2312" w:cs="Times New Roman"/>
                <w:sz w:val="20"/>
                <w:szCs w:val="20"/>
                <w:lang w:val="en-US" w:eastAsia="zh-CN"/>
              </w:rPr>
            </w:pPr>
            <w:r>
              <w:rPr>
                <w:rFonts w:hint="default" w:eastAsia="仿宋_GB2312" w:cs="Times New Roman"/>
                <w:sz w:val="20"/>
                <w:szCs w:val="20"/>
                <w:lang w:val="en-US" w:eastAsia="zh-CN"/>
              </w:rPr>
              <w:t xml:space="preserve">480.25 </w:t>
            </w:r>
          </w:p>
        </w:tc>
        <w:tc>
          <w:tcPr>
            <w:tcW w:w="167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eastAsia="仿宋_GB2312" w:cs="Times New Roman"/>
                <w:sz w:val="20"/>
                <w:szCs w:val="20"/>
                <w:lang w:val="en-US" w:eastAsia="zh-CN"/>
              </w:rPr>
            </w:pPr>
            <w:r>
              <w:rPr>
                <w:rFonts w:hint="default" w:eastAsia="仿宋_GB2312" w:cs="Times New Roman"/>
                <w:sz w:val="20"/>
                <w:szCs w:val="20"/>
                <w:lang w:val="en-US" w:eastAsia="zh-CN"/>
              </w:rPr>
              <w:t xml:space="preserve">24.01 </w:t>
            </w:r>
          </w:p>
        </w:tc>
        <w:tc>
          <w:tcPr>
            <w:tcW w:w="12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eastAsia="仿宋_GB2312" w:cs="Times New Roman"/>
                <w:sz w:val="20"/>
                <w:szCs w:val="20"/>
                <w:lang w:val="en-US" w:eastAsia="zh-CN"/>
              </w:rPr>
            </w:pPr>
            <w:r>
              <w:rPr>
                <w:rFonts w:hint="default" w:eastAsia="仿宋_GB2312" w:cs="Times New Roman"/>
                <w:sz w:val="20"/>
                <w:szCs w:val="20"/>
                <w:lang w:val="en-US" w:eastAsia="zh-CN"/>
              </w:rPr>
              <w:t xml:space="preserve">456.24 </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8"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rPr>
                <w:rFonts w:hint="default" w:ascii="Times New Roman" w:hAnsi="Times New Roman" w:eastAsia="仿宋_GB2312" w:cs="Times New Roman"/>
                <w:color w:val="000000"/>
                <w:sz w:val="20"/>
                <w:szCs w:val="20"/>
                <w:highlight w:val="none"/>
                <w:lang w:val="en-US" w:eastAsia="zh-CN"/>
              </w:rPr>
            </w:pPr>
          </w:p>
        </w:tc>
        <w:tc>
          <w:tcPr>
            <w:tcW w:w="95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color w:val="000000"/>
                <w:sz w:val="20"/>
                <w:szCs w:val="20"/>
                <w:highlight w:val="none"/>
                <w:lang w:val="en-US" w:eastAsia="zh-CN"/>
              </w:rPr>
            </w:pPr>
            <w:r>
              <w:rPr>
                <w:rFonts w:hint="default" w:ascii="Times New Roman" w:hAnsi="Times New Roman" w:eastAsia="仿宋_GB2312" w:cs="Times New Roman"/>
                <w:sz w:val="20"/>
                <w:szCs w:val="20"/>
                <w:lang w:val="en-US" w:eastAsia="zh-CN"/>
              </w:rPr>
              <w:t>道路及硬化区</w:t>
            </w:r>
          </w:p>
        </w:tc>
        <w:tc>
          <w:tcPr>
            <w:tcW w:w="9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20"/>
                <w:szCs w:val="20"/>
                <w:highlight w:val="none"/>
                <w:lang w:val="en-US" w:eastAsia="zh-CN"/>
              </w:rPr>
            </w:pPr>
            <w:r>
              <w:rPr>
                <w:rFonts w:hint="eastAsia" w:eastAsia="仿宋_GB2312" w:cs="Times New Roman"/>
                <w:sz w:val="20"/>
                <w:szCs w:val="20"/>
                <w:lang w:val="en-US" w:eastAsia="zh-CN"/>
              </w:rPr>
              <w:t>7.99</w:t>
            </w:r>
          </w:p>
        </w:tc>
        <w:tc>
          <w:tcPr>
            <w:tcW w:w="14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eastAsia="仿宋_GB2312" w:cs="Times New Roman"/>
                <w:sz w:val="20"/>
                <w:szCs w:val="20"/>
                <w:lang w:val="en-US" w:eastAsia="zh-CN"/>
              </w:rPr>
            </w:pPr>
            <w:r>
              <w:rPr>
                <w:rFonts w:hint="default" w:eastAsia="仿宋_GB2312" w:cs="Times New Roman"/>
                <w:sz w:val="20"/>
                <w:szCs w:val="20"/>
                <w:lang w:val="en-US" w:eastAsia="zh-CN"/>
              </w:rPr>
              <w:t xml:space="preserve">638.86 </w:t>
            </w:r>
          </w:p>
        </w:tc>
        <w:tc>
          <w:tcPr>
            <w:tcW w:w="167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eastAsia="仿宋_GB2312" w:cs="Times New Roman"/>
                <w:sz w:val="20"/>
                <w:szCs w:val="20"/>
                <w:lang w:val="en-US" w:eastAsia="zh-CN"/>
              </w:rPr>
            </w:pPr>
            <w:r>
              <w:rPr>
                <w:rFonts w:hint="default" w:eastAsia="仿宋_GB2312" w:cs="Times New Roman"/>
                <w:sz w:val="20"/>
                <w:szCs w:val="20"/>
                <w:lang w:val="en-US" w:eastAsia="zh-CN"/>
              </w:rPr>
              <w:t xml:space="preserve">31.94 </w:t>
            </w:r>
          </w:p>
        </w:tc>
        <w:tc>
          <w:tcPr>
            <w:tcW w:w="12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eastAsia="仿宋_GB2312" w:cs="Times New Roman"/>
                <w:sz w:val="20"/>
                <w:szCs w:val="20"/>
                <w:lang w:val="en-US" w:eastAsia="zh-CN"/>
              </w:rPr>
            </w:pPr>
            <w:r>
              <w:rPr>
                <w:rFonts w:hint="default" w:eastAsia="仿宋_GB2312" w:cs="Times New Roman"/>
                <w:sz w:val="20"/>
                <w:szCs w:val="20"/>
                <w:lang w:val="en-US" w:eastAsia="zh-CN"/>
              </w:rPr>
              <w:t xml:space="preserve">606.92 </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8"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rPr>
                <w:rFonts w:hint="default" w:ascii="Times New Roman" w:hAnsi="Times New Roman" w:eastAsia="仿宋_GB2312" w:cs="Times New Roman"/>
                <w:color w:val="000000"/>
                <w:sz w:val="20"/>
                <w:szCs w:val="20"/>
                <w:highlight w:val="none"/>
              </w:rPr>
            </w:pPr>
          </w:p>
        </w:tc>
        <w:tc>
          <w:tcPr>
            <w:tcW w:w="95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color w:val="000000"/>
                <w:sz w:val="20"/>
                <w:szCs w:val="20"/>
                <w:highlight w:val="none"/>
              </w:rPr>
            </w:pPr>
            <w:r>
              <w:rPr>
                <w:rFonts w:hint="default" w:ascii="Times New Roman" w:hAnsi="Times New Roman" w:eastAsia="仿宋_GB2312" w:cs="Times New Roman"/>
                <w:sz w:val="20"/>
                <w:szCs w:val="20"/>
                <w:lang w:val="en-US" w:eastAsia="zh-CN"/>
              </w:rPr>
              <w:t>绿化区</w:t>
            </w:r>
          </w:p>
        </w:tc>
        <w:tc>
          <w:tcPr>
            <w:tcW w:w="9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i w:val="0"/>
                <w:iCs w:val="0"/>
                <w:color w:val="000000"/>
                <w:kern w:val="2"/>
                <w:sz w:val="20"/>
                <w:szCs w:val="20"/>
                <w:u w:val="none"/>
                <w:lang w:val="en-US" w:eastAsia="zh-CN" w:bidi="ar-SA"/>
              </w:rPr>
            </w:pPr>
            <w:r>
              <w:rPr>
                <w:rFonts w:hint="eastAsia" w:eastAsia="仿宋_GB2312" w:cs="Times New Roman"/>
                <w:sz w:val="20"/>
                <w:szCs w:val="20"/>
                <w:lang w:val="en-US" w:eastAsia="zh-CN"/>
              </w:rPr>
              <w:t>3.99</w:t>
            </w:r>
          </w:p>
        </w:tc>
        <w:tc>
          <w:tcPr>
            <w:tcW w:w="14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eastAsia="仿宋_GB2312" w:cs="Times New Roman"/>
                <w:sz w:val="20"/>
                <w:szCs w:val="20"/>
                <w:lang w:val="en-US" w:eastAsia="zh-CN"/>
              </w:rPr>
            </w:pPr>
            <w:r>
              <w:rPr>
                <w:rFonts w:hint="default" w:eastAsia="仿宋_GB2312" w:cs="Times New Roman"/>
                <w:sz w:val="20"/>
                <w:szCs w:val="20"/>
                <w:lang w:val="en-US" w:eastAsia="zh-CN"/>
              </w:rPr>
              <w:t xml:space="preserve">39.93 </w:t>
            </w:r>
          </w:p>
        </w:tc>
        <w:tc>
          <w:tcPr>
            <w:tcW w:w="167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eastAsia="仿宋_GB2312" w:cs="Times New Roman"/>
                <w:sz w:val="20"/>
                <w:szCs w:val="20"/>
                <w:lang w:val="en-US" w:eastAsia="zh-CN"/>
              </w:rPr>
            </w:pPr>
            <w:r>
              <w:rPr>
                <w:rFonts w:hint="default" w:eastAsia="仿宋_GB2312" w:cs="Times New Roman"/>
                <w:sz w:val="20"/>
                <w:szCs w:val="20"/>
                <w:lang w:val="en-US" w:eastAsia="zh-CN"/>
              </w:rPr>
              <w:t xml:space="preserve">2.00 </w:t>
            </w:r>
          </w:p>
        </w:tc>
        <w:tc>
          <w:tcPr>
            <w:tcW w:w="12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eastAsia="仿宋_GB2312" w:cs="Times New Roman"/>
                <w:sz w:val="20"/>
                <w:szCs w:val="20"/>
                <w:lang w:val="en-US" w:eastAsia="zh-CN"/>
              </w:rPr>
            </w:pPr>
            <w:r>
              <w:rPr>
                <w:rFonts w:hint="default" w:eastAsia="仿宋_GB2312" w:cs="Times New Roman"/>
                <w:sz w:val="20"/>
                <w:szCs w:val="20"/>
                <w:lang w:val="en-US" w:eastAsia="zh-CN"/>
              </w:rPr>
              <w:t xml:space="preserve">37.94 </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9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rPr>
                <w:rFonts w:hint="default" w:ascii="Times New Roman" w:hAnsi="Times New Roman" w:eastAsia="仿宋_GB2312" w:cs="Times New Roman"/>
                <w:color w:val="000000"/>
                <w:sz w:val="20"/>
                <w:szCs w:val="20"/>
                <w:highlight w:val="none"/>
                <w:lang w:val="en-US" w:eastAsia="zh-CN"/>
              </w:rPr>
            </w:pPr>
            <w:r>
              <w:rPr>
                <w:rFonts w:hint="default" w:ascii="Times New Roman" w:hAnsi="Times New Roman" w:eastAsia="仿宋_GB2312" w:cs="Times New Roman"/>
                <w:color w:val="000000"/>
                <w:sz w:val="20"/>
                <w:szCs w:val="20"/>
                <w:highlight w:val="none"/>
                <w:lang w:val="en-US" w:eastAsia="zh-CN"/>
              </w:rPr>
              <w:t>合计</w:t>
            </w:r>
          </w:p>
        </w:tc>
        <w:tc>
          <w:tcPr>
            <w:tcW w:w="9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i w:val="0"/>
                <w:iCs w:val="0"/>
                <w:color w:val="000000"/>
                <w:kern w:val="0"/>
                <w:sz w:val="20"/>
                <w:szCs w:val="20"/>
                <w:u w:val="none"/>
                <w:lang w:val="en-US" w:eastAsia="zh-CN" w:bidi="ar"/>
              </w:rPr>
            </w:pPr>
            <w:r>
              <w:rPr>
                <w:rFonts w:hint="eastAsia" w:eastAsia="仿宋_GB2312" w:cs="Times New Roman"/>
                <w:sz w:val="20"/>
                <w:szCs w:val="20"/>
                <w:lang w:val="en-US" w:eastAsia="zh-CN"/>
              </w:rPr>
              <w:t>19.98</w:t>
            </w:r>
          </w:p>
        </w:tc>
        <w:tc>
          <w:tcPr>
            <w:tcW w:w="14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eastAsia="仿宋_GB2312" w:cs="Times New Roman"/>
                <w:sz w:val="20"/>
                <w:szCs w:val="20"/>
                <w:lang w:val="en-US" w:eastAsia="zh-CN"/>
              </w:rPr>
            </w:pPr>
            <w:r>
              <w:rPr>
                <w:rFonts w:hint="default" w:eastAsia="仿宋_GB2312" w:cs="Times New Roman"/>
                <w:sz w:val="20"/>
                <w:szCs w:val="20"/>
                <w:lang w:val="en-US" w:eastAsia="zh-CN"/>
              </w:rPr>
              <w:t xml:space="preserve">1159.05 </w:t>
            </w:r>
          </w:p>
        </w:tc>
        <w:tc>
          <w:tcPr>
            <w:tcW w:w="167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eastAsia="仿宋_GB2312" w:cs="Times New Roman"/>
                <w:sz w:val="20"/>
                <w:szCs w:val="20"/>
                <w:lang w:val="en-US" w:eastAsia="zh-CN"/>
              </w:rPr>
            </w:pPr>
            <w:r>
              <w:rPr>
                <w:rFonts w:hint="default" w:eastAsia="仿宋_GB2312" w:cs="Times New Roman"/>
                <w:sz w:val="20"/>
                <w:szCs w:val="20"/>
                <w:lang w:val="en-US" w:eastAsia="zh-CN"/>
              </w:rPr>
              <w:t xml:space="preserve">57.95 </w:t>
            </w:r>
          </w:p>
        </w:tc>
        <w:tc>
          <w:tcPr>
            <w:tcW w:w="12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eastAsia="仿宋_GB2312" w:cs="Times New Roman"/>
                <w:sz w:val="20"/>
                <w:szCs w:val="20"/>
                <w:lang w:val="en-US" w:eastAsia="zh-CN"/>
              </w:rPr>
            </w:pPr>
            <w:r>
              <w:rPr>
                <w:rFonts w:hint="default" w:eastAsia="仿宋_GB2312" w:cs="Times New Roman"/>
                <w:sz w:val="20"/>
                <w:szCs w:val="20"/>
                <w:lang w:val="en-US" w:eastAsia="zh-CN"/>
              </w:rPr>
              <w:t xml:space="preserve">1101.10 </w:t>
            </w:r>
          </w:p>
        </w:tc>
      </w:tr>
    </w:tbl>
    <w:p>
      <w:pPr>
        <w:pageBreakBefore w:val="0"/>
        <w:kinsoku/>
        <w:wordWrap/>
        <w:bidi w:val="0"/>
        <w:spacing w:line="360" w:lineRule="auto"/>
        <w:ind w:firstLine="561"/>
        <w:rPr>
          <w:rFonts w:hint="default" w:ascii="Times New Roman" w:hAnsi="Times New Roman" w:eastAsia="仿宋_GB2312" w:cs="Times New Roman"/>
          <w:sz w:val="24"/>
          <w:highlight w:val="none"/>
        </w:rPr>
      </w:pPr>
    </w:p>
    <w:p>
      <w:pPr>
        <w:pStyle w:val="153"/>
        <w:pageBreakBefore w:val="0"/>
        <w:kinsoku/>
        <w:wordWrap/>
        <w:bidi w:val="0"/>
        <w:rPr>
          <w:rFonts w:hint="default" w:ascii="Times New Roman" w:hAnsi="Times New Roman" w:eastAsia="仿宋_GB2312" w:cs="Times New Roman"/>
          <w:sz w:val="24"/>
          <w:highlight w:val="none"/>
        </w:rPr>
      </w:pPr>
    </w:p>
    <w:p>
      <w:pPr>
        <w:pageBreakBefore w:val="0"/>
        <w:kinsoku/>
        <w:wordWrap/>
        <w:bidi w:val="0"/>
        <w:spacing w:line="360" w:lineRule="auto"/>
        <w:ind w:firstLine="561"/>
        <w:rPr>
          <w:rFonts w:hint="default" w:ascii="Times New Roman" w:hAnsi="Times New Roman" w:eastAsia="仿宋_GB2312" w:cs="Times New Roman"/>
          <w:sz w:val="24"/>
          <w:highlight w:val="none"/>
        </w:rPr>
        <w:sectPr>
          <w:headerReference r:id="rId26" w:type="default"/>
          <w:footerReference r:id="rId27" w:type="default"/>
          <w:pgSz w:w="11906" w:h="16838"/>
          <w:pgMar w:top="1440" w:right="1701" w:bottom="1440" w:left="1797" w:header="851" w:footer="992" w:gutter="0"/>
          <w:pgBorders>
            <w:top w:val="none" w:sz="0" w:space="0"/>
            <w:left w:val="none" w:sz="0" w:space="0"/>
            <w:bottom w:val="none" w:sz="0" w:space="0"/>
            <w:right w:val="none" w:sz="0" w:space="0"/>
          </w:pgBorders>
          <w:pgNumType w:fmt="decimal"/>
          <w:cols w:space="720" w:num="1"/>
          <w:docGrid w:type="lines" w:linePitch="312" w:charSpace="0"/>
        </w:sectPr>
      </w:pPr>
    </w:p>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pPr>
        <w:pStyle w:val="4"/>
        <w:keepNext/>
        <w:keepLines/>
        <w:pageBreakBefore w:val="0"/>
        <w:widowControl w:val="0"/>
        <w:kinsoku/>
        <w:wordWrap/>
        <w:overflowPunct/>
        <w:topLinePunct w:val="0"/>
        <w:autoSpaceDE/>
        <w:autoSpaceDN/>
        <w:bidi w:val="0"/>
        <w:adjustRightInd/>
        <w:snapToGrid/>
        <w:spacing w:after="0" w:afterLines="0" w:line="240" w:lineRule="auto"/>
        <w:textAlignment w:val="auto"/>
        <w:rPr>
          <w:rFonts w:hint="default" w:ascii="Times New Roman" w:hAnsi="Times New Roman" w:eastAsia="微软雅黑" w:cs="Times New Roman"/>
          <w:b w:val="0"/>
          <w:bCs w:val="0"/>
        </w:rPr>
      </w:pPr>
      <w:bookmarkStart w:id="420" w:name="_Toc29032"/>
      <w:r>
        <w:rPr>
          <w:rFonts w:hint="default" w:ascii="Times New Roman" w:hAnsi="Times New Roman" w:eastAsia="微软雅黑" w:cs="Times New Roman"/>
          <w:b w:val="0"/>
          <w:bCs w:val="0"/>
        </w:rPr>
        <mc:AlternateContent>
          <mc:Choice Requires="wps">
            <w:drawing>
              <wp:anchor distT="0" distB="0" distL="114300" distR="114300" simplePos="0" relativeHeight="251682816" behindDoc="0" locked="0" layoutInCell="0" allowOverlap="1">
                <wp:simplePos x="0" y="0"/>
                <wp:positionH relativeFrom="page">
                  <wp:posOffset>1141095</wp:posOffset>
                </wp:positionH>
                <wp:positionV relativeFrom="page">
                  <wp:posOffset>751205</wp:posOffset>
                </wp:positionV>
                <wp:extent cx="5278755" cy="9525"/>
                <wp:effectExtent l="0" t="0" r="0" b="0"/>
                <wp:wrapNone/>
                <wp:docPr id="150" name="任意多边形 150"/>
                <wp:cNvGraphicFramePr/>
                <a:graphic xmlns:a="http://schemas.openxmlformats.org/drawingml/2006/main">
                  <a:graphicData uri="http://schemas.microsoft.com/office/word/2010/wordprocessingShape">
                    <wps:wsp>
                      <wps:cNvSpPr/>
                      <wps:spPr>
                        <a:xfrm>
                          <a:off x="0" y="0"/>
                          <a:ext cx="5278755" cy="9525"/>
                        </a:xfrm>
                        <a:custGeom>
                          <a:avLst/>
                          <a:gdLst/>
                          <a:ahLst/>
                          <a:cxnLst/>
                          <a:pathLst>
                            <a:path w="8312" h="15">
                              <a:moveTo>
                                <a:pt x="0" y="0"/>
                              </a:moveTo>
                              <a:lnTo>
                                <a:pt x="8312" y="0"/>
                              </a:lnTo>
                              <a:lnTo>
                                <a:pt x="8312"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9.85pt;margin-top:59.15pt;height:0.75pt;width:415.65pt;mso-position-horizontal-relative:page;mso-position-vertical-relative:page;z-index:251682816;mso-width-relative:page;mso-height-relative:page;" fillcolor="#000000" filled="t" stroked="f" coordsize="8312,15" o:allowincell="f" o:gfxdata="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CUmpvaAAAADAEAAA8AAAAA&#10;AAAAAQAgAAAAIgAAAGRycy9kb3ducmV2LnhtbFBLAQIUABQAAAAIAIdO4kCHAMPxEgIAAH8EAAAO&#10;AAAAAAAAAAEAIAAAACkBAABkcnMvZTJvRG9jLnhtbFBLBQYAAAAABgAGAFkBAACtBQAAAAA=&#10;" path="m0,0l8312,0,8312,14,0,14,0,0xe">
                <v:fill on="t" focussize="0,0"/>
                <v:stroke on="f"/>
                <v:imagedata o:title=""/>
                <o:lock v:ext="edit" aspectratio="f"/>
              </v:shape>
            </w:pict>
          </mc:Fallback>
        </mc:AlternateContent>
      </w:r>
      <w:bookmarkStart w:id="421" w:name="_bookmark44"/>
      <w:bookmarkEnd w:id="421"/>
      <w:r>
        <w:rPr>
          <w:rFonts w:hint="default" w:ascii="Times New Roman" w:hAnsi="Times New Roman" w:eastAsia="微软雅黑" w:cs="Times New Roman"/>
          <w:b w:val="0"/>
          <w:bCs w:val="0"/>
        </w:rPr>
        <w:t>8.水土保持管理</w:t>
      </w:r>
      <w:bookmarkEnd w:id="420"/>
    </w:p>
    <w:p>
      <w:pPr>
        <w:pStyle w:val="5"/>
        <w:pageBreakBefore w:val="0"/>
        <w:kinsoku/>
        <w:wordWrap/>
        <w:bidi w:val="0"/>
        <w:rPr>
          <w:rFonts w:hint="default" w:ascii="Times New Roman" w:hAnsi="Times New Roman" w:eastAsia="仿宋_GB2312" w:cs="Times New Roman"/>
          <w:b/>
          <w:bCs/>
        </w:rPr>
      </w:pPr>
      <w:bookmarkStart w:id="422" w:name="_bookmark45"/>
      <w:bookmarkEnd w:id="422"/>
      <w:bookmarkStart w:id="423" w:name="_Toc11165"/>
      <w:r>
        <w:rPr>
          <w:rFonts w:hint="default" w:ascii="Times New Roman" w:hAnsi="Times New Roman" w:eastAsia="仿宋_GB2312" w:cs="Times New Roman"/>
          <w:b/>
          <w:bCs/>
        </w:rPr>
        <w:t>8.1组织管理</w:t>
      </w:r>
      <w:bookmarkEnd w:id="423"/>
    </w:p>
    <w:p>
      <w:pPr>
        <w:pStyle w:val="16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仿宋_GB2312" w:cs="Times New Roman"/>
          <w:bCs/>
          <w:iCs/>
          <w:color w:val="auto"/>
          <w:sz w:val="24"/>
          <w:szCs w:val="24"/>
        </w:rPr>
      </w:pPr>
      <w:r>
        <w:rPr>
          <w:rFonts w:hint="default" w:ascii="Times New Roman" w:hAnsi="Times New Roman" w:eastAsia="仿宋_GB2312" w:cs="Times New Roman"/>
          <w:bCs/>
          <w:iCs/>
          <w:color w:val="auto"/>
          <w:sz w:val="24"/>
          <w:szCs w:val="24"/>
        </w:rPr>
        <w:t>本项目</w:t>
      </w:r>
      <w:r>
        <w:rPr>
          <w:rFonts w:hint="eastAsia" w:ascii="Times New Roman" w:hAnsi="Times New Roman" w:eastAsia="仿宋_GB2312" w:cs="Times New Roman"/>
          <w:bCs/>
          <w:iCs/>
          <w:color w:val="auto"/>
          <w:sz w:val="24"/>
          <w:szCs w:val="24"/>
          <w:lang w:val="en-US" w:eastAsia="zh-CN"/>
        </w:rPr>
        <w:t>法人单位</w:t>
      </w:r>
      <w:r>
        <w:rPr>
          <w:rFonts w:hint="default" w:ascii="Times New Roman" w:hAnsi="Times New Roman" w:eastAsia="仿宋_GB2312" w:cs="Times New Roman"/>
          <w:bCs/>
          <w:iCs/>
          <w:color w:val="auto"/>
          <w:sz w:val="24"/>
          <w:szCs w:val="24"/>
        </w:rPr>
        <w:t>为长春市瑞通投资有限公司，本方案由项目建设单位组织实施，建设单位应当严格落实人为水土流失防治的主体责任，</w:t>
      </w:r>
      <w:r>
        <w:rPr>
          <w:rFonts w:hint="eastAsia" w:ascii="Times New Roman" w:hAnsi="Times New Roman" w:eastAsia="仿宋_GB2312" w:cs="Times New Roman"/>
          <w:bCs/>
          <w:iCs/>
          <w:color w:val="auto"/>
          <w:sz w:val="24"/>
          <w:szCs w:val="24"/>
          <w:lang w:eastAsia="zh-CN"/>
        </w:rPr>
        <w:t>严格</w:t>
      </w:r>
      <w:r>
        <w:rPr>
          <w:rFonts w:hint="eastAsia" w:ascii="Times New Roman" w:hAnsi="Times New Roman" w:eastAsia="仿宋_GB2312" w:cs="Times New Roman"/>
          <w:bCs/>
          <w:iCs/>
          <w:color w:val="auto"/>
          <w:sz w:val="24"/>
          <w:szCs w:val="24"/>
          <w:lang w:val="en-US" w:eastAsia="zh-CN"/>
        </w:rPr>
        <w:t>落实</w:t>
      </w:r>
      <w:r>
        <w:rPr>
          <w:rFonts w:hint="eastAsia" w:ascii="Times New Roman" w:hAnsi="Times New Roman" w:eastAsia="仿宋_GB2312" w:cs="Times New Roman"/>
          <w:bCs/>
          <w:iCs/>
          <w:color w:val="auto"/>
          <w:sz w:val="24"/>
          <w:szCs w:val="24"/>
          <w:lang w:eastAsia="zh-CN"/>
        </w:rPr>
        <w:t>相关法律法规、规章制度、技术标准规范、规程以及有关文件规定，加强全过程水土保持管理，认真做好水土保持相关工作。</w:t>
      </w:r>
      <w:r>
        <w:rPr>
          <w:rFonts w:hint="default" w:ascii="Times New Roman" w:hAnsi="Times New Roman" w:eastAsia="仿宋_GB2312" w:cs="Times New Roman"/>
          <w:bCs/>
          <w:iCs/>
          <w:color w:val="auto"/>
          <w:sz w:val="24"/>
          <w:szCs w:val="24"/>
        </w:rPr>
        <w:t>建设单位</w:t>
      </w:r>
      <w:r>
        <w:rPr>
          <w:rFonts w:hint="eastAsia" w:ascii="Times New Roman" w:hAnsi="Times New Roman" w:eastAsia="仿宋_GB2312" w:cs="Times New Roman"/>
          <w:bCs/>
          <w:iCs/>
          <w:color w:val="auto"/>
          <w:sz w:val="24"/>
          <w:szCs w:val="24"/>
          <w:lang w:val="en-US" w:eastAsia="zh-CN"/>
        </w:rPr>
        <w:t>应当</w:t>
      </w:r>
      <w:r>
        <w:rPr>
          <w:rFonts w:hint="default" w:ascii="Times New Roman" w:hAnsi="Times New Roman" w:eastAsia="仿宋_GB2312" w:cs="Times New Roman"/>
          <w:bCs/>
          <w:iCs/>
          <w:color w:val="auto"/>
          <w:sz w:val="24"/>
          <w:szCs w:val="24"/>
        </w:rPr>
        <w:t>加强领导和组织管理，</w:t>
      </w:r>
      <w:r>
        <w:rPr>
          <w:rFonts w:hint="eastAsia" w:ascii="Times New Roman" w:hAnsi="Times New Roman" w:eastAsia="仿宋_GB2312" w:cs="Times New Roman"/>
          <w:bCs/>
          <w:iCs/>
          <w:color w:val="auto"/>
          <w:sz w:val="24"/>
          <w:szCs w:val="24"/>
          <w:lang w:val="en-US" w:eastAsia="zh-CN"/>
        </w:rPr>
        <w:t>建立专门的</w:t>
      </w:r>
      <w:r>
        <w:rPr>
          <w:rFonts w:hint="default" w:ascii="Times New Roman" w:hAnsi="Times New Roman" w:eastAsia="仿宋_GB2312" w:cs="Times New Roman"/>
          <w:bCs/>
          <w:iCs/>
          <w:color w:val="auto"/>
          <w:sz w:val="24"/>
          <w:szCs w:val="24"/>
        </w:rPr>
        <w:t>水土保持方案</w:t>
      </w:r>
      <w:r>
        <w:rPr>
          <w:rFonts w:hint="eastAsia" w:ascii="Times New Roman" w:hAnsi="Times New Roman" w:eastAsia="仿宋_GB2312" w:cs="Times New Roman"/>
          <w:bCs/>
          <w:iCs/>
          <w:color w:val="auto"/>
          <w:sz w:val="24"/>
          <w:szCs w:val="24"/>
          <w:lang w:val="en-US" w:eastAsia="zh-CN"/>
        </w:rPr>
        <w:t>管理</w:t>
      </w:r>
      <w:r>
        <w:rPr>
          <w:rFonts w:hint="default" w:ascii="Times New Roman" w:hAnsi="Times New Roman" w:eastAsia="仿宋_GB2312" w:cs="Times New Roman"/>
          <w:bCs/>
          <w:iCs/>
          <w:color w:val="auto"/>
          <w:sz w:val="24"/>
          <w:szCs w:val="24"/>
        </w:rPr>
        <w:t>机构，</w:t>
      </w:r>
      <w:r>
        <w:rPr>
          <w:rFonts w:hint="eastAsia" w:ascii="Times New Roman" w:hAnsi="Times New Roman" w:eastAsia="仿宋_GB2312" w:cs="Times New Roman"/>
          <w:bCs/>
          <w:iCs/>
          <w:color w:val="auto"/>
          <w:sz w:val="24"/>
          <w:szCs w:val="24"/>
          <w:lang w:val="en-US" w:eastAsia="zh-CN"/>
        </w:rPr>
        <w:t>并</w:t>
      </w:r>
      <w:r>
        <w:rPr>
          <w:rFonts w:hint="default" w:ascii="Times New Roman" w:hAnsi="Times New Roman" w:eastAsia="仿宋_GB2312" w:cs="Times New Roman"/>
          <w:bCs/>
          <w:iCs/>
          <w:color w:val="auto"/>
          <w:sz w:val="24"/>
          <w:szCs w:val="24"/>
        </w:rPr>
        <w:t>设置专人负责水土保持工作，落实“项目法人制、招投标制和施工监理制”；制定方案施行的目标责任制和施行、检查、验收的具体办法和要求，建立健全水土保持管理的规章制度，建立水土保持工程档案，落实建设单位防治责任；并从施工招投标入手，落实施工单位</w:t>
      </w:r>
      <w:r>
        <w:rPr>
          <w:rFonts w:hint="eastAsia" w:ascii="Times New Roman" w:hAnsi="Times New Roman" w:eastAsia="仿宋_GB2312" w:cs="Times New Roman"/>
          <w:bCs/>
          <w:iCs/>
          <w:color w:val="auto"/>
          <w:sz w:val="24"/>
          <w:szCs w:val="24"/>
          <w:lang w:val="en-US" w:eastAsia="zh-CN"/>
        </w:rPr>
        <w:t>水土流失</w:t>
      </w:r>
      <w:r>
        <w:rPr>
          <w:rFonts w:hint="default" w:ascii="Times New Roman" w:hAnsi="Times New Roman" w:eastAsia="仿宋_GB2312" w:cs="Times New Roman"/>
          <w:bCs/>
          <w:iCs/>
          <w:color w:val="auto"/>
          <w:sz w:val="24"/>
          <w:szCs w:val="24"/>
        </w:rPr>
        <w:t>防治</w:t>
      </w:r>
      <w:r>
        <w:rPr>
          <w:rFonts w:hint="eastAsia" w:ascii="Times New Roman" w:hAnsi="Times New Roman" w:eastAsia="仿宋_GB2312" w:cs="Times New Roman"/>
          <w:bCs/>
          <w:iCs/>
          <w:color w:val="auto"/>
          <w:sz w:val="24"/>
          <w:szCs w:val="24"/>
          <w:lang w:val="en-US" w:eastAsia="zh-CN"/>
        </w:rPr>
        <w:t>主要</w:t>
      </w:r>
      <w:r>
        <w:rPr>
          <w:rFonts w:hint="default" w:ascii="Times New Roman" w:hAnsi="Times New Roman" w:eastAsia="仿宋_GB2312" w:cs="Times New Roman"/>
          <w:bCs/>
          <w:iCs/>
          <w:color w:val="auto"/>
          <w:sz w:val="24"/>
          <w:szCs w:val="24"/>
        </w:rPr>
        <w:t>责任；应当督促水土保持方案编制、监测、监理、施工、验收等单位及其人员强化行业自律，自觉遵守信用管理规定，分别对其技术成果、工程施工过程和质量负责并承担相应责任，防范违法违规和失信问题发生</w:t>
      </w:r>
      <w:r>
        <w:rPr>
          <w:rFonts w:hint="eastAsia" w:ascii="Times New Roman" w:hAnsi="Times New Roman" w:eastAsia="仿宋_GB2312" w:cs="Times New Roman"/>
          <w:bCs/>
          <w:iCs/>
          <w:color w:val="auto"/>
          <w:sz w:val="24"/>
          <w:szCs w:val="24"/>
          <w:lang w:eastAsia="zh-CN"/>
        </w:rPr>
        <w:t>；</w:t>
      </w:r>
      <w:r>
        <w:rPr>
          <w:rFonts w:hint="default" w:ascii="Times New Roman" w:hAnsi="Times New Roman" w:eastAsia="仿宋_GB2312" w:cs="Times New Roman"/>
          <w:bCs/>
          <w:iCs/>
          <w:color w:val="auto"/>
          <w:sz w:val="24"/>
          <w:szCs w:val="24"/>
        </w:rPr>
        <w:t>接受水行政主管部门监督检查，确保各年度水土保持工程按方案设计落到实处。</w:t>
      </w:r>
    </w:p>
    <w:p>
      <w:pPr>
        <w:pStyle w:val="16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仿宋_GB2312" w:cs="Times New Roman"/>
          <w:bCs/>
          <w:iCs/>
          <w:color w:val="auto"/>
          <w:sz w:val="24"/>
          <w:szCs w:val="24"/>
        </w:rPr>
      </w:pPr>
      <w:r>
        <w:rPr>
          <w:rFonts w:hint="default" w:ascii="Times New Roman" w:hAnsi="Times New Roman" w:eastAsia="仿宋_GB2312" w:cs="Times New Roman"/>
          <w:bCs/>
          <w:iCs/>
          <w:color w:val="auto"/>
          <w:sz w:val="24"/>
          <w:szCs w:val="24"/>
          <w:lang w:eastAsia="zh-CN"/>
        </w:rPr>
        <w:t>本期项目</w:t>
      </w:r>
      <w:r>
        <w:rPr>
          <w:rFonts w:hint="default" w:ascii="Times New Roman" w:hAnsi="Times New Roman" w:eastAsia="仿宋_GB2312" w:cs="Times New Roman"/>
          <w:bCs/>
          <w:iCs/>
          <w:color w:val="auto"/>
          <w:sz w:val="24"/>
          <w:szCs w:val="24"/>
        </w:rPr>
        <w:t>各项水土保持措施投资纳入项目建设资金统一管理，并与主体工程建设资金同时调拨使用、同时施工、同时发挥效益，建设单位应积极开展工作，落实资金，保证方案施行。</w:t>
      </w:r>
    </w:p>
    <w:p>
      <w:pPr>
        <w:pStyle w:val="16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仿宋_GB2312" w:cs="Times New Roman"/>
          <w:bCs/>
          <w:iCs/>
          <w:color w:val="auto"/>
          <w:sz w:val="24"/>
          <w:szCs w:val="24"/>
        </w:rPr>
      </w:pPr>
      <w:r>
        <w:rPr>
          <w:rFonts w:hint="default" w:ascii="Times New Roman" w:hAnsi="Times New Roman" w:eastAsia="仿宋_GB2312" w:cs="Times New Roman"/>
          <w:bCs/>
          <w:iCs/>
          <w:color w:val="auto"/>
          <w:sz w:val="24"/>
          <w:szCs w:val="24"/>
        </w:rPr>
        <w:t>建设单位要做好资金使用管理，建立水土保持资金档案，进行专项管理，保证建设资金及时足额到位，保障水土保持工作顺利进行。水土保持设施验收时建设单位应就水土保持投资估算调整情况、分年度投资安排、资金到位情况和经费支出情况提出总结报告。</w:t>
      </w:r>
    </w:p>
    <w:p>
      <w:pPr>
        <w:pStyle w:val="16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napToGrid w:val="0"/>
          <w:color w:val="auto"/>
          <w:sz w:val="24"/>
          <w:szCs w:val="24"/>
        </w:rPr>
        <w:t>根据《生产建设项目水土保持方案管理办法》（水利部令第53号）</w:t>
      </w:r>
      <w:r>
        <w:rPr>
          <w:rFonts w:hint="eastAsia" w:ascii="Times New Roman" w:hAnsi="Times New Roman" w:eastAsia="仿宋_GB2312" w:cs="Times New Roman"/>
          <w:snapToGrid w:val="0"/>
          <w:color w:val="auto"/>
          <w:sz w:val="24"/>
          <w:szCs w:val="24"/>
          <w:lang w:val="en-US" w:eastAsia="zh-CN"/>
        </w:rPr>
        <w:t>以及</w:t>
      </w:r>
      <w:r>
        <w:rPr>
          <w:rFonts w:hint="default" w:ascii="Times New Roman" w:hAnsi="Times New Roman" w:eastAsia="仿宋_GB2312" w:cs="Times New Roman"/>
          <w:snapToGrid w:val="0"/>
          <w:color w:val="auto"/>
          <w:sz w:val="24"/>
          <w:szCs w:val="24"/>
        </w:rPr>
        <w:t>《水利部办公厅关于实施生产建设项目水土保持信用监管“两单”制度的通知》（办水保〔2020〕157号）</w:t>
      </w:r>
      <w:r>
        <w:rPr>
          <w:rFonts w:hint="eastAsia" w:ascii="Times New Roman" w:hAnsi="Times New Roman" w:eastAsia="仿宋_GB2312" w:cs="Times New Roman"/>
          <w:snapToGrid w:val="0"/>
          <w:color w:val="auto"/>
          <w:sz w:val="24"/>
          <w:szCs w:val="24"/>
          <w:lang w:val="en-US" w:eastAsia="zh-CN"/>
        </w:rPr>
        <w:t>等有关规定</w:t>
      </w:r>
      <w:r>
        <w:rPr>
          <w:rFonts w:hint="default" w:ascii="Times New Roman" w:hAnsi="Times New Roman" w:eastAsia="仿宋_GB2312" w:cs="Times New Roman"/>
          <w:snapToGrid w:val="0"/>
          <w:color w:val="auto"/>
          <w:sz w:val="24"/>
          <w:szCs w:val="24"/>
        </w:rPr>
        <w:t>，生产建设单位如</w:t>
      </w:r>
      <w:r>
        <w:rPr>
          <w:rFonts w:hint="eastAsia" w:ascii="Times New Roman" w:hAnsi="Times New Roman" w:eastAsia="仿宋_GB2312" w:cs="Times New Roman"/>
          <w:snapToGrid w:val="0"/>
          <w:color w:val="auto"/>
          <w:sz w:val="24"/>
          <w:szCs w:val="24"/>
          <w:lang w:val="en-US" w:eastAsia="zh-CN"/>
        </w:rPr>
        <w:t>存在</w:t>
      </w:r>
      <w:r>
        <w:rPr>
          <w:rFonts w:hint="default" w:ascii="Times New Roman" w:hAnsi="Times New Roman" w:eastAsia="仿宋_GB2312" w:cs="Times New Roman"/>
          <w:snapToGrid w:val="0"/>
          <w:color w:val="auto"/>
          <w:sz w:val="24"/>
          <w:szCs w:val="24"/>
        </w:rPr>
        <w:t>“未批先弃”“未验先投”的</w:t>
      </w:r>
      <w:r>
        <w:rPr>
          <w:rFonts w:hint="eastAsia" w:ascii="Times New Roman" w:hAnsi="Times New Roman" w:eastAsia="仿宋_GB2312" w:cs="Times New Roman"/>
          <w:snapToGrid w:val="0"/>
          <w:color w:val="auto"/>
          <w:sz w:val="24"/>
          <w:szCs w:val="24"/>
          <w:lang w:eastAsia="zh-CN"/>
        </w:rPr>
        <w:t>，</w:t>
      </w:r>
      <w:r>
        <w:rPr>
          <w:rFonts w:hint="default" w:ascii="Times New Roman" w:hAnsi="Times New Roman" w:eastAsia="仿宋_GB2312" w:cs="Times New Roman"/>
          <w:snapToGrid w:val="0"/>
          <w:color w:val="auto"/>
          <w:sz w:val="24"/>
          <w:szCs w:val="24"/>
        </w:rPr>
        <w:t>作出不实承诺或者未履行承诺的</w:t>
      </w:r>
      <w:r>
        <w:rPr>
          <w:rFonts w:hint="eastAsia" w:ascii="Times New Roman" w:hAnsi="Times New Roman" w:eastAsia="仿宋_GB2312" w:cs="Times New Roman"/>
          <w:snapToGrid w:val="0"/>
          <w:color w:val="auto"/>
          <w:sz w:val="24"/>
          <w:szCs w:val="24"/>
          <w:lang w:eastAsia="zh-CN"/>
        </w:rPr>
        <w:t>，</w:t>
      </w:r>
      <w:r>
        <w:rPr>
          <w:rFonts w:hint="default" w:ascii="Times New Roman" w:hAnsi="Times New Roman" w:eastAsia="仿宋_GB2312" w:cs="Times New Roman"/>
          <w:snapToGrid w:val="0"/>
          <w:color w:val="auto"/>
          <w:sz w:val="24"/>
          <w:szCs w:val="24"/>
        </w:rPr>
        <w:t>未按规定组织开展水土保持设计、监测、监理工作的</w:t>
      </w:r>
      <w:r>
        <w:rPr>
          <w:rFonts w:hint="eastAsia" w:ascii="Times New Roman" w:hAnsi="Times New Roman" w:eastAsia="仿宋_GB2312" w:cs="Times New Roman"/>
          <w:snapToGrid w:val="0"/>
          <w:color w:val="auto"/>
          <w:sz w:val="24"/>
          <w:szCs w:val="24"/>
          <w:lang w:eastAsia="zh-CN"/>
        </w:rPr>
        <w:t>，</w:t>
      </w:r>
      <w:r>
        <w:rPr>
          <w:rFonts w:hint="default" w:ascii="Times New Roman" w:hAnsi="Times New Roman" w:eastAsia="仿宋_GB2312" w:cs="Times New Roman"/>
          <w:snapToGrid w:val="0"/>
          <w:color w:val="auto"/>
          <w:sz w:val="24"/>
          <w:szCs w:val="24"/>
        </w:rPr>
        <w:t>水土保持工程、植物、临时措施落实不足50%的</w:t>
      </w:r>
      <w:r>
        <w:rPr>
          <w:rFonts w:hint="eastAsia" w:ascii="Times New Roman" w:hAnsi="Times New Roman" w:eastAsia="仿宋_GB2312" w:cs="Times New Roman"/>
          <w:snapToGrid w:val="0"/>
          <w:color w:val="auto"/>
          <w:sz w:val="24"/>
          <w:szCs w:val="24"/>
          <w:lang w:eastAsia="zh-CN"/>
        </w:rPr>
        <w:t>，</w:t>
      </w:r>
      <w:r>
        <w:rPr>
          <w:rFonts w:hint="default" w:ascii="Times New Roman" w:hAnsi="Times New Roman" w:eastAsia="仿宋_GB2312" w:cs="Times New Roman"/>
          <w:snapToGrid w:val="0"/>
          <w:color w:val="auto"/>
          <w:sz w:val="24"/>
          <w:szCs w:val="24"/>
        </w:rPr>
        <w:t>不满足验收标准和条件而通过自主验收的</w:t>
      </w:r>
      <w:r>
        <w:rPr>
          <w:rFonts w:hint="eastAsia" w:ascii="Times New Roman" w:hAnsi="Times New Roman" w:eastAsia="仿宋_GB2312" w:cs="Times New Roman"/>
          <w:snapToGrid w:val="0"/>
          <w:color w:val="auto"/>
          <w:sz w:val="24"/>
          <w:szCs w:val="24"/>
          <w:lang w:val="en-US" w:eastAsia="zh-CN"/>
        </w:rPr>
        <w:t>等情形的</w:t>
      </w:r>
      <w:r>
        <w:rPr>
          <w:rFonts w:hint="default" w:ascii="Times New Roman" w:hAnsi="Times New Roman" w:eastAsia="仿宋_GB2312" w:cs="Times New Roman"/>
          <w:snapToGrid w:val="0"/>
          <w:color w:val="auto"/>
          <w:sz w:val="24"/>
          <w:szCs w:val="24"/>
        </w:rPr>
        <w:t>；将</w:t>
      </w:r>
      <w:r>
        <w:rPr>
          <w:rFonts w:hint="eastAsia" w:ascii="Times New Roman" w:hAnsi="Times New Roman" w:eastAsia="仿宋_GB2312" w:cs="Times New Roman"/>
          <w:snapToGrid w:val="0"/>
          <w:color w:val="auto"/>
          <w:sz w:val="24"/>
          <w:szCs w:val="24"/>
          <w:lang w:val="en-US" w:eastAsia="zh-CN"/>
        </w:rPr>
        <w:t>可能被水行政主管部门依法依规</w:t>
      </w:r>
      <w:r>
        <w:rPr>
          <w:rFonts w:hint="default" w:ascii="Times New Roman" w:hAnsi="Times New Roman" w:eastAsia="仿宋_GB2312" w:cs="Times New Roman"/>
          <w:snapToGrid w:val="0"/>
          <w:color w:val="auto"/>
          <w:sz w:val="24"/>
          <w:szCs w:val="24"/>
        </w:rPr>
        <w:t>列入水土保持“重点关注名单”。在“重点关注名单”公开期内再次发生将列入“重点关注名单”情形的，或作出不实承诺被撤销准予许可决定的，或被实施水土保持行政强制的，或拒不执行水土保持行政处罚决定的，将</w:t>
      </w:r>
      <w:r>
        <w:rPr>
          <w:rFonts w:hint="eastAsia" w:ascii="Times New Roman" w:hAnsi="Times New Roman" w:eastAsia="仿宋_GB2312" w:cs="Times New Roman"/>
          <w:snapToGrid w:val="0"/>
          <w:color w:val="auto"/>
          <w:sz w:val="24"/>
          <w:szCs w:val="24"/>
          <w:lang w:val="en-US" w:eastAsia="zh-CN"/>
        </w:rPr>
        <w:t>会被水行政主管部门依法依规</w:t>
      </w:r>
      <w:r>
        <w:rPr>
          <w:rFonts w:hint="default" w:ascii="Times New Roman" w:hAnsi="Times New Roman" w:eastAsia="仿宋_GB2312" w:cs="Times New Roman"/>
          <w:snapToGrid w:val="0"/>
          <w:color w:val="auto"/>
          <w:sz w:val="24"/>
          <w:szCs w:val="24"/>
        </w:rPr>
        <w:t>列入水土保持“黑名单”。</w:t>
      </w:r>
    </w:p>
    <w:p>
      <w:pPr>
        <w:pStyle w:val="5"/>
        <w:keepNext/>
        <w:keepLines/>
        <w:pageBreakBefore w:val="0"/>
        <w:widowControl w:val="0"/>
        <w:kinsoku/>
        <w:wordWrap/>
        <w:overflowPunct/>
        <w:topLinePunct w:val="0"/>
        <w:autoSpaceDE w:val="0"/>
        <w:autoSpaceDN w:val="0"/>
        <w:bidi w:val="0"/>
        <w:adjustRightInd/>
        <w:snapToGrid/>
        <w:ind w:left="431" w:hanging="431"/>
        <w:textAlignment w:val="bottom"/>
        <w:rPr>
          <w:rFonts w:hint="default" w:ascii="Times New Roman" w:hAnsi="Times New Roman" w:eastAsia="仿宋_GB2312" w:cs="Times New Roman"/>
          <w:b/>
          <w:bCs/>
        </w:rPr>
      </w:pPr>
      <w:bookmarkStart w:id="424" w:name="_bookmark46"/>
      <w:bookmarkEnd w:id="424"/>
      <w:bookmarkStart w:id="425" w:name="_Toc13041"/>
      <w:r>
        <w:rPr>
          <w:rFonts w:hint="default" w:ascii="Times New Roman" w:hAnsi="Times New Roman" w:eastAsia="仿宋_GB2312" w:cs="Times New Roman"/>
          <w:b/>
          <w:bCs/>
        </w:rPr>
        <w:t>8.2后续设计</w:t>
      </w:r>
      <w:bookmarkEnd w:id="425"/>
    </w:p>
    <w:p>
      <w:pPr>
        <w:pStyle w:val="87"/>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baseline"/>
        <w:rPr>
          <w:rFonts w:hint="eastAsia" w:eastAsia="仿宋_GB2312" w:cs="Times New Roman"/>
          <w:kern w:val="0"/>
          <w:sz w:val="24"/>
          <w:lang w:eastAsia="zh-CN"/>
        </w:rPr>
      </w:pPr>
      <w:r>
        <w:rPr>
          <w:rFonts w:hint="eastAsia" w:ascii="Times New Roman" w:hAnsi="Times New Roman" w:eastAsia="仿宋_GB2312" w:cs="Times New Roman"/>
          <w:snapToGrid w:val="0"/>
          <w:color w:val="auto"/>
          <w:sz w:val="24"/>
          <w:szCs w:val="24"/>
          <w:lang w:val="en-US" w:eastAsia="zh-CN"/>
        </w:rPr>
        <w:t>根据</w:t>
      </w:r>
      <w:r>
        <w:rPr>
          <w:rFonts w:hint="default" w:ascii="Times New Roman" w:hAnsi="Times New Roman" w:eastAsia="仿宋_GB2312" w:cs="Times New Roman"/>
          <w:snapToGrid w:val="0"/>
          <w:color w:val="auto"/>
          <w:sz w:val="24"/>
          <w:szCs w:val="24"/>
        </w:rPr>
        <w:t>《生产建设项目水土保持方案管理办法》（水利部令第53号）</w:t>
      </w:r>
      <w:r>
        <w:rPr>
          <w:rFonts w:hint="eastAsia" w:ascii="Times New Roman" w:hAnsi="Times New Roman" w:eastAsia="仿宋_GB2312" w:cs="Times New Roman"/>
          <w:snapToGrid w:val="0"/>
          <w:color w:val="auto"/>
          <w:sz w:val="24"/>
          <w:szCs w:val="24"/>
          <w:lang w:val="en-US" w:eastAsia="zh-CN"/>
        </w:rPr>
        <w:t>以及</w:t>
      </w:r>
      <w:r>
        <w:rPr>
          <w:rFonts w:hint="default" w:ascii="Times New Roman" w:hAnsi="Times New Roman" w:eastAsia="仿宋_GB2312" w:cs="Times New Roman"/>
          <w:kern w:val="0"/>
          <w:sz w:val="24"/>
        </w:rPr>
        <w:t>《吉林省水利厅关于印发省级生产建设项目水土保持后续设计报备政务事项服务指南的通知》（吉水保函〔2022〕177号）</w:t>
      </w:r>
      <w:r>
        <w:rPr>
          <w:rFonts w:hint="eastAsia" w:ascii="Times New Roman" w:hAnsi="Times New Roman" w:eastAsia="仿宋_GB2312" w:cs="Times New Roman"/>
          <w:kern w:val="0"/>
          <w:sz w:val="24"/>
          <w:lang w:val="en-US" w:eastAsia="zh-CN"/>
        </w:rPr>
        <w:t>规定，需要编制初步设计的生产建设项目，其初步设计应当包括水土保持篇章，明确水土流失防治措施、标准和水土保持投资，其施工图设计应当细化水土保持措施设计。</w:t>
      </w:r>
      <w:r>
        <w:rPr>
          <w:rFonts w:hint="default" w:ascii="Times New Roman" w:hAnsi="Times New Roman" w:eastAsia="仿宋_GB2312" w:cs="Times New Roman"/>
          <w:kern w:val="0"/>
          <w:sz w:val="24"/>
          <w:lang w:eastAsia="zh-CN"/>
        </w:rPr>
        <w:t>本期项目</w:t>
      </w:r>
      <w:r>
        <w:rPr>
          <w:rFonts w:hint="default" w:ascii="Times New Roman" w:hAnsi="Times New Roman" w:eastAsia="仿宋_GB2312" w:cs="Times New Roman"/>
          <w:kern w:val="0"/>
          <w:sz w:val="24"/>
        </w:rPr>
        <w:t>的水土保持方案报告书经水行政主管部门批复后，建设单位应及时</w:t>
      </w:r>
      <w:r>
        <w:rPr>
          <w:rFonts w:hint="eastAsia" w:eastAsia="仿宋_GB2312" w:cs="Times New Roman"/>
          <w:kern w:val="0"/>
          <w:sz w:val="24"/>
          <w:lang w:val="en-US" w:eastAsia="zh-CN"/>
        </w:rPr>
        <w:t>按规定委托</w:t>
      </w:r>
      <w:r>
        <w:rPr>
          <w:rFonts w:hint="default" w:ascii="Times New Roman" w:hAnsi="Times New Roman" w:eastAsia="仿宋_GB2312" w:cs="Times New Roman"/>
          <w:kern w:val="0"/>
          <w:sz w:val="24"/>
        </w:rPr>
        <w:t>开展水土保持后续设计并向水行政主管部门</w:t>
      </w:r>
      <w:r>
        <w:rPr>
          <w:rFonts w:hint="eastAsia" w:eastAsia="仿宋_GB2312" w:cs="Times New Roman"/>
          <w:kern w:val="0"/>
          <w:sz w:val="24"/>
          <w:lang w:val="en-US" w:eastAsia="zh-CN"/>
        </w:rPr>
        <w:t>履行</w:t>
      </w:r>
      <w:r>
        <w:rPr>
          <w:rFonts w:hint="default" w:ascii="Times New Roman" w:hAnsi="Times New Roman" w:eastAsia="仿宋_GB2312" w:cs="Times New Roman"/>
          <w:kern w:val="0"/>
          <w:sz w:val="24"/>
        </w:rPr>
        <w:t>报备</w:t>
      </w:r>
      <w:r>
        <w:rPr>
          <w:rFonts w:hint="eastAsia" w:eastAsia="仿宋_GB2312" w:cs="Times New Roman"/>
          <w:kern w:val="0"/>
          <w:sz w:val="24"/>
          <w:lang w:val="en-US" w:eastAsia="zh-CN"/>
        </w:rPr>
        <w:t>手续</w:t>
      </w:r>
      <w:r>
        <w:rPr>
          <w:rFonts w:hint="eastAsia" w:eastAsia="仿宋_GB2312" w:cs="Times New Roman"/>
          <w:kern w:val="0"/>
          <w:sz w:val="24"/>
          <w:lang w:eastAsia="zh-CN"/>
        </w:rPr>
        <w:t>。</w:t>
      </w:r>
    </w:p>
    <w:p>
      <w:pPr>
        <w:pStyle w:val="87"/>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baseline"/>
        <w:rPr>
          <w:rFonts w:hint="default" w:ascii="Times New Roman" w:hAnsi="Times New Roman" w:eastAsia="仿宋_GB2312" w:cs="Times New Roman"/>
          <w:kern w:val="0"/>
          <w:sz w:val="24"/>
        </w:rPr>
      </w:pPr>
      <w:r>
        <w:rPr>
          <w:rFonts w:hint="default" w:ascii="Times New Roman" w:hAnsi="Times New Roman" w:eastAsia="仿宋_GB2312" w:cs="Times New Roman"/>
          <w:kern w:val="0"/>
          <w:sz w:val="24"/>
        </w:rPr>
        <w:t>设计单位应分区复核土石方平衡，复核水土流失防治责任范围、水土流失防治分区和水土保持措施总体布局，要将批复水保方案的措施体系加入至施工图中，进行水土流失防治单项工程的的施工图设计，计算完善相应工程量，核算水土保持工程量和投资预算。</w:t>
      </w:r>
      <w:r>
        <w:rPr>
          <w:rFonts w:hint="eastAsia" w:eastAsia="仿宋_GB2312" w:cs="Times New Roman"/>
          <w:kern w:val="0"/>
          <w:sz w:val="24"/>
          <w:lang w:val="en-US" w:eastAsia="zh-CN"/>
        </w:rPr>
        <w:t>根据《吉林省水利厅关于进一步加强全省生产建设项目水土保持方案管理有关工作的通知》（吉水保函〔2023〕8号），</w:t>
      </w:r>
      <w:r>
        <w:rPr>
          <w:rFonts w:hint="default" w:ascii="Times New Roman" w:hAnsi="Times New Roman" w:eastAsia="仿宋_GB2312" w:cs="Times New Roman"/>
          <w:kern w:val="0"/>
          <w:sz w:val="24"/>
        </w:rPr>
        <w:t>编制水土保持后续设计要按照相关法律法规、技术标准以及经批准的水土保持方案制定，无合法有效依据，不得随意改变行政许可决定确定的水土流失防治责任范围、水土流失防治标准指标以及水土保持各项措施等内容，不得自行减免应当承担的水土保持法定责任与义务。</w:t>
      </w:r>
    </w:p>
    <w:p>
      <w:pPr>
        <w:pStyle w:val="87"/>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baseline"/>
        <w:rPr>
          <w:rFonts w:hint="default" w:ascii="Times New Roman" w:hAnsi="Times New Roman" w:eastAsia="仿宋_GB2312" w:cs="Times New Roman"/>
          <w:kern w:val="0"/>
          <w:sz w:val="24"/>
        </w:rPr>
      </w:pPr>
      <w:r>
        <w:rPr>
          <w:rFonts w:hint="eastAsia" w:eastAsia="仿宋_GB2312" w:cs="Times New Roman"/>
          <w:kern w:val="0"/>
          <w:sz w:val="24"/>
          <w:lang w:val="en-US" w:eastAsia="zh-CN"/>
        </w:rPr>
        <w:t>根据</w:t>
      </w:r>
      <w:r>
        <w:rPr>
          <w:rFonts w:hint="default" w:ascii="Times New Roman" w:hAnsi="Times New Roman" w:eastAsia="仿宋_GB2312" w:cs="Times New Roman"/>
          <w:snapToGrid w:val="0"/>
          <w:color w:val="auto"/>
          <w:sz w:val="24"/>
          <w:szCs w:val="24"/>
        </w:rPr>
        <w:t>《生产建设项目水土保持方案管理办法》（水利部令第53号）</w:t>
      </w:r>
      <w:r>
        <w:rPr>
          <w:rFonts w:hint="eastAsia" w:ascii="Times New Roman" w:hAnsi="Times New Roman" w:eastAsia="仿宋_GB2312" w:cs="Times New Roman"/>
          <w:snapToGrid w:val="0"/>
          <w:color w:val="auto"/>
          <w:sz w:val="24"/>
          <w:szCs w:val="24"/>
          <w:lang w:val="en-US" w:eastAsia="zh-CN"/>
        </w:rPr>
        <w:t>以及</w:t>
      </w:r>
      <w:r>
        <w:rPr>
          <w:rFonts w:hint="default" w:ascii="Times New Roman" w:hAnsi="Times New Roman" w:eastAsia="仿宋_GB2312" w:cs="Times New Roman"/>
          <w:kern w:val="0"/>
          <w:sz w:val="24"/>
        </w:rPr>
        <w:t>《水利部办公厅关于实施生产建设项目水土保持信用监管“两单”制度的通知》（办水保〔2020〕157号）</w:t>
      </w:r>
      <w:r>
        <w:rPr>
          <w:rFonts w:hint="eastAsia" w:ascii="Times New Roman" w:hAnsi="Times New Roman" w:eastAsia="仿宋_GB2312" w:cs="Times New Roman"/>
          <w:kern w:val="0"/>
          <w:sz w:val="24"/>
          <w:lang w:eastAsia="zh-CN"/>
        </w:rPr>
        <w:t>，</w:t>
      </w:r>
      <w:r>
        <w:rPr>
          <w:rFonts w:hint="default" w:ascii="Times New Roman" w:hAnsi="Times New Roman" w:eastAsia="仿宋_GB2312" w:cs="Times New Roman"/>
          <w:kern w:val="0"/>
          <w:sz w:val="24"/>
        </w:rPr>
        <w:t>如设计单位未按水土保持方案和设计规范开展设计或者存在弄虚作假等违法行为，视情节严重情况</w:t>
      </w:r>
      <w:r>
        <w:rPr>
          <w:rFonts w:hint="eastAsia" w:eastAsia="仿宋_GB2312" w:cs="Times New Roman"/>
          <w:kern w:val="0"/>
          <w:sz w:val="24"/>
          <w:lang w:eastAsia="zh-CN"/>
        </w:rPr>
        <w:t>，</w:t>
      </w:r>
      <w:r>
        <w:rPr>
          <w:rFonts w:hint="eastAsia" w:eastAsia="仿宋_GB2312" w:cs="Times New Roman"/>
          <w:kern w:val="0"/>
          <w:sz w:val="24"/>
          <w:lang w:val="en-US" w:eastAsia="zh-CN"/>
        </w:rPr>
        <w:t>将会被水行政主管部门</w:t>
      </w:r>
      <w:r>
        <w:rPr>
          <w:rFonts w:hint="default" w:ascii="Times New Roman" w:hAnsi="Times New Roman" w:eastAsia="仿宋_GB2312" w:cs="Times New Roman"/>
          <w:kern w:val="0"/>
          <w:sz w:val="24"/>
        </w:rPr>
        <w:t>列入水土保持“重点关注名单”或者“黑名单”。</w:t>
      </w:r>
    </w:p>
    <w:p>
      <w:pPr>
        <w:pStyle w:val="87"/>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baseline"/>
        <w:rPr>
          <w:rFonts w:hint="default" w:ascii="Times New Roman" w:hAnsi="Times New Roman" w:eastAsia="仿宋_GB2312" w:cs="Times New Roman"/>
          <w:sz w:val="24"/>
          <w:szCs w:val="24"/>
        </w:rPr>
      </w:pPr>
      <w:r>
        <w:rPr>
          <w:rFonts w:hint="default" w:ascii="Times New Roman" w:hAnsi="Times New Roman" w:eastAsia="仿宋_GB2312" w:cs="Times New Roman"/>
          <w:kern w:val="0"/>
          <w:sz w:val="24"/>
        </w:rPr>
        <w:t>在后续的施工过程中，如果因本方案主体工程设计变更时应同时进行水土保持措施变更设计，须报经原批准单位同意，并按规定程序报备。当生产建设项目的地点、规模发生重大变化的，或水土保持方案实施过程中水土保持措施需作出重大变更的，必须严格按照</w:t>
      </w:r>
      <w:r>
        <w:rPr>
          <w:rFonts w:hint="default" w:ascii="Times New Roman" w:hAnsi="Times New Roman" w:eastAsia="仿宋_GB2312" w:cs="Times New Roman"/>
          <w:snapToGrid w:val="0"/>
          <w:color w:val="auto"/>
          <w:sz w:val="24"/>
          <w:szCs w:val="24"/>
        </w:rPr>
        <w:t>《生产建设项目水土保持方案管理办法》（水利部令第53号）</w:t>
      </w:r>
      <w:r>
        <w:rPr>
          <w:rFonts w:hint="eastAsia" w:eastAsia="仿宋_GB2312" w:cs="Times New Roman"/>
          <w:kern w:val="0"/>
          <w:sz w:val="24"/>
          <w:lang w:val="en-US" w:eastAsia="zh-CN"/>
        </w:rPr>
        <w:t>要求，及时</w:t>
      </w:r>
      <w:r>
        <w:rPr>
          <w:rFonts w:hint="default" w:ascii="Times New Roman" w:hAnsi="Times New Roman" w:eastAsia="仿宋_GB2312" w:cs="Times New Roman"/>
          <w:kern w:val="0"/>
          <w:sz w:val="24"/>
        </w:rPr>
        <w:t>补充或者修改水土保持方案并报</w:t>
      </w:r>
      <w:r>
        <w:rPr>
          <w:rFonts w:hint="eastAsia" w:eastAsia="仿宋_GB2312" w:cs="Times New Roman"/>
          <w:kern w:val="0"/>
          <w:sz w:val="24"/>
          <w:lang w:val="en-US" w:eastAsia="zh-CN"/>
        </w:rPr>
        <w:t>原方案审批部门批准</w:t>
      </w:r>
      <w:r>
        <w:rPr>
          <w:rFonts w:hint="default" w:ascii="Times New Roman" w:hAnsi="Times New Roman" w:eastAsia="仿宋_GB2312" w:cs="Times New Roman"/>
          <w:kern w:val="0"/>
          <w:sz w:val="24"/>
        </w:rPr>
        <w:t>。</w:t>
      </w:r>
    </w:p>
    <w:p>
      <w:pPr>
        <w:pStyle w:val="5"/>
        <w:pageBreakBefore w:val="0"/>
        <w:kinsoku/>
        <w:wordWrap/>
        <w:bidi w:val="0"/>
        <w:rPr>
          <w:rFonts w:hint="default" w:ascii="Times New Roman" w:hAnsi="Times New Roman" w:eastAsia="仿宋_GB2312" w:cs="Times New Roman"/>
          <w:b/>
          <w:bCs/>
        </w:rPr>
      </w:pPr>
      <w:bookmarkStart w:id="426" w:name="_bookmark47"/>
      <w:bookmarkEnd w:id="426"/>
      <w:bookmarkStart w:id="427" w:name="_Toc3150"/>
      <w:r>
        <w:rPr>
          <w:rFonts w:hint="default" w:ascii="Times New Roman" w:hAnsi="Times New Roman" w:eastAsia="仿宋_GB2312" w:cs="Times New Roman"/>
          <w:b/>
          <w:bCs/>
        </w:rPr>
        <w:t>8.3水土保持监测</w:t>
      </w:r>
      <w:bookmarkEnd w:id="427"/>
    </w:p>
    <w:p>
      <w:pPr>
        <w:pStyle w:val="72"/>
        <w:keepNext w:val="0"/>
        <w:keepLines w:val="0"/>
        <w:pageBreakBefore w:val="0"/>
        <w:kinsoku/>
        <w:wordWrap/>
        <w:overflowPunct/>
        <w:topLinePunct w:val="0"/>
        <w:autoSpaceDE/>
        <w:autoSpaceDN/>
        <w:bidi w:val="0"/>
        <w:adjustRightInd/>
        <w:snapToGrid/>
        <w:spacing w:line="360" w:lineRule="auto"/>
        <w:ind w:firstLine="480"/>
        <w:jc w:val="both"/>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根据水土保持</w:t>
      </w:r>
      <w:r>
        <w:rPr>
          <w:rFonts w:hint="eastAsia" w:ascii="Times New Roman" w:eastAsia="仿宋_GB2312" w:cs="Times New Roman"/>
          <w:color w:val="auto"/>
          <w:sz w:val="24"/>
          <w:szCs w:val="24"/>
          <w:lang w:val="en-US" w:eastAsia="zh-CN"/>
        </w:rPr>
        <w:t>法律法规</w:t>
      </w:r>
      <w:r>
        <w:rPr>
          <w:rFonts w:hint="default" w:ascii="Times New Roman" w:hAnsi="Times New Roman" w:eastAsia="仿宋_GB2312" w:cs="Times New Roman"/>
          <w:color w:val="auto"/>
          <w:sz w:val="24"/>
          <w:szCs w:val="24"/>
        </w:rPr>
        <w:t>、</w:t>
      </w:r>
      <w:r>
        <w:rPr>
          <w:rFonts w:hint="default" w:ascii="Times New Roman" w:hAnsi="Times New Roman" w:eastAsia="仿宋_GB2312" w:cs="Times New Roman"/>
          <w:snapToGrid w:val="0"/>
          <w:color w:val="auto"/>
          <w:sz w:val="24"/>
          <w:szCs w:val="24"/>
        </w:rPr>
        <w:t>《生产建设项目水土保持方案管理办法》（水利部令第53号）</w:t>
      </w:r>
      <w:r>
        <w:rPr>
          <w:rFonts w:hint="eastAsia" w:ascii="Times New Roman" w:hAnsi="Times New Roman" w:eastAsia="仿宋_GB2312" w:cs="Times New Roman"/>
          <w:snapToGrid w:val="0"/>
          <w:color w:val="auto"/>
          <w:sz w:val="24"/>
          <w:szCs w:val="24"/>
          <w:lang w:val="en-US" w:eastAsia="zh-CN"/>
        </w:rPr>
        <w:t>以及</w:t>
      </w:r>
      <w:r>
        <w:rPr>
          <w:rFonts w:hint="default" w:ascii="Times New Roman" w:hAnsi="Times New Roman" w:eastAsia="仿宋_GB2312" w:cs="Times New Roman"/>
          <w:color w:val="auto"/>
          <w:sz w:val="24"/>
          <w:szCs w:val="24"/>
        </w:rPr>
        <w:t>《水利部关于进一步深化“放管服”改革全面加强水土保持监管的意见》（水保</w:t>
      </w:r>
      <w:r>
        <w:rPr>
          <w:rFonts w:hint="default" w:ascii="Times New Roman" w:hAnsi="Times New Roman" w:eastAsia="仿宋_GB2312" w:cs="Times New Roman"/>
          <w:snapToGrid w:val="0"/>
          <w:color w:val="auto"/>
          <w:sz w:val="24"/>
          <w:szCs w:val="24"/>
          <w:lang w:val="zh-CN"/>
        </w:rPr>
        <w:t>〔</w:t>
      </w:r>
      <w:r>
        <w:rPr>
          <w:rFonts w:hint="default" w:ascii="Times New Roman" w:hAnsi="Times New Roman" w:eastAsia="仿宋_GB2312" w:cs="Times New Roman"/>
          <w:color w:val="auto"/>
          <w:sz w:val="24"/>
          <w:szCs w:val="24"/>
        </w:rPr>
        <w:t>2019</w:t>
      </w:r>
      <w:r>
        <w:rPr>
          <w:rFonts w:hint="default" w:ascii="Times New Roman" w:hAnsi="Times New Roman" w:eastAsia="仿宋_GB2312" w:cs="Times New Roman"/>
          <w:snapToGrid w:val="0"/>
          <w:color w:val="auto"/>
          <w:sz w:val="24"/>
          <w:szCs w:val="24"/>
          <w:lang w:val="zh-CN"/>
        </w:rPr>
        <w:t>〕</w:t>
      </w:r>
      <w:r>
        <w:rPr>
          <w:rFonts w:hint="default" w:ascii="Times New Roman" w:hAnsi="Times New Roman" w:eastAsia="仿宋_GB2312" w:cs="Times New Roman"/>
          <w:color w:val="auto"/>
          <w:sz w:val="24"/>
          <w:szCs w:val="24"/>
        </w:rPr>
        <w:t>160号）、</w:t>
      </w:r>
      <w:r>
        <w:rPr>
          <w:rFonts w:hint="default" w:ascii="Times New Roman" w:hAnsi="Times New Roman" w:eastAsia="仿宋_GB2312" w:cs="Times New Roman"/>
          <w:snapToGrid w:val="0"/>
          <w:color w:val="auto"/>
          <w:sz w:val="24"/>
          <w:szCs w:val="24"/>
          <w:lang w:val="zh-CN"/>
        </w:rPr>
        <w:t>《水利部办公厅关于印发生产建设项目水土保持监督管理办法的通知》（办水保〔201</w:t>
      </w:r>
      <w:r>
        <w:rPr>
          <w:rFonts w:hint="default" w:ascii="Times New Roman" w:hAnsi="Times New Roman" w:eastAsia="仿宋_GB2312" w:cs="Times New Roman"/>
          <w:snapToGrid w:val="0"/>
          <w:color w:val="auto"/>
          <w:sz w:val="24"/>
          <w:szCs w:val="24"/>
        </w:rPr>
        <w:t>9</w:t>
      </w:r>
      <w:r>
        <w:rPr>
          <w:rFonts w:hint="default" w:ascii="Times New Roman" w:hAnsi="Times New Roman" w:eastAsia="仿宋_GB2312" w:cs="Times New Roman"/>
          <w:snapToGrid w:val="0"/>
          <w:color w:val="auto"/>
          <w:sz w:val="24"/>
          <w:szCs w:val="24"/>
          <w:lang w:val="zh-CN"/>
        </w:rPr>
        <w:t>〕1</w:t>
      </w:r>
      <w:r>
        <w:rPr>
          <w:rFonts w:hint="default" w:ascii="Times New Roman" w:hAnsi="Times New Roman" w:eastAsia="仿宋_GB2312" w:cs="Times New Roman"/>
          <w:snapToGrid w:val="0"/>
          <w:color w:val="auto"/>
          <w:sz w:val="24"/>
          <w:szCs w:val="24"/>
        </w:rPr>
        <w:t>72</w:t>
      </w:r>
      <w:r>
        <w:rPr>
          <w:rFonts w:hint="default" w:ascii="Times New Roman" w:hAnsi="Times New Roman" w:eastAsia="仿宋_GB2312" w:cs="Times New Roman"/>
          <w:snapToGrid w:val="0"/>
          <w:color w:val="auto"/>
          <w:sz w:val="24"/>
          <w:szCs w:val="24"/>
          <w:lang w:val="zh-CN"/>
        </w:rPr>
        <w:t>号）、《水利部办公厅关于进一步加强生产建设项目水土保持监测工作的通知》（办水保〔2020〕161号）</w:t>
      </w:r>
      <w:r>
        <w:rPr>
          <w:rFonts w:hint="eastAsia" w:ascii="Times New Roman" w:eastAsia="仿宋_GB2312" w:cs="Times New Roman"/>
          <w:color w:val="auto"/>
          <w:sz w:val="24"/>
          <w:szCs w:val="24"/>
          <w:lang w:val="en-US" w:eastAsia="zh-CN"/>
        </w:rPr>
        <w:t>等有关</w:t>
      </w:r>
      <w:r>
        <w:rPr>
          <w:rFonts w:hint="default" w:ascii="Times New Roman" w:hAnsi="Times New Roman" w:eastAsia="仿宋_GB2312" w:cs="Times New Roman"/>
          <w:color w:val="auto"/>
          <w:sz w:val="24"/>
          <w:szCs w:val="24"/>
        </w:rPr>
        <w:t>规定</w:t>
      </w:r>
      <w:r>
        <w:rPr>
          <w:rFonts w:hint="eastAsia" w:ascii="Times New Roman" w:eastAsia="仿宋_GB2312" w:cs="Times New Roman"/>
          <w:color w:val="auto"/>
          <w:sz w:val="24"/>
          <w:szCs w:val="24"/>
          <w:lang w:val="en-US" w:eastAsia="zh-CN"/>
        </w:rPr>
        <w:t>和</w:t>
      </w:r>
      <w:r>
        <w:rPr>
          <w:rFonts w:hint="default" w:ascii="Times New Roman" w:hAnsi="Times New Roman" w:eastAsia="仿宋_GB2312" w:cs="Times New Roman"/>
          <w:color w:val="auto"/>
          <w:sz w:val="24"/>
          <w:szCs w:val="24"/>
        </w:rPr>
        <w:t>要求，开展水土保持监测，是建设单位</w:t>
      </w:r>
      <w:r>
        <w:rPr>
          <w:rFonts w:hint="eastAsia" w:ascii="Times New Roman" w:eastAsia="仿宋_GB2312" w:cs="Times New Roman"/>
          <w:color w:val="auto"/>
          <w:sz w:val="24"/>
          <w:szCs w:val="24"/>
          <w:lang w:val="en-US" w:eastAsia="zh-CN"/>
        </w:rPr>
        <w:t>必须</w:t>
      </w:r>
      <w:r>
        <w:rPr>
          <w:rFonts w:hint="default" w:ascii="Times New Roman" w:hAnsi="Times New Roman" w:eastAsia="仿宋_GB2312" w:cs="Times New Roman"/>
          <w:color w:val="auto"/>
          <w:sz w:val="24"/>
          <w:szCs w:val="24"/>
        </w:rPr>
        <w:t>履行的一项法定义务。建设单位应及时自行开展或委托具有相应技术条件的机构进行</w:t>
      </w:r>
      <w:r>
        <w:rPr>
          <w:rFonts w:hint="default" w:ascii="Times New Roman" w:hAnsi="Times New Roman" w:eastAsia="仿宋_GB2312" w:cs="Times New Roman"/>
          <w:color w:val="auto"/>
          <w:sz w:val="24"/>
          <w:szCs w:val="24"/>
          <w:lang w:eastAsia="zh-CN"/>
        </w:rPr>
        <w:t>本期项目</w:t>
      </w:r>
      <w:r>
        <w:rPr>
          <w:rFonts w:hint="default" w:ascii="Times New Roman" w:hAnsi="Times New Roman" w:eastAsia="仿宋_GB2312" w:cs="Times New Roman"/>
          <w:color w:val="auto"/>
          <w:sz w:val="24"/>
          <w:szCs w:val="24"/>
        </w:rPr>
        <w:t>水土保持监测。</w:t>
      </w:r>
    </w:p>
    <w:p>
      <w:pPr>
        <w:pStyle w:val="72"/>
        <w:keepNext w:val="0"/>
        <w:keepLines w:val="0"/>
        <w:pageBreakBefore w:val="0"/>
        <w:kinsoku/>
        <w:wordWrap/>
        <w:overflowPunct/>
        <w:topLinePunct w:val="0"/>
        <w:autoSpaceDE/>
        <w:autoSpaceDN/>
        <w:bidi w:val="0"/>
        <w:adjustRightInd/>
        <w:snapToGrid/>
        <w:spacing w:line="360" w:lineRule="auto"/>
        <w:ind w:firstLine="480"/>
        <w:jc w:val="both"/>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监测单位要按照水土保持有关技术标准和批复后的本方案中的相关要求，根据项目特点，明确监测内容、方法和频次，定量分析评价项目水土流失状况和防治效果，及时向建设单位提出防治水土流失的意见建议，并按规定向水行政主管部门定期报送监测情况。在监测季报和总结报告等监测成果中进行“绿、黄、红”三色赋分并明确评价结论。生产建设单位应当将水土保持监测季报在其官方网站公开。</w:t>
      </w:r>
    </w:p>
    <w:p>
      <w:pPr>
        <w:pStyle w:val="72"/>
        <w:keepNext w:val="0"/>
        <w:keepLines w:val="0"/>
        <w:pageBreakBefore w:val="0"/>
        <w:kinsoku/>
        <w:wordWrap/>
        <w:overflowPunct/>
        <w:topLinePunct w:val="0"/>
        <w:autoSpaceDE/>
        <w:autoSpaceDN/>
        <w:bidi w:val="0"/>
        <w:adjustRightInd/>
        <w:snapToGrid/>
        <w:spacing w:line="360" w:lineRule="auto"/>
        <w:ind w:firstLine="480"/>
        <w:jc w:val="both"/>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监测单位应向有关水行政主管部门报送《生产建设项目水土保持监测实施方案》；每季度的第一个月月底前报送上个季度的《生产建设项目水土保持监测季度报告》；因降雨、大风或人为原因发生严重水土流失及危害事件的，应于事件发生后7日内报告有关情况；水土保持监测工作完成后，应于3个月内报送《生产建设项目水土保持监测总结报告》。监测过程中所获得的监测数据、监测图件和影响资料应妥善保存，并及时提交建设单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_GB2312" w:cs="Times New Roman"/>
          <w:sz w:val="24"/>
          <w:szCs w:val="24"/>
        </w:rPr>
      </w:pPr>
      <w:r>
        <w:rPr>
          <w:rFonts w:hint="eastAsia" w:eastAsia="仿宋_GB2312" w:cs="Times New Roman"/>
          <w:snapToGrid w:val="0"/>
          <w:color w:val="auto"/>
          <w:sz w:val="24"/>
          <w:szCs w:val="24"/>
          <w:lang w:val="en-US" w:eastAsia="zh-CN"/>
        </w:rPr>
        <w:t>根据</w:t>
      </w:r>
      <w:r>
        <w:rPr>
          <w:rFonts w:hint="default" w:ascii="Times New Roman" w:hAnsi="Times New Roman" w:eastAsia="仿宋_GB2312" w:cs="Times New Roman"/>
          <w:snapToGrid w:val="0"/>
          <w:color w:val="auto"/>
          <w:sz w:val="24"/>
          <w:szCs w:val="24"/>
        </w:rPr>
        <w:t>《生产建设项目水土保持方案管理办法》（水利部令第53号）</w:t>
      </w:r>
      <w:r>
        <w:rPr>
          <w:rFonts w:hint="eastAsia" w:ascii="Times New Roman" w:hAnsi="Times New Roman" w:eastAsia="仿宋_GB2312" w:cs="Times New Roman"/>
          <w:snapToGrid w:val="0"/>
          <w:color w:val="auto"/>
          <w:sz w:val="24"/>
          <w:szCs w:val="24"/>
          <w:lang w:val="en-US" w:eastAsia="zh-CN"/>
        </w:rPr>
        <w:t>以及</w:t>
      </w:r>
      <w:r>
        <w:rPr>
          <w:rFonts w:hint="default" w:ascii="Times New Roman" w:hAnsi="Times New Roman" w:eastAsia="仿宋_GB2312" w:cs="Times New Roman"/>
          <w:snapToGrid w:val="0"/>
          <w:color w:val="auto"/>
          <w:sz w:val="24"/>
          <w:szCs w:val="24"/>
        </w:rPr>
        <w:t>《水利部办公厅关于实施生产建设项目水土保持信用监管“两单”制度的通知》（办水保〔2020〕157号），</w:t>
      </w:r>
      <w:r>
        <w:rPr>
          <w:rFonts w:hint="eastAsia" w:eastAsia="仿宋_GB2312" w:cs="Times New Roman"/>
          <w:snapToGrid w:val="0"/>
          <w:color w:val="auto"/>
          <w:sz w:val="24"/>
          <w:szCs w:val="24"/>
          <w:lang w:val="en-US" w:eastAsia="zh-CN"/>
        </w:rPr>
        <w:t>对于</w:t>
      </w:r>
      <w:r>
        <w:rPr>
          <w:rFonts w:hint="default" w:ascii="Times New Roman" w:hAnsi="Times New Roman" w:eastAsia="仿宋_GB2312" w:cs="Times New Roman"/>
          <w:snapToGrid w:val="0"/>
          <w:color w:val="auto"/>
          <w:sz w:val="24"/>
          <w:szCs w:val="24"/>
        </w:rPr>
        <w:t>监测单位存在迟于合同规定6个月以上未开展监测工作的；同一项目的监测季报2次未按时提交的；监测季报三色评价和总结报告结论与实际不符的；将</w:t>
      </w:r>
      <w:r>
        <w:rPr>
          <w:rFonts w:hint="eastAsia" w:eastAsia="仿宋_GB2312" w:cs="Times New Roman"/>
          <w:snapToGrid w:val="0"/>
          <w:color w:val="auto"/>
          <w:sz w:val="24"/>
          <w:szCs w:val="24"/>
          <w:lang w:val="en-US" w:eastAsia="zh-CN"/>
        </w:rPr>
        <w:t>可能被水行政主管部门依法依规</w:t>
      </w:r>
      <w:r>
        <w:rPr>
          <w:rFonts w:hint="default" w:ascii="Times New Roman" w:hAnsi="Times New Roman" w:eastAsia="仿宋_GB2312" w:cs="Times New Roman"/>
          <w:snapToGrid w:val="0"/>
          <w:color w:val="auto"/>
          <w:sz w:val="24"/>
          <w:szCs w:val="24"/>
        </w:rPr>
        <w:t>列入水土保持“重点关注名单”。在“重点关注名单”公开期内再次发生将列入“重点关注名单”情形的，或在监测工作及相关技术成果中弄虚作假、谋取不正当利益的，或被实施水土保持行政强制的，或拒不执行水土保持行政处罚决定的，将</w:t>
      </w:r>
      <w:r>
        <w:rPr>
          <w:rFonts w:hint="eastAsia" w:eastAsia="仿宋_GB2312" w:cs="Times New Roman"/>
          <w:snapToGrid w:val="0"/>
          <w:color w:val="auto"/>
          <w:sz w:val="24"/>
          <w:szCs w:val="24"/>
          <w:lang w:val="en-US" w:eastAsia="zh-CN"/>
        </w:rPr>
        <w:t>会被水行政主管部门依法依规</w:t>
      </w:r>
      <w:r>
        <w:rPr>
          <w:rFonts w:hint="default" w:ascii="Times New Roman" w:hAnsi="Times New Roman" w:eastAsia="仿宋_GB2312" w:cs="Times New Roman"/>
          <w:snapToGrid w:val="0"/>
          <w:color w:val="auto"/>
          <w:sz w:val="24"/>
          <w:szCs w:val="24"/>
        </w:rPr>
        <w:t>列入水土保持“黑名单”。</w:t>
      </w:r>
    </w:p>
    <w:p>
      <w:pPr>
        <w:pStyle w:val="5"/>
        <w:pageBreakBefore w:val="0"/>
        <w:kinsoku/>
        <w:wordWrap/>
        <w:bidi w:val="0"/>
        <w:rPr>
          <w:rFonts w:hint="default" w:ascii="Times New Roman" w:hAnsi="Times New Roman" w:eastAsia="仿宋_GB2312" w:cs="Times New Roman"/>
          <w:b/>
          <w:bCs/>
        </w:rPr>
      </w:pPr>
      <w:bookmarkStart w:id="428" w:name="_bookmark48"/>
      <w:bookmarkEnd w:id="428"/>
      <w:bookmarkStart w:id="429" w:name="_Toc16030"/>
      <w:r>
        <w:rPr>
          <w:rFonts w:hint="default" w:ascii="Times New Roman" w:hAnsi="Times New Roman" w:eastAsia="仿宋_GB2312" w:cs="Times New Roman"/>
          <w:b/>
          <w:bCs/>
        </w:rPr>
        <w:t>8.4水土保持监理</w:t>
      </w:r>
      <w:bookmarkEnd w:id="429"/>
    </w:p>
    <w:p>
      <w:pPr>
        <w:keepNext w:val="0"/>
        <w:keepLines w:val="0"/>
        <w:pageBreakBefore w:val="0"/>
        <w:widowControl w:val="0"/>
        <w:kinsoku/>
        <w:wordWrap/>
        <w:topLinePunct w:val="0"/>
        <w:autoSpaceDE/>
        <w:autoSpaceDN/>
        <w:bidi w:val="0"/>
        <w:adjustRightInd/>
        <w:snapToGrid/>
        <w:spacing w:line="360" w:lineRule="auto"/>
        <w:ind w:right="0" w:firstLine="480" w:firstLineChars="200"/>
        <w:textAlignment w:val="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建设单位应按照水土保持</w:t>
      </w:r>
      <w:r>
        <w:rPr>
          <w:rFonts w:hint="eastAsia" w:eastAsia="仿宋_GB2312" w:cs="Times New Roman"/>
          <w:color w:val="auto"/>
          <w:sz w:val="24"/>
          <w:lang w:val="en-US" w:eastAsia="zh-CN"/>
        </w:rPr>
        <w:t>法律法规</w:t>
      </w:r>
      <w:r>
        <w:rPr>
          <w:rFonts w:hint="default" w:ascii="Times New Roman" w:hAnsi="Times New Roman" w:eastAsia="仿宋_GB2312" w:cs="Times New Roman"/>
          <w:color w:val="auto"/>
          <w:sz w:val="24"/>
        </w:rPr>
        <w:t>、</w:t>
      </w:r>
      <w:r>
        <w:rPr>
          <w:rFonts w:hint="default" w:ascii="Times New Roman" w:hAnsi="Times New Roman" w:eastAsia="仿宋_GB2312" w:cs="Times New Roman"/>
          <w:snapToGrid w:val="0"/>
          <w:color w:val="auto"/>
          <w:sz w:val="24"/>
          <w:szCs w:val="24"/>
        </w:rPr>
        <w:t>《生产建设项目水土保持方案管理办法》（水利部令第53号）</w:t>
      </w:r>
      <w:r>
        <w:rPr>
          <w:rFonts w:hint="eastAsia" w:ascii="Times New Roman" w:hAnsi="Times New Roman" w:eastAsia="仿宋_GB2312" w:cs="Times New Roman"/>
          <w:snapToGrid w:val="0"/>
          <w:color w:val="auto"/>
          <w:sz w:val="24"/>
          <w:szCs w:val="24"/>
          <w:lang w:eastAsia="zh-CN"/>
        </w:rPr>
        <w:t>、</w:t>
      </w:r>
      <w:r>
        <w:rPr>
          <w:rFonts w:hint="default" w:ascii="Times New Roman" w:hAnsi="Times New Roman" w:eastAsia="仿宋_GB2312" w:cs="Times New Roman"/>
          <w:color w:val="auto"/>
          <w:sz w:val="24"/>
        </w:rPr>
        <w:t>《水利工程建设监理规定》（水利部令〔2017〕</w:t>
      </w:r>
      <w:r>
        <w:rPr>
          <w:rFonts w:hint="default" w:ascii="Times New Roman" w:hAnsi="Times New Roman" w:eastAsia="仿宋_GB2312" w:cs="Times New Roman"/>
          <w:color w:val="auto"/>
          <w:sz w:val="24"/>
          <w:lang w:eastAsia="zh-CN"/>
        </w:rPr>
        <w:t>54</w:t>
      </w:r>
      <w:r>
        <w:rPr>
          <w:rFonts w:hint="default" w:ascii="Times New Roman" w:hAnsi="Times New Roman" w:eastAsia="仿宋_GB2312" w:cs="Times New Roman"/>
          <w:color w:val="auto"/>
          <w:sz w:val="24"/>
        </w:rPr>
        <w:t>号）</w:t>
      </w:r>
      <w:r>
        <w:rPr>
          <w:rFonts w:hint="eastAsia" w:eastAsia="仿宋_GB2312" w:cs="Times New Roman"/>
          <w:color w:val="auto"/>
          <w:sz w:val="24"/>
          <w:lang w:val="en-US" w:eastAsia="zh-CN"/>
        </w:rPr>
        <w:t>以及</w:t>
      </w:r>
      <w:r>
        <w:rPr>
          <w:rFonts w:hint="default" w:ascii="Times New Roman" w:hAnsi="Times New Roman" w:eastAsia="仿宋_GB2312" w:cs="Times New Roman"/>
          <w:color w:val="auto"/>
          <w:sz w:val="24"/>
        </w:rPr>
        <w:t>《水利部关于进一步深化“放管服”改革全面加强水土保持监管的意见》（水保〔2019〕160号）等相关</w:t>
      </w:r>
      <w:r>
        <w:rPr>
          <w:rFonts w:hint="eastAsia" w:eastAsia="仿宋_GB2312" w:cs="Times New Roman"/>
          <w:color w:val="auto"/>
          <w:sz w:val="24"/>
          <w:lang w:val="en-US" w:eastAsia="zh-CN"/>
        </w:rPr>
        <w:t>规定和</w:t>
      </w:r>
      <w:r>
        <w:rPr>
          <w:rFonts w:hint="default" w:ascii="Times New Roman" w:hAnsi="Times New Roman" w:eastAsia="仿宋_GB2312" w:cs="Times New Roman"/>
          <w:color w:val="auto"/>
          <w:sz w:val="24"/>
        </w:rPr>
        <w:t>要求，</w:t>
      </w:r>
      <w:r>
        <w:rPr>
          <w:rFonts w:hint="eastAsia" w:eastAsia="仿宋_GB2312" w:cs="Times New Roman"/>
          <w:color w:val="auto"/>
          <w:sz w:val="24"/>
          <w:lang w:val="en-US" w:eastAsia="zh-CN"/>
        </w:rPr>
        <w:t>组织开展水土保持监理工作。根据项目实际，</w:t>
      </w:r>
      <w:r>
        <w:rPr>
          <w:rFonts w:hint="default" w:ascii="Times New Roman" w:hAnsi="Times New Roman" w:eastAsia="仿宋_GB2312" w:cs="Times New Roman"/>
          <w:color w:val="auto"/>
          <w:sz w:val="24"/>
          <w:lang w:eastAsia="zh-CN"/>
        </w:rPr>
        <w:t>本期项目可由主体监理</w:t>
      </w:r>
      <w:r>
        <w:rPr>
          <w:rFonts w:hint="default" w:ascii="Times New Roman" w:hAnsi="Times New Roman" w:eastAsia="仿宋_GB2312" w:cs="Times New Roman"/>
          <w:color w:val="auto"/>
          <w:sz w:val="24"/>
        </w:rPr>
        <w:t>开展</w:t>
      </w:r>
      <w:r>
        <w:rPr>
          <w:rFonts w:hint="default" w:ascii="Times New Roman" w:hAnsi="Times New Roman" w:eastAsia="仿宋_GB2312" w:cs="Times New Roman"/>
          <w:color w:val="auto"/>
          <w:sz w:val="24"/>
          <w:lang w:eastAsia="zh-CN"/>
        </w:rPr>
        <w:t>本期项目</w:t>
      </w:r>
      <w:r>
        <w:rPr>
          <w:rFonts w:hint="default" w:ascii="Times New Roman" w:hAnsi="Times New Roman" w:eastAsia="仿宋_GB2312" w:cs="Times New Roman"/>
          <w:color w:val="auto"/>
          <w:sz w:val="24"/>
        </w:rPr>
        <w:t>的水土保持监理工作。</w:t>
      </w:r>
    </w:p>
    <w:p>
      <w:pPr>
        <w:pStyle w:val="35"/>
        <w:keepNext w:val="0"/>
        <w:keepLines w:val="0"/>
        <w:pageBreakBefore w:val="0"/>
        <w:widowControl w:val="0"/>
        <w:kinsoku/>
        <w:wordWrap/>
        <w:overflowPunct w:val="0"/>
        <w:topLinePunct w:val="0"/>
        <w:autoSpaceDE/>
        <w:autoSpaceDN/>
        <w:bidi w:val="0"/>
        <w:adjustRightInd/>
        <w:snapToGrid/>
        <w:spacing w:line="360" w:lineRule="auto"/>
        <w:ind w:right="0" w:firstLine="480" w:firstLineChars="200"/>
        <w:textAlignment w:val="auto"/>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监理单位在监理过程中，应对水土保持建设进行质量、进度和投资控制，建立施工过程中临时措施影像、照片等档案资料和质量评定的原始资料。承担水土保持工程监理工作的单位根据监理合同开展工作，并及时编制工程项目水土保持工程监理规划及实施细则，在施工建设各阶段随时进行质量监督。在监理过程中，将出现的问题及时向建设单位汇报，对水土保持设施的单元工程、分部工程、单位工程提出质量评定意见，并指导施工，接受当地水行政主管部门的监督检查，定期将监理成果向建设单位报告。在水土保持设施竣工验收时，监理单位需提交水土保持专项监理报告。</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color w:val="auto"/>
          <w:sz w:val="24"/>
        </w:rPr>
        <w:t>根据《水利部办公厅关于实施生产建设项目水土保持信用监管“两单”制度的通知》（办水保〔2020〕157号）文件，监理单位对施工单位违反规定擅自作出重大变更未予制止和督促整改的；对未批先弃、乱弃乱倒、顺坡溜渣、随意开挖等未予制止和督促整改的，</w:t>
      </w:r>
      <w:r>
        <w:rPr>
          <w:rFonts w:hint="default" w:ascii="Times New Roman" w:hAnsi="Times New Roman" w:eastAsia="仿宋_GB2312" w:cs="Times New Roman"/>
          <w:snapToGrid w:val="0"/>
          <w:color w:val="auto"/>
          <w:sz w:val="24"/>
          <w:szCs w:val="24"/>
        </w:rPr>
        <w:t>将</w:t>
      </w:r>
      <w:r>
        <w:rPr>
          <w:rFonts w:hint="eastAsia" w:eastAsia="仿宋_GB2312" w:cs="Times New Roman"/>
          <w:snapToGrid w:val="0"/>
          <w:color w:val="auto"/>
          <w:sz w:val="24"/>
          <w:szCs w:val="24"/>
          <w:lang w:val="en-US" w:eastAsia="zh-CN"/>
        </w:rPr>
        <w:t>可能被水行政主管部门依法依规</w:t>
      </w:r>
      <w:r>
        <w:rPr>
          <w:rFonts w:hint="eastAsia" w:eastAsia="仿宋_GB2312" w:cs="Times New Roman"/>
          <w:snapToGrid w:val="0"/>
          <w:color w:val="auto"/>
          <w:sz w:val="24"/>
          <w:lang w:val="en-US" w:eastAsia="zh-CN"/>
        </w:rPr>
        <w:t>列入</w:t>
      </w:r>
      <w:r>
        <w:rPr>
          <w:rFonts w:hint="default" w:ascii="Times New Roman" w:hAnsi="Times New Roman" w:eastAsia="仿宋_GB2312" w:cs="Times New Roman"/>
          <w:color w:val="auto"/>
          <w:sz w:val="24"/>
        </w:rPr>
        <w:t>水土保持“重点关注名单”。在监理中弄虚作假，谋取不正当利益的，</w:t>
      </w:r>
      <w:r>
        <w:rPr>
          <w:rFonts w:hint="default" w:ascii="Times New Roman" w:hAnsi="Times New Roman" w:eastAsia="仿宋_GB2312" w:cs="Times New Roman"/>
          <w:snapToGrid w:val="0"/>
          <w:color w:val="auto"/>
          <w:sz w:val="24"/>
          <w:szCs w:val="24"/>
        </w:rPr>
        <w:t>将</w:t>
      </w:r>
      <w:r>
        <w:rPr>
          <w:rFonts w:hint="eastAsia" w:eastAsia="仿宋_GB2312" w:cs="Times New Roman"/>
          <w:snapToGrid w:val="0"/>
          <w:color w:val="auto"/>
          <w:sz w:val="24"/>
          <w:szCs w:val="24"/>
          <w:lang w:val="en-US" w:eastAsia="zh-CN"/>
        </w:rPr>
        <w:t>会被水行政主管部门依法依规</w:t>
      </w:r>
      <w:r>
        <w:rPr>
          <w:rFonts w:hint="eastAsia" w:eastAsia="仿宋_GB2312" w:cs="Times New Roman"/>
          <w:snapToGrid w:val="0"/>
          <w:color w:val="auto"/>
          <w:sz w:val="24"/>
          <w:lang w:val="en-US" w:eastAsia="zh-CN"/>
        </w:rPr>
        <w:t>列入</w:t>
      </w:r>
      <w:r>
        <w:rPr>
          <w:rFonts w:hint="default" w:ascii="Times New Roman" w:hAnsi="Times New Roman" w:eastAsia="仿宋_GB2312" w:cs="Times New Roman"/>
          <w:color w:val="auto"/>
          <w:sz w:val="24"/>
        </w:rPr>
        <w:t>水土保持“黑名单”。</w:t>
      </w:r>
    </w:p>
    <w:p>
      <w:pPr>
        <w:pStyle w:val="5"/>
        <w:pageBreakBefore w:val="0"/>
        <w:kinsoku/>
        <w:wordWrap/>
        <w:bidi w:val="0"/>
        <w:rPr>
          <w:rFonts w:hint="default" w:ascii="Times New Roman" w:hAnsi="Times New Roman" w:eastAsia="仿宋_GB2312" w:cs="Times New Roman"/>
          <w:b/>
          <w:bCs/>
        </w:rPr>
      </w:pPr>
      <w:bookmarkStart w:id="430" w:name="_bookmark49"/>
      <w:bookmarkEnd w:id="430"/>
      <w:bookmarkStart w:id="431" w:name="_Toc1831"/>
      <w:r>
        <w:rPr>
          <w:rFonts w:hint="default" w:ascii="Times New Roman" w:hAnsi="Times New Roman" w:eastAsia="仿宋_GB2312" w:cs="Times New Roman"/>
          <w:b/>
          <w:bCs/>
        </w:rPr>
        <w:t>8.5水土保持施工</w:t>
      </w:r>
      <w:bookmarkEnd w:id="431"/>
    </w:p>
    <w:p>
      <w:pPr>
        <w:pStyle w:val="16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rPr>
        <w:t>建设单位应按照水土保持</w:t>
      </w:r>
      <w:r>
        <w:rPr>
          <w:rFonts w:hint="eastAsia" w:eastAsia="仿宋_GB2312" w:cs="Times New Roman"/>
          <w:color w:val="auto"/>
          <w:sz w:val="24"/>
          <w:lang w:val="en-US" w:eastAsia="zh-CN"/>
        </w:rPr>
        <w:t>法律法规</w:t>
      </w:r>
      <w:r>
        <w:rPr>
          <w:rFonts w:hint="default" w:ascii="Times New Roman" w:hAnsi="Times New Roman" w:eastAsia="仿宋_GB2312" w:cs="Times New Roman"/>
          <w:color w:val="auto"/>
          <w:sz w:val="24"/>
        </w:rPr>
        <w:t>、</w:t>
      </w:r>
      <w:r>
        <w:rPr>
          <w:rFonts w:hint="default" w:ascii="Times New Roman" w:hAnsi="Times New Roman" w:eastAsia="仿宋_GB2312" w:cs="Times New Roman"/>
          <w:snapToGrid w:val="0"/>
          <w:color w:val="auto"/>
          <w:sz w:val="24"/>
          <w:szCs w:val="24"/>
        </w:rPr>
        <w:t>《生产建设项目水土保持方案管理办法》（水利部令第53号）</w:t>
      </w:r>
      <w:r>
        <w:rPr>
          <w:rFonts w:hint="eastAsia" w:ascii="Times New Roman" w:hAnsi="Times New Roman" w:eastAsia="仿宋_GB2312" w:cs="Times New Roman"/>
          <w:snapToGrid w:val="0"/>
          <w:color w:val="auto"/>
          <w:sz w:val="24"/>
          <w:szCs w:val="24"/>
          <w:lang w:val="en-US" w:eastAsia="zh-CN"/>
        </w:rPr>
        <w:t>以及</w:t>
      </w:r>
      <w:r>
        <w:rPr>
          <w:rFonts w:hint="default" w:ascii="Times New Roman" w:hAnsi="Times New Roman" w:eastAsia="仿宋_GB2312" w:cs="Times New Roman"/>
          <w:color w:val="auto"/>
          <w:sz w:val="24"/>
          <w:szCs w:val="24"/>
        </w:rPr>
        <w:t>《水利部关于进一步深化“放管服”改革全面加强水土保持监管的意见》（水保</w:t>
      </w:r>
      <w:r>
        <w:rPr>
          <w:rFonts w:hint="default" w:ascii="Times New Roman" w:hAnsi="Times New Roman" w:eastAsia="仿宋_GB2312" w:cs="Times New Roman"/>
          <w:snapToGrid w:val="0"/>
          <w:color w:val="auto"/>
          <w:sz w:val="24"/>
          <w:szCs w:val="24"/>
          <w:lang w:val="zh-CN"/>
        </w:rPr>
        <w:t>〔</w:t>
      </w:r>
      <w:r>
        <w:rPr>
          <w:rFonts w:hint="default" w:ascii="Times New Roman" w:hAnsi="Times New Roman" w:eastAsia="仿宋_GB2312" w:cs="Times New Roman"/>
          <w:color w:val="auto"/>
          <w:sz w:val="24"/>
          <w:szCs w:val="24"/>
        </w:rPr>
        <w:t>2019</w:t>
      </w:r>
      <w:r>
        <w:rPr>
          <w:rFonts w:hint="default" w:ascii="Times New Roman" w:hAnsi="Times New Roman" w:eastAsia="仿宋_GB2312" w:cs="Times New Roman"/>
          <w:snapToGrid w:val="0"/>
          <w:color w:val="auto"/>
          <w:sz w:val="24"/>
          <w:szCs w:val="24"/>
          <w:lang w:val="zh-CN"/>
        </w:rPr>
        <w:t>〕</w:t>
      </w:r>
      <w:r>
        <w:rPr>
          <w:rFonts w:hint="default" w:ascii="Times New Roman" w:hAnsi="Times New Roman" w:eastAsia="仿宋_GB2312" w:cs="Times New Roman"/>
          <w:color w:val="auto"/>
          <w:sz w:val="24"/>
          <w:szCs w:val="24"/>
        </w:rPr>
        <w:t>160号）</w:t>
      </w:r>
      <w:r>
        <w:rPr>
          <w:rFonts w:hint="eastAsia" w:ascii="Times New Roman" w:hAnsi="Times New Roman" w:eastAsia="仿宋_GB2312" w:cs="Times New Roman"/>
          <w:snapToGrid w:val="0"/>
          <w:color w:val="auto"/>
          <w:sz w:val="24"/>
          <w:szCs w:val="24"/>
          <w:lang w:val="en-US" w:eastAsia="zh-CN"/>
        </w:rPr>
        <w:t xml:space="preserve">等有关规定，严格规范施工管理。应当将水土保持工作任务和内容纳入施工合同，督促施工单位强化水土流失防治主要责任，在建设过程中同步实施水土保持方案提出的水土保持措施，优化施工工艺和时序，提高水土资源利用效率，保证水土保持措施的质量、实施进度和资金投入。切实加强对施工单位的管理，规范施工行为，严格控制施工扰动范围，禁止随意占压破坏地表植被，有效控制可能造成的水土流失。 </w:t>
      </w:r>
      <w:r>
        <w:rPr>
          <w:rFonts w:hint="default" w:ascii="Times New Roman" w:hAnsi="Times New Roman" w:eastAsia="仿宋_GB2312" w:cs="Times New Roman"/>
          <w:color w:val="auto"/>
          <w:sz w:val="24"/>
          <w:szCs w:val="24"/>
          <w:lang w:eastAsia="zh-CN"/>
        </w:rPr>
        <w:t>本期项目</w:t>
      </w:r>
      <w:r>
        <w:rPr>
          <w:rFonts w:hint="default" w:ascii="Times New Roman" w:hAnsi="Times New Roman" w:eastAsia="仿宋_GB2312" w:cs="Times New Roman"/>
          <w:color w:val="auto"/>
          <w:sz w:val="24"/>
          <w:szCs w:val="24"/>
        </w:rPr>
        <w:t>建设单位在合同条款形式明确了承包商应承担的防治水土流失的责任、义务和实施的水土保持措施。工程建设所需砂石料，在购买合同中应明确料场的水土流失防治责任由供货方负责。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color w:val="auto"/>
          <w:sz w:val="24"/>
          <w:szCs w:val="24"/>
        </w:rPr>
        <w:t>根据</w:t>
      </w:r>
      <w:r>
        <w:rPr>
          <w:rFonts w:hint="default" w:ascii="Times New Roman" w:hAnsi="Times New Roman" w:eastAsia="仿宋_GB2312" w:cs="Times New Roman"/>
          <w:snapToGrid w:val="0"/>
          <w:color w:val="auto"/>
          <w:sz w:val="24"/>
          <w:szCs w:val="24"/>
        </w:rPr>
        <w:t>《生产建设项目水土保持方案管理办法》（水利部令第53号）</w:t>
      </w:r>
      <w:r>
        <w:rPr>
          <w:rFonts w:hint="eastAsia" w:ascii="Times New Roman" w:hAnsi="Times New Roman" w:eastAsia="仿宋_GB2312" w:cs="Times New Roman"/>
          <w:snapToGrid w:val="0"/>
          <w:color w:val="auto"/>
          <w:sz w:val="24"/>
          <w:szCs w:val="24"/>
          <w:lang w:val="en-US" w:eastAsia="zh-CN"/>
        </w:rPr>
        <w:t>以及</w:t>
      </w:r>
      <w:r>
        <w:rPr>
          <w:rFonts w:hint="default" w:ascii="Times New Roman" w:hAnsi="Times New Roman" w:eastAsia="仿宋_GB2312" w:cs="Times New Roman"/>
          <w:color w:val="auto"/>
          <w:sz w:val="24"/>
          <w:szCs w:val="24"/>
        </w:rPr>
        <w:t>《水利部办公厅关于实施生产建设项目水土保持信用监管“两单”制度的通知》（办水保〔2020〕157号）文件，施工单位对水土保持工程、植物、临时措施落实到位不足50%的，未按照监督检查、监测、监理意见要求对未批先弃、乱弃乱倒、顺坡溜渣、随意开挖等问题进行整改的，</w:t>
      </w:r>
      <w:r>
        <w:rPr>
          <w:rFonts w:hint="eastAsia" w:eastAsia="仿宋_GB2312" w:cs="Times New Roman"/>
          <w:color w:val="auto"/>
          <w:sz w:val="24"/>
          <w:szCs w:val="24"/>
          <w:lang w:val="en-US" w:eastAsia="zh-CN"/>
        </w:rPr>
        <w:t>将</w:t>
      </w:r>
      <w:r>
        <w:rPr>
          <w:rFonts w:hint="eastAsia" w:eastAsia="仿宋_GB2312" w:cs="Times New Roman"/>
          <w:snapToGrid w:val="0"/>
          <w:color w:val="auto"/>
          <w:sz w:val="24"/>
          <w:szCs w:val="24"/>
          <w:lang w:val="en-US" w:eastAsia="zh-CN"/>
        </w:rPr>
        <w:t>可能被水行政主管部门依法依规</w:t>
      </w:r>
      <w:r>
        <w:rPr>
          <w:rFonts w:hint="default" w:ascii="Times New Roman" w:hAnsi="Times New Roman" w:eastAsia="仿宋_GB2312" w:cs="Times New Roman"/>
          <w:color w:val="auto"/>
          <w:sz w:val="24"/>
          <w:szCs w:val="24"/>
        </w:rPr>
        <w:t>列入水土保持“重点关注名单”。在施工中弄虚作假，谋取不正当利益的，</w:t>
      </w:r>
      <w:r>
        <w:rPr>
          <w:rFonts w:hint="eastAsia" w:eastAsia="仿宋_GB2312" w:cs="Times New Roman"/>
          <w:color w:val="auto"/>
          <w:sz w:val="24"/>
          <w:szCs w:val="24"/>
          <w:lang w:val="en-US" w:eastAsia="zh-CN"/>
        </w:rPr>
        <w:t>将</w:t>
      </w:r>
      <w:r>
        <w:rPr>
          <w:rFonts w:hint="eastAsia" w:eastAsia="仿宋_GB2312" w:cs="Times New Roman"/>
          <w:snapToGrid w:val="0"/>
          <w:color w:val="auto"/>
          <w:sz w:val="24"/>
          <w:szCs w:val="24"/>
          <w:lang w:val="en-US" w:eastAsia="zh-CN"/>
        </w:rPr>
        <w:t>会被水行政主管部门依法依规</w:t>
      </w:r>
      <w:r>
        <w:rPr>
          <w:rFonts w:hint="default" w:ascii="Times New Roman" w:hAnsi="Times New Roman" w:eastAsia="仿宋_GB2312" w:cs="Times New Roman"/>
          <w:color w:val="auto"/>
          <w:sz w:val="24"/>
          <w:szCs w:val="24"/>
        </w:rPr>
        <w:t>列入水土保持“黑名单”。</w:t>
      </w:r>
    </w:p>
    <w:p>
      <w:pPr>
        <w:pStyle w:val="5"/>
        <w:pageBreakBefore w:val="0"/>
        <w:kinsoku/>
        <w:wordWrap/>
        <w:bidi w:val="0"/>
        <w:rPr>
          <w:rFonts w:hint="default" w:ascii="Times New Roman" w:hAnsi="Times New Roman" w:eastAsia="仿宋_GB2312" w:cs="Times New Roman"/>
          <w:b/>
          <w:bCs/>
        </w:rPr>
      </w:pPr>
      <w:bookmarkStart w:id="432" w:name="_Toc32523"/>
      <w:r>
        <w:rPr>
          <w:rFonts w:hint="default" w:ascii="Times New Roman" w:hAnsi="Times New Roman" w:eastAsia="仿宋_GB2312" w:cs="Times New Roman"/>
          <w:b/>
          <w:bCs/>
        </w:rPr>
        <mc:AlternateContent>
          <mc:Choice Requires="wps">
            <w:drawing>
              <wp:anchor distT="0" distB="0" distL="114300" distR="114300" simplePos="0" relativeHeight="251683840" behindDoc="0" locked="0" layoutInCell="0" allowOverlap="1">
                <wp:simplePos x="0" y="0"/>
                <wp:positionH relativeFrom="page">
                  <wp:posOffset>1141095</wp:posOffset>
                </wp:positionH>
                <wp:positionV relativeFrom="page">
                  <wp:posOffset>751205</wp:posOffset>
                </wp:positionV>
                <wp:extent cx="5278755" cy="9525"/>
                <wp:effectExtent l="0" t="0" r="0" b="0"/>
                <wp:wrapNone/>
                <wp:docPr id="170" name="任意多边形 170"/>
                <wp:cNvGraphicFramePr/>
                <a:graphic xmlns:a="http://schemas.openxmlformats.org/drawingml/2006/main">
                  <a:graphicData uri="http://schemas.microsoft.com/office/word/2010/wordprocessingShape">
                    <wps:wsp>
                      <wps:cNvSpPr/>
                      <wps:spPr>
                        <a:xfrm>
                          <a:off x="0" y="0"/>
                          <a:ext cx="5278755" cy="9525"/>
                        </a:xfrm>
                        <a:custGeom>
                          <a:avLst/>
                          <a:gdLst/>
                          <a:ahLst/>
                          <a:cxnLst/>
                          <a:pathLst>
                            <a:path w="8312" h="15">
                              <a:moveTo>
                                <a:pt x="0" y="0"/>
                              </a:moveTo>
                              <a:lnTo>
                                <a:pt x="8312" y="0"/>
                              </a:lnTo>
                              <a:lnTo>
                                <a:pt x="8312"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9.85pt;margin-top:59.15pt;height:0.75pt;width:415.65pt;mso-position-horizontal-relative:page;mso-position-vertical-relative:page;z-index:251683840;mso-width-relative:page;mso-height-relative:page;" fillcolor="#000000" filled="t" stroked="f" coordsize="8312,15" o:allowincell="f" o:gfxdata="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wlJqb2gAAAAwBAAAPAAAA&#10;AAAAAAEAIAAAACIAAABkcnMvZG93bnJldi54bWxQSwECFAAUAAAACACHTuJADekWABMCAAB/BAAA&#10;DgAAAAAAAAABACAAAAApAQAAZHJzL2Uyb0RvYy54bWxQSwUGAAAAAAYABgBZAQAArgUAAAAA&#10;" path="m0,0l8312,0,8312,14,0,14,0,0xe">
                <v:fill on="t" focussize="0,0"/>
                <v:stroke on="f"/>
                <v:imagedata o:title=""/>
                <o:lock v:ext="edit" aspectratio="f"/>
              </v:shape>
            </w:pict>
          </mc:Fallback>
        </mc:AlternateContent>
      </w:r>
      <w:bookmarkStart w:id="433" w:name="_bookmark50"/>
      <w:bookmarkEnd w:id="433"/>
      <w:r>
        <w:rPr>
          <w:rFonts w:hint="default" w:ascii="Times New Roman" w:hAnsi="Times New Roman" w:eastAsia="仿宋_GB2312" w:cs="Times New Roman"/>
          <w:b/>
          <w:bCs/>
        </w:rPr>
        <w:t>8.6水土保持设施验收</w:t>
      </w:r>
      <w:bookmarkEnd w:id="432"/>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rPr>
        <w:t>根据</w:t>
      </w:r>
      <w:r>
        <w:rPr>
          <w:rFonts w:hint="default" w:ascii="Times New Roman" w:hAnsi="Times New Roman" w:eastAsia="仿宋_GB2312" w:cs="Times New Roman"/>
          <w:snapToGrid w:val="0"/>
          <w:color w:val="auto"/>
          <w:sz w:val="24"/>
          <w:szCs w:val="24"/>
        </w:rPr>
        <w:t>《生产建设项目水土保持方案管理办法》（水利部令第53号）</w:t>
      </w:r>
      <w:r>
        <w:rPr>
          <w:rFonts w:hint="eastAsia" w:ascii="Times New Roman" w:hAnsi="Times New Roman" w:eastAsia="仿宋_GB2312" w:cs="Times New Roman"/>
          <w:snapToGrid w:val="0"/>
          <w:color w:val="auto"/>
          <w:sz w:val="24"/>
          <w:szCs w:val="24"/>
          <w:lang w:val="en-US" w:eastAsia="zh-CN"/>
        </w:rPr>
        <w:t>以及</w:t>
      </w:r>
      <w:r>
        <w:rPr>
          <w:rFonts w:hint="default" w:ascii="Times New Roman" w:hAnsi="Times New Roman" w:eastAsia="仿宋_GB2312" w:cs="Times New Roman"/>
          <w:color w:val="auto"/>
          <w:sz w:val="24"/>
        </w:rPr>
        <w:t>《水利部关于加强事中事后监管规范生产建设项目水土保持设施自主验收的通知》（水保〔2017〕365号）</w:t>
      </w:r>
      <w:r>
        <w:rPr>
          <w:rFonts w:hint="eastAsia" w:eastAsia="仿宋_GB2312" w:cs="Times New Roman"/>
          <w:color w:val="auto"/>
          <w:sz w:val="24"/>
          <w:lang w:eastAsia="zh-CN"/>
        </w:rPr>
        <w:t>、</w:t>
      </w:r>
      <w:r>
        <w:rPr>
          <w:rFonts w:hint="default" w:ascii="Times New Roman" w:hAnsi="Times New Roman" w:eastAsia="仿宋_GB2312" w:cs="Times New Roman"/>
          <w:color w:val="auto"/>
          <w:sz w:val="24"/>
        </w:rPr>
        <w:t>《水利部办公厅关于印发生产建设项目水土保持设施自主验收规程（试行）的通知》（办水保〔2018〕133号）</w:t>
      </w:r>
      <w:r>
        <w:rPr>
          <w:rFonts w:hint="eastAsia" w:eastAsia="仿宋_GB2312" w:cs="Times New Roman"/>
          <w:color w:val="auto"/>
          <w:sz w:val="24"/>
          <w:lang w:eastAsia="zh-CN"/>
        </w:rPr>
        <w:t>、</w:t>
      </w:r>
      <w:r>
        <w:rPr>
          <w:rFonts w:hint="default" w:ascii="Times New Roman" w:hAnsi="Times New Roman" w:eastAsia="仿宋_GB2312" w:cs="Times New Roman"/>
          <w:color w:val="auto"/>
          <w:sz w:val="24"/>
        </w:rPr>
        <w:t>《水利部办公厅关于印发生产建设项目水土保持监督管理办法的通知》（办水保〔2019〕172号）</w:t>
      </w:r>
      <w:r>
        <w:rPr>
          <w:rFonts w:hint="eastAsia" w:eastAsia="仿宋_GB2312" w:cs="Times New Roman"/>
          <w:color w:val="auto"/>
          <w:sz w:val="24"/>
          <w:lang w:val="en-US" w:eastAsia="zh-CN"/>
        </w:rPr>
        <w:t>等有关规定</w:t>
      </w:r>
      <w:r>
        <w:rPr>
          <w:rFonts w:hint="default" w:ascii="Times New Roman" w:hAnsi="Times New Roman" w:eastAsia="仿宋_GB2312" w:cs="Times New Roman"/>
          <w:color w:val="auto"/>
          <w:sz w:val="24"/>
        </w:rPr>
        <w:t>，依法编制水土保持方案报告书的生产建设项目投产使用前，建设单位应当</w:t>
      </w:r>
      <w:r>
        <w:rPr>
          <w:rFonts w:hint="eastAsia" w:ascii="Times New Roman" w:hAnsi="Times New Roman" w:eastAsia="仿宋_GB2312" w:cs="Times New Roman"/>
          <w:color w:val="auto"/>
          <w:sz w:val="24"/>
          <w:lang w:val="en-US" w:eastAsia="zh-CN"/>
        </w:rPr>
        <w:t>按规定</w:t>
      </w:r>
      <w:r>
        <w:rPr>
          <w:rFonts w:hint="default" w:ascii="Times New Roman" w:hAnsi="Times New Roman" w:eastAsia="仿宋_GB2312" w:cs="Times New Roman"/>
          <w:color w:val="auto"/>
          <w:sz w:val="24"/>
        </w:rPr>
        <w:t>组织第三方机构</w:t>
      </w:r>
      <w:r>
        <w:rPr>
          <w:rFonts w:hint="eastAsia" w:ascii="Times New Roman" w:hAnsi="Times New Roman" w:eastAsia="仿宋_GB2312" w:cs="Times New Roman"/>
          <w:color w:val="auto"/>
          <w:sz w:val="24"/>
          <w:lang w:eastAsia="zh-CN"/>
        </w:rPr>
        <w:t>（</w:t>
      </w:r>
      <w:r>
        <w:rPr>
          <w:rFonts w:hint="eastAsia" w:ascii="Times New Roman" w:hAnsi="Times New Roman" w:eastAsia="仿宋_GB2312" w:cs="Times New Roman"/>
          <w:color w:val="auto"/>
          <w:sz w:val="24"/>
          <w:lang w:val="en-US" w:eastAsia="zh-CN"/>
        </w:rPr>
        <w:t>注：</w:t>
      </w:r>
      <w:r>
        <w:rPr>
          <w:rFonts w:hint="eastAsia" w:ascii="Times New Roman" w:hAnsi="Times New Roman" w:eastAsia="仿宋_GB2312" w:cs="Times New Roman"/>
          <w:color w:val="auto"/>
          <w:sz w:val="24"/>
          <w:lang w:eastAsia="zh-CN"/>
        </w:rPr>
        <w:t>承担生产建设项目水土保持方案技术评审、水土保持监测、水土保持监理工作的单位不得作为该生产建设项目水土保持设施验收报告编制的第三方机构）</w:t>
      </w:r>
      <w:r>
        <w:rPr>
          <w:rFonts w:hint="default" w:ascii="Times New Roman" w:hAnsi="Times New Roman" w:eastAsia="仿宋_GB2312" w:cs="Times New Roman"/>
          <w:color w:val="auto"/>
          <w:sz w:val="24"/>
        </w:rPr>
        <w:t>编制水土保持设施验收报告</w:t>
      </w:r>
      <w:r>
        <w:rPr>
          <w:rFonts w:hint="eastAsia" w:ascii="Times New Roman" w:hAnsi="Times New Roman" w:eastAsia="仿宋_GB2312" w:cs="Times New Roman"/>
          <w:color w:val="auto"/>
          <w:sz w:val="24"/>
          <w:lang w:val="en-US" w:eastAsia="zh-CN"/>
        </w:rPr>
        <w:t>并履行相关报备手续，本项目水土保持设施自主验收工作应按照《吉林省水利厅关于印发省级生产建设项目水土保持设施自主验收报备政务事项服务指南的通知》（吉水保〔2022〕197号）等有关规定执行。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水土保持设施验收报告编制完成后，建设单位应当按照水土保持法律法规、标准规范、水土保持方案及其审批决定、水土保持设施后续设计</w:t>
      </w:r>
      <w:r>
        <w:rPr>
          <w:rFonts w:hint="eastAsia" w:ascii="Times New Roman" w:hAnsi="Times New Roman" w:eastAsia="仿宋_GB2312" w:cs="Times New Roman"/>
          <w:color w:val="auto"/>
          <w:sz w:val="24"/>
          <w:lang w:val="en-US" w:eastAsia="zh-CN"/>
        </w:rPr>
        <w:t>及其审查（审核）意见</w:t>
      </w:r>
      <w:r>
        <w:rPr>
          <w:rFonts w:hint="default" w:ascii="Times New Roman" w:hAnsi="Times New Roman" w:eastAsia="仿宋_GB2312" w:cs="Times New Roman"/>
          <w:color w:val="auto"/>
          <w:sz w:val="24"/>
        </w:rPr>
        <w:t>等，组织水土保持设施验收工作，形成水土保持设施验收鉴定书，明确水土保持设施验收合格的结论。水土保持设施自主验收报备应当提交水土保持设施验收鉴定书、水土保持设施验收报告和水土保持监测总结报告。</w:t>
      </w:r>
    </w:p>
    <w:p>
      <w:pPr>
        <w:pStyle w:val="164"/>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水土保持设施验收报告编制完成后，建设单位应当按照水土保持法律法规、标准规范、水土保持方案及其审批决定、水土保持后续设计等，组织水土保持设施验收工作，形成验收鉴定书，明确水土保持设施验收合格的结论。水土保持设施验收合格后，</w:t>
      </w:r>
      <w:r>
        <w:rPr>
          <w:rFonts w:hint="default" w:ascii="Times New Roman" w:hAnsi="Times New Roman" w:eastAsia="仿宋_GB2312" w:cs="Times New Roman"/>
          <w:color w:val="auto"/>
          <w:sz w:val="24"/>
        </w:rPr>
        <w:t>项目方可投入使用</w:t>
      </w:r>
      <w:r>
        <w:rPr>
          <w:rFonts w:hint="default" w:ascii="Times New Roman" w:hAnsi="Times New Roman" w:eastAsia="仿宋_GB2312" w:cs="Times New Roman"/>
          <w:color w:val="auto"/>
          <w:sz w:val="24"/>
          <w:szCs w:val="24"/>
        </w:rPr>
        <w:t>。</w:t>
      </w:r>
    </w:p>
    <w:p>
      <w:pPr>
        <w:pStyle w:val="164"/>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根据《生产建设项目水土保持方案管理办法》（2023年1月17日水利部令第53号发布），水土保持设施未验收或者验收不合格的，生产建设项目不得投产使用。存在下列情形之一的，水土保持设施验收结论应当为不合格：（一）未依法依规履行水土保持方案编报审批程序或者开展水土保持监测、监理的；（二）弃土弃渣未堆放在经批准的水土保持方案确定的专门存放地的；水土保持措施体系、等级和标准或者水土流失防治标准未按照水土保持方案批复要求落实的；（三）存在水土流失风险隐患的；（四）水土保持设施验收材料明显不实、内容存在重大缺项、遗漏的；（五）存在法律法规和技术标准规定不得通过水土保持设施验收的其他情形的。</w:t>
      </w:r>
    </w:p>
    <w:p>
      <w:pPr>
        <w:pStyle w:val="164"/>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rPr>
        <w:t>建设单位应当在</w:t>
      </w:r>
      <w:r>
        <w:rPr>
          <w:rFonts w:hint="default" w:ascii="Times New Roman" w:hAnsi="Times New Roman" w:eastAsia="仿宋_GB2312" w:cs="Times New Roman"/>
          <w:color w:val="auto"/>
          <w:sz w:val="24"/>
          <w:lang w:eastAsia="zh-CN"/>
        </w:rPr>
        <w:t>本期项目</w:t>
      </w:r>
      <w:r>
        <w:rPr>
          <w:rFonts w:hint="default" w:ascii="Times New Roman" w:hAnsi="Times New Roman" w:eastAsia="仿宋_GB2312" w:cs="Times New Roman"/>
          <w:color w:val="auto"/>
          <w:sz w:val="24"/>
        </w:rPr>
        <w:t>的水土保持设施验收合格后</w:t>
      </w:r>
      <w:r>
        <w:rPr>
          <w:rFonts w:hint="default" w:ascii="Times New Roman" w:hAnsi="Times New Roman" w:eastAsia="仿宋_GB2312" w:cs="Times New Roman"/>
          <w:color w:val="auto"/>
          <w:sz w:val="24"/>
          <w:szCs w:val="24"/>
        </w:rPr>
        <w:t>，及时在其官方网站或者其他公众知悉的网站公示水土保持设施验收材料，公示时间不得少于20个工作日。对于公众反映的主要问题和意见，生产建设单位应当及时给予处理或回应。</w:t>
      </w:r>
    </w:p>
    <w:p>
      <w:pPr>
        <w:pStyle w:val="164"/>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建设单位应当在水土保持措施验收通过3个月内，向水土保持方案审批机关报备水土保持设施验收材料。报备材料包括水土保持设施验收鉴定书、水土保持设施验收报告和水土保持监测总结报告。建设单位、第三方机构和水土保持监测机构分别对水土保持设施验收鉴定书、水土保持设施验收报告和水土保持监测总结报告等材料的真实性负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napToGrid w:val="0"/>
          <w:color w:val="auto"/>
          <w:sz w:val="24"/>
        </w:rPr>
        <w:t>根据</w:t>
      </w:r>
      <w:r>
        <w:rPr>
          <w:rFonts w:hint="default" w:ascii="Times New Roman" w:hAnsi="Times New Roman" w:eastAsia="仿宋_GB2312" w:cs="Times New Roman"/>
          <w:snapToGrid w:val="0"/>
          <w:color w:val="auto"/>
          <w:sz w:val="24"/>
          <w:szCs w:val="24"/>
        </w:rPr>
        <w:t>《生产建设项目水土保持方案管理办法》（水利部令第53号）</w:t>
      </w:r>
      <w:r>
        <w:rPr>
          <w:rFonts w:hint="eastAsia" w:ascii="Times New Roman" w:hAnsi="Times New Roman" w:eastAsia="仿宋_GB2312" w:cs="Times New Roman"/>
          <w:snapToGrid w:val="0"/>
          <w:color w:val="auto"/>
          <w:sz w:val="24"/>
          <w:szCs w:val="24"/>
          <w:lang w:val="en-US" w:eastAsia="zh-CN"/>
        </w:rPr>
        <w:t>以及</w:t>
      </w:r>
      <w:r>
        <w:rPr>
          <w:rFonts w:hint="default" w:ascii="Times New Roman" w:hAnsi="Times New Roman" w:eastAsia="仿宋_GB2312" w:cs="Times New Roman"/>
          <w:snapToGrid w:val="0"/>
          <w:color w:val="auto"/>
          <w:sz w:val="24"/>
        </w:rPr>
        <w:t>《水利部办公厅关于实施生产建设项目水土保持信用监管“两单”制度的通知》（办水保〔2020〕157号）</w:t>
      </w:r>
      <w:r>
        <w:rPr>
          <w:rFonts w:hint="eastAsia" w:eastAsia="仿宋_GB2312" w:cs="Times New Roman"/>
          <w:snapToGrid w:val="0"/>
          <w:color w:val="auto"/>
          <w:sz w:val="24"/>
          <w:lang w:val="en-US" w:eastAsia="zh-CN"/>
        </w:rPr>
        <w:t>等有关规定</w:t>
      </w:r>
      <w:r>
        <w:rPr>
          <w:rFonts w:hint="default" w:ascii="Times New Roman" w:hAnsi="Times New Roman" w:eastAsia="仿宋_GB2312" w:cs="Times New Roman"/>
          <w:snapToGrid w:val="0"/>
          <w:color w:val="auto"/>
          <w:sz w:val="24"/>
        </w:rPr>
        <w:t>，验收报告编制单位存在不满足验收标准和条件而作出验收合格结论的，</w:t>
      </w:r>
      <w:r>
        <w:rPr>
          <w:rFonts w:hint="eastAsia" w:eastAsia="仿宋_GB2312" w:cs="Times New Roman"/>
          <w:color w:val="auto"/>
          <w:sz w:val="24"/>
          <w:szCs w:val="24"/>
          <w:lang w:val="en-US" w:eastAsia="zh-CN"/>
        </w:rPr>
        <w:t>将</w:t>
      </w:r>
      <w:r>
        <w:rPr>
          <w:rFonts w:hint="eastAsia" w:eastAsia="仿宋_GB2312" w:cs="Times New Roman"/>
          <w:snapToGrid w:val="0"/>
          <w:color w:val="auto"/>
          <w:sz w:val="24"/>
          <w:szCs w:val="24"/>
          <w:lang w:val="en-US" w:eastAsia="zh-CN"/>
        </w:rPr>
        <w:t>可能被水行政主管部门依法依规</w:t>
      </w:r>
      <w:r>
        <w:rPr>
          <w:rFonts w:hint="default" w:ascii="Times New Roman" w:hAnsi="Times New Roman" w:eastAsia="仿宋_GB2312" w:cs="Times New Roman"/>
          <w:snapToGrid w:val="0"/>
          <w:color w:val="auto"/>
          <w:sz w:val="24"/>
        </w:rPr>
        <w:t>列入水土保持“重点关注名单”。在“重点关注名单”公开期内再次发生将列入“重点关注名单”情形的，或在设计工作及相关技术成果中弄虚作假、谋取不正当利益的，或被实施水土保持行政强制的，或拒不执行水土保持行政处罚决定的，</w:t>
      </w:r>
      <w:r>
        <w:rPr>
          <w:rFonts w:hint="eastAsia" w:eastAsia="仿宋_GB2312" w:cs="Times New Roman"/>
          <w:color w:val="auto"/>
          <w:sz w:val="24"/>
          <w:szCs w:val="24"/>
          <w:lang w:val="en-US" w:eastAsia="zh-CN"/>
        </w:rPr>
        <w:t>将</w:t>
      </w:r>
      <w:r>
        <w:rPr>
          <w:rFonts w:hint="eastAsia" w:eastAsia="仿宋_GB2312" w:cs="Times New Roman"/>
          <w:snapToGrid w:val="0"/>
          <w:color w:val="auto"/>
          <w:sz w:val="24"/>
          <w:szCs w:val="24"/>
          <w:lang w:val="en-US" w:eastAsia="zh-CN"/>
        </w:rPr>
        <w:t>会被水行政主管部门依法依规</w:t>
      </w:r>
      <w:r>
        <w:rPr>
          <w:rFonts w:hint="default" w:ascii="Times New Roman" w:hAnsi="Times New Roman" w:eastAsia="仿宋_GB2312" w:cs="Times New Roman"/>
          <w:snapToGrid w:val="0"/>
          <w:color w:val="auto"/>
          <w:sz w:val="24"/>
        </w:rPr>
        <w:t>列入水土保持“黑名单”。</w:t>
      </w:r>
    </w:p>
    <w:p>
      <w:pPr>
        <w:pStyle w:val="153"/>
        <w:pageBreakBefore w:val="0"/>
        <w:kinsoku/>
        <w:wordWrap/>
        <w:bidi w:val="0"/>
        <w:rPr>
          <w:rFonts w:hint="default" w:ascii="Times New Roman" w:hAnsi="Times New Roman" w:eastAsia="仿宋_GB2312" w:cs="Times New Roman"/>
          <w:bCs/>
          <w:sz w:val="24"/>
          <w:highlight w:val="none"/>
        </w:rPr>
      </w:pPr>
    </w:p>
    <w:p>
      <w:pPr>
        <w:pStyle w:val="153"/>
        <w:pageBreakBefore w:val="0"/>
        <w:kinsoku/>
        <w:wordWrap/>
        <w:bidi w:val="0"/>
        <w:rPr>
          <w:rFonts w:hint="default" w:ascii="Times New Roman" w:hAnsi="Times New Roman" w:eastAsia="仿宋_GB2312" w:cs="Times New Roman"/>
          <w:bCs/>
          <w:sz w:val="24"/>
          <w:highlight w:val="none"/>
        </w:rPr>
        <w:sectPr>
          <w:headerReference r:id="rId28" w:type="default"/>
          <w:footerReference r:id="rId29" w:type="default"/>
          <w:pgSz w:w="11910" w:h="16850"/>
          <w:pgMar w:top="1440" w:right="1800" w:bottom="1440" w:left="1800" w:header="850" w:footer="992" w:gutter="0"/>
          <w:pgBorders>
            <w:top w:val="none" w:sz="0" w:space="0"/>
            <w:left w:val="none" w:sz="0" w:space="0"/>
            <w:bottom w:val="none" w:sz="0" w:space="0"/>
            <w:right w:val="none" w:sz="0" w:space="0"/>
          </w:pgBorders>
          <w:pgNumType w:fmt="decimal"/>
          <w:cols w:space="720" w:num="1"/>
        </w:sectPr>
      </w:pPr>
    </w:p>
    <w:p>
      <w:pPr>
        <w:keepNext w:val="0"/>
        <w:keepLines w:val="0"/>
        <w:pageBreakBefore w:val="0"/>
        <w:widowControl w:val="0"/>
        <w:kinsoku/>
        <w:wordWrap/>
        <w:overflowPunct/>
        <w:topLinePunct w:val="0"/>
        <w:bidi w:val="0"/>
        <w:adjustRightInd/>
        <w:snapToGrid/>
        <w:ind w:left="0" w:right="0"/>
        <w:jc w:val="center"/>
        <w:textAlignment w:val="auto"/>
        <w:rPr>
          <w:rFonts w:hint="default" w:ascii="Times New Roman" w:hAnsi="Times New Roman" w:cs="Times New Roman"/>
          <w:highlight w:val="none"/>
        </w:rPr>
      </w:pPr>
    </w:p>
    <w:p>
      <w:pPr>
        <w:pStyle w:val="35"/>
        <w:keepNext w:val="0"/>
        <w:keepLines w:val="0"/>
        <w:pageBreakBefore w:val="0"/>
        <w:widowControl w:val="0"/>
        <w:kinsoku/>
        <w:wordWrap/>
        <w:overflowPunct/>
        <w:topLinePunct w:val="0"/>
        <w:bidi w:val="0"/>
        <w:adjustRightInd/>
        <w:snapToGrid/>
        <w:ind w:left="0" w:right="0"/>
        <w:jc w:val="center"/>
        <w:textAlignment w:val="auto"/>
        <w:rPr>
          <w:rFonts w:hint="default" w:ascii="Times New Roman" w:hAnsi="Times New Roman" w:cs="Times New Roman"/>
          <w:sz w:val="20"/>
          <w:highlight w:val="none"/>
        </w:rPr>
      </w:pPr>
    </w:p>
    <w:p>
      <w:pPr>
        <w:pStyle w:val="35"/>
        <w:keepNext w:val="0"/>
        <w:keepLines w:val="0"/>
        <w:pageBreakBefore w:val="0"/>
        <w:widowControl w:val="0"/>
        <w:kinsoku/>
        <w:wordWrap/>
        <w:overflowPunct/>
        <w:topLinePunct w:val="0"/>
        <w:bidi w:val="0"/>
        <w:adjustRightInd/>
        <w:snapToGrid/>
        <w:spacing w:before="1"/>
        <w:ind w:left="0" w:right="0"/>
        <w:jc w:val="center"/>
        <w:textAlignment w:val="auto"/>
        <w:rPr>
          <w:rFonts w:hint="default" w:ascii="Times New Roman" w:hAnsi="Times New Roman" w:cs="Times New Roman"/>
          <w:sz w:val="25"/>
          <w:highlight w:val="none"/>
        </w:rPr>
      </w:pPr>
    </w:p>
    <w:p>
      <w:pPr>
        <w:keepNext w:val="0"/>
        <w:keepLines w:val="0"/>
        <w:pageBreakBefore w:val="0"/>
        <w:widowControl w:val="0"/>
        <w:kinsoku/>
        <w:wordWrap/>
        <w:overflowPunct/>
        <w:topLinePunct w:val="0"/>
        <w:bidi w:val="0"/>
        <w:adjustRightInd/>
        <w:snapToGrid/>
        <w:spacing w:before="38"/>
        <w:ind w:left="0" w:right="0"/>
        <w:jc w:val="center"/>
        <w:textAlignment w:val="auto"/>
        <w:rPr>
          <w:rFonts w:hint="default" w:ascii="Times New Roman" w:hAnsi="Times New Roman" w:eastAsia="宋体" w:cs="Times New Roman"/>
          <w:b/>
          <w:sz w:val="36"/>
          <w:szCs w:val="36"/>
          <w:highlight w:val="none"/>
          <w:lang w:eastAsia="zh-CN"/>
        </w:rPr>
      </w:pPr>
      <w:r>
        <w:rPr>
          <w:rFonts w:hint="eastAsia" w:cs="Times New Roman"/>
          <w:b/>
          <w:sz w:val="36"/>
          <w:szCs w:val="36"/>
          <w:highlight w:val="none"/>
          <w:lang w:val="en-US" w:eastAsia="zh-CN"/>
        </w:rPr>
        <w:t>长春国际物流经济开发区新兴建材产业园区建设</w:t>
      </w:r>
      <w:r>
        <w:rPr>
          <w:rFonts w:hint="eastAsia" w:cs="Times New Roman"/>
          <w:b/>
          <w:sz w:val="36"/>
          <w:szCs w:val="36"/>
          <w:highlight w:val="none"/>
          <w:lang w:eastAsia="zh-CN"/>
        </w:rPr>
        <w:t>项目</w:t>
      </w:r>
    </w:p>
    <w:p>
      <w:pPr>
        <w:pStyle w:val="35"/>
        <w:keepNext w:val="0"/>
        <w:keepLines w:val="0"/>
        <w:pageBreakBefore w:val="0"/>
        <w:widowControl w:val="0"/>
        <w:kinsoku/>
        <w:wordWrap/>
        <w:overflowPunct/>
        <w:topLinePunct w:val="0"/>
        <w:bidi w:val="0"/>
        <w:adjustRightInd/>
        <w:snapToGrid/>
        <w:spacing w:before="7"/>
        <w:ind w:left="0" w:right="0"/>
        <w:jc w:val="center"/>
        <w:textAlignment w:val="auto"/>
        <w:rPr>
          <w:rFonts w:hint="default" w:ascii="Times New Roman" w:hAnsi="Times New Roman" w:cs="Times New Roman"/>
          <w:b/>
          <w:sz w:val="38"/>
          <w:highlight w:val="none"/>
        </w:rPr>
      </w:pPr>
    </w:p>
    <w:p>
      <w:pPr>
        <w:keepNext w:val="0"/>
        <w:keepLines w:val="0"/>
        <w:pageBreakBefore w:val="0"/>
        <w:widowControl w:val="0"/>
        <w:kinsoku/>
        <w:wordWrap/>
        <w:overflowPunct/>
        <w:topLinePunct w:val="0"/>
        <w:bidi w:val="0"/>
        <w:adjustRightInd/>
        <w:snapToGrid/>
        <w:ind w:left="0" w:right="0"/>
        <w:jc w:val="center"/>
        <w:textAlignment w:val="auto"/>
        <w:rPr>
          <w:rFonts w:hint="default" w:ascii="Times New Roman" w:hAnsi="Times New Roman" w:eastAsia="黑体" w:cs="Times New Roman"/>
          <w:b/>
          <w:sz w:val="72"/>
          <w:szCs w:val="72"/>
          <w:highlight w:val="none"/>
        </w:rPr>
      </w:pPr>
      <w:r>
        <w:rPr>
          <w:rFonts w:hint="default" w:ascii="Times New Roman" w:hAnsi="Times New Roman" w:eastAsia="黑体" w:cs="Times New Roman"/>
          <w:b/>
          <w:sz w:val="72"/>
          <w:szCs w:val="72"/>
          <w:highlight w:val="none"/>
        </w:rPr>
        <w:t>水土保持方案报告书</w:t>
      </w:r>
    </w:p>
    <w:p>
      <w:pPr>
        <w:pStyle w:val="152"/>
        <w:keepNext w:val="0"/>
        <w:keepLines w:val="0"/>
        <w:pageBreakBefore w:val="0"/>
        <w:widowControl w:val="0"/>
        <w:kinsoku/>
        <w:wordWrap/>
        <w:overflowPunct/>
        <w:topLinePunct w:val="0"/>
        <w:bidi w:val="0"/>
        <w:adjustRightInd/>
        <w:snapToGrid/>
        <w:ind w:left="0" w:right="0"/>
        <w:jc w:val="center"/>
        <w:textAlignment w:val="auto"/>
        <w:rPr>
          <w:rFonts w:hint="default" w:ascii="Times New Roman" w:hAnsi="Times New Roman" w:cs="Times New Roman"/>
          <w:highlight w:val="none"/>
        </w:rPr>
      </w:pPr>
    </w:p>
    <w:p>
      <w:pPr>
        <w:pStyle w:val="35"/>
        <w:keepNext w:val="0"/>
        <w:keepLines w:val="0"/>
        <w:pageBreakBefore w:val="0"/>
        <w:widowControl w:val="0"/>
        <w:kinsoku/>
        <w:wordWrap/>
        <w:overflowPunct/>
        <w:topLinePunct w:val="0"/>
        <w:bidi w:val="0"/>
        <w:adjustRightInd/>
        <w:snapToGrid/>
        <w:ind w:left="0" w:right="0"/>
        <w:jc w:val="center"/>
        <w:textAlignment w:val="auto"/>
        <w:rPr>
          <w:rFonts w:hint="default" w:ascii="Times New Roman" w:hAnsi="Times New Roman" w:cs="Times New Roman"/>
          <w:b/>
          <w:sz w:val="44"/>
          <w:szCs w:val="44"/>
          <w:highlight w:val="none"/>
        </w:rPr>
      </w:pPr>
      <w:r>
        <w:rPr>
          <w:rFonts w:hint="default" w:ascii="Times New Roman" w:hAnsi="Times New Roman" w:cs="Times New Roman"/>
          <w:b/>
          <w:sz w:val="44"/>
          <w:szCs w:val="44"/>
          <w:highlight w:val="none"/>
        </w:rPr>
        <w:t>附表</w:t>
      </w:r>
    </w:p>
    <w:p>
      <w:pPr>
        <w:pStyle w:val="35"/>
        <w:keepNext w:val="0"/>
        <w:keepLines w:val="0"/>
        <w:pageBreakBefore w:val="0"/>
        <w:widowControl w:val="0"/>
        <w:kinsoku/>
        <w:wordWrap/>
        <w:overflowPunct/>
        <w:topLinePunct w:val="0"/>
        <w:bidi w:val="0"/>
        <w:adjustRightInd/>
        <w:snapToGrid/>
        <w:ind w:left="0" w:right="0"/>
        <w:jc w:val="center"/>
        <w:textAlignment w:val="auto"/>
        <w:rPr>
          <w:rFonts w:hint="default" w:ascii="Times New Roman" w:hAnsi="Times New Roman" w:cs="Times New Roman"/>
          <w:b/>
          <w:sz w:val="44"/>
          <w:highlight w:val="none"/>
        </w:rPr>
      </w:pPr>
    </w:p>
    <w:p>
      <w:pPr>
        <w:pStyle w:val="35"/>
        <w:keepNext w:val="0"/>
        <w:keepLines w:val="0"/>
        <w:pageBreakBefore w:val="0"/>
        <w:widowControl w:val="0"/>
        <w:kinsoku/>
        <w:wordWrap/>
        <w:overflowPunct/>
        <w:topLinePunct w:val="0"/>
        <w:bidi w:val="0"/>
        <w:adjustRightInd/>
        <w:snapToGrid/>
        <w:ind w:left="0" w:right="0"/>
        <w:jc w:val="center"/>
        <w:textAlignment w:val="auto"/>
        <w:rPr>
          <w:rFonts w:hint="default" w:ascii="Times New Roman" w:hAnsi="Times New Roman" w:cs="Times New Roman"/>
          <w:b/>
          <w:sz w:val="44"/>
          <w:highlight w:val="none"/>
        </w:rPr>
      </w:pPr>
    </w:p>
    <w:p>
      <w:pPr>
        <w:pStyle w:val="35"/>
        <w:keepNext w:val="0"/>
        <w:keepLines w:val="0"/>
        <w:pageBreakBefore w:val="0"/>
        <w:widowControl w:val="0"/>
        <w:kinsoku/>
        <w:wordWrap/>
        <w:overflowPunct/>
        <w:topLinePunct w:val="0"/>
        <w:bidi w:val="0"/>
        <w:adjustRightInd/>
        <w:snapToGrid/>
        <w:ind w:left="0" w:right="0"/>
        <w:jc w:val="center"/>
        <w:textAlignment w:val="auto"/>
        <w:rPr>
          <w:rFonts w:hint="default" w:ascii="Times New Roman" w:hAnsi="Times New Roman" w:cs="Times New Roman"/>
          <w:b/>
          <w:sz w:val="44"/>
          <w:highlight w:val="none"/>
        </w:rPr>
      </w:pPr>
    </w:p>
    <w:p>
      <w:pPr>
        <w:pStyle w:val="35"/>
        <w:keepNext w:val="0"/>
        <w:keepLines w:val="0"/>
        <w:pageBreakBefore w:val="0"/>
        <w:widowControl w:val="0"/>
        <w:kinsoku/>
        <w:wordWrap/>
        <w:overflowPunct/>
        <w:topLinePunct w:val="0"/>
        <w:bidi w:val="0"/>
        <w:adjustRightInd/>
        <w:snapToGrid/>
        <w:ind w:left="0" w:right="0"/>
        <w:jc w:val="center"/>
        <w:textAlignment w:val="auto"/>
        <w:rPr>
          <w:rFonts w:hint="default" w:ascii="Times New Roman" w:hAnsi="Times New Roman" w:cs="Times New Roman"/>
          <w:b/>
          <w:sz w:val="44"/>
          <w:highlight w:val="none"/>
        </w:rPr>
      </w:pPr>
    </w:p>
    <w:p>
      <w:pPr>
        <w:pStyle w:val="35"/>
        <w:keepNext w:val="0"/>
        <w:keepLines w:val="0"/>
        <w:pageBreakBefore w:val="0"/>
        <w:widowControl w:val="0"/>
        <w:kinsoku/>
        <w:wordWrap/>
        <w:overflowPunct/>
        <w:topLinePunct w:val="0"/>
        <w:bidi w:val="0"/>
        <w:adjustRightInd/>
        <w:snapToGrid/>
        <w:ind w:left="0" w:right="0"/>
        <w:jc w:val="center"/>
        <w:textAlignment w:val="auto"/>
        <w:rPr>
          <w:rFonts w:hint="default" w:ascii="Times New Roman" w:hAnsi="Times New Roman" w:cs="Times New Roman"/>
          <w:b/>
          <w:sz w:val="44"/>
          <w:highlight w:val="none"/>
        </w:rPr>
      </w:pPr>
    </w:p>
    <w:p>
      <w:pPr>
        <w:pStyle w:val="35"/>
        <w:keepNext w:val="0"/>
        <w:keepLines w:val="0"/>
        <w:pageBreakBefore w:val="0"/>
        <w:widowControl w:val="0"/>
        <w:kinsoku/>
        <w:wordWrap/>
        <w:overflowPunct/>
        <w:topLinePunct w:val="0"/>
        <w:bidi w:val="0"/>
        <w:adjustRightInd/>
        <w:snapToGrid/>
        <w:ind w:left="0" w:right="0"/>
        <w:jc w:val="center"/>
        <w:textAlignment w:val="auto"/>
        <w:rPr>
          <w:rFonts w:hint="default" w:ascii="Times New Roman" w:hAnsi="Times New Roman" w:cs="Times New Roman"/>
          <w:b/>
          <w:sz w:val="44"/>
          <w:highlight w:val="none"/>
        </w:rPr>
      </w:pPr>
    </w:p>
    <w:p>
      <w:pPr>
        <w:pStyle w:val="35"/>
        <w:keepNext w:val="0"/>
        <w:keepLines w:val="0"/>
        <w:pageBreakBefore w:val="0"/>
        <w:widowControl w:val="0"/>
        <w:kinsoku/>
        <w:wordWrap/>
        <w:overflowPunct/>
        <w:topLinePunct w:val="0"/>
        <w:bidi w:val="0"/>
        <w:adjustRightInd/>
        <w:snapToGrid/>
        <w:ind w:left="0" w:right="0"/>
        <w:jc w:val="center"/>
        <w:textAlignment w:val="auto"/>
        <w:rPr>
          <w:rFonts w:hint="default" w:ascii="Times New Roman" w:hAnsi="Times New Roman" w:cs="Times New Roman"/>
          <w:b/>
          <w:sz w:val="44"/>
          <w:highlight w:val="none"/>
        </w:rPr>
      </w:pPr>
    </w:p>
    <w:p>
      <w:pPr>
        <w:pStyle w:val="35"/>
        <w:keepNext w:val="0"/>
        <w:keepLines w:val="0"/>
        <w:pageBreakBefore w:val="0"/>
        <w:widowControl w:val="0"/>
        <w:kinsoku/>
        <w:wordWrap/>
        <w:overflowPunct/>
        <w:topLinePunct w:val="0"/>
        <w:bidi w:val="0"/>
        <w:adjustRightInd/>
        <w:snapToGrid/>
        <w:ind w:left="0" w:right="0"/>
        <w:jc w:val="center"/>
        <w:textAlignment w:val="auto"/>
        <w:rPr>
          <w:rFonts w:hint="default" w:ascii="Times New Roman" w:hAnsi="Times New Roman" w:cs="Times New Roman"/>
          <w:b/>
          <w:sz w:val="44"/>
          <w:highlight w:val="none"/>
        </w:rPr>
      </w:pPr>
    </w:p>
    <w:p>
      <w:pPr>
        <w:pStyle w:val="35"/>
        <w:keepNext w:val="0"/>
        <w:keepLines w:val="0"/>
        <w:pageBreakBefore w:val="0"/>
        <w:widowControl w:val="0"/>
        <w:kinsoku/>
        <w:wordWrap/>
        <w:overflowPunct/>
        <w:topLinePunct w:val="0"/>
        <w:bidi w:val="0"/>
        <w:adjustRightInd/>
        <w:snapToGrid/>
        <w:ind w:left="0" w:right="0"/>
        <w:jc w:val="center"/>
        <w:textAlignment w:val="auto"/>
        <w:rPr>
          <w:rFonts w:hint="default" w:ascii="Times New Roman" w:hAnsi="Times New Roman" w:cs="Times New Roman"/>
          <w:b/>
          <w:sz w:val="44"/>
          <w:highlight w:val="none"/>
        </w:rPr>
      </w:pPr>
    </w:p>
    <w:p>
      <w:pPr>
        <w:pStyle w:val="35"/>
        <w:keepNext w:val="0"/>
        <w:keepLines w:val="0"/>
        <w:pageBreakBefore w:val="0"/>
        <w:widowControl w:val="0"/>
        <w:kinsoku/>
        <w:wordWrap/>
        <w:overflowPunct/>
        <w:topLinePunct w:val="0"/>
        <w:bidi w:val="0"/>
        <w:adjustRightInd/>
        <w:snapToGrid/>
        <w:ind w:left="0" w:right="0"/>
        <w:jc w:val="center"/>
        <w:textAlignment w:val="auto"/>
        <w:rPr>
          <w:rFonts w:hint="default" w:ascii="Times New Roman" w:hAnsi="Times New Roman" w:cs="Times New Roman"/>
          <w:b/>
          <w:sz w:val="44"/>
          <w:highlight w:val="none"/>
        </w:rPr>
      </w:pPr>
    </w:p>
    <w:p>
      <w:pPr>
        <w:pStyle w:val="35"/>
        <w:keepNext w:val="0"/>
        <w:keepLines w:val="0"/>
        <w:pageBreakBefore w:val="0"/>
        <w:widowControl w:val="0"/>
        <w:kinsoku/>
        <w:wordWrap/>
        <w:overflowPunct/>
        <w:topLinePunct w:val="0"/>
        <w:bidi w:val="0"/>
        <w:adjustRightInd/>
        <w:snapToGrid/>
        <w:ind w:left="0" w:right="0"/>
        <w:jc w:val="center"/>
        <w:textAlignment w:val="auto"/>
        <w:rPr>
          <w:rFonts w:hint="default" w:ascii="Times New Roman" w:hAnsi="Times New Roman" w:cs="Times New Roman"/>
          <w:b/>
          <w:sz w:val="44"/>
          <w:highlight w:val="none"/>
        </w:rPr>
      </w:pPr>
    </w:p>
    <w:p>
      <w:pPr>
        <w:pStyle w:val="35"/>
        <w:keepNext w:val="0"/>
        <w:keepLines w:val="0"/>
        <w:pageBreakBefore w:val="0"/>
        <w:widowControl w:val="0"/>
        <w:kinsoku/>
        <w:wordWrap/>
        <w:overflowPunct/>
        <w:topLinePunct w:val="0"/>
        <w:bidi w:val="0"/>
        <w:adjustRightInd/>
        <w:snapToGrid/>
        <w:spacing w:before="2"/>
        <w:ind w:left="0" w:right="0"/>
        <w:jc w:val="center"/>
        <w:textAlignment w:val="auto"/>
        <w:rPr>
          <w:rFonts w:hint="default" w:ascii="Times New Roman" w:hAnsi="Times New Roman" w:cs="Times New Roman"/>
          <w:b/>
          <w:sz w:val="36"/>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right="0" w:firstLine="1600" w:firstLineChars="500"/>
        <w:jc w:val="left"/>
        <w:textAlignment w:val="auto"/>
        <w:rPr>
          <w:rFonts w:hint="default" w:ascii="Times New Roman" w:hAnsi="Times New Roman" w:cs="Times New Roman"/>
          <w:sz w:val="32"/>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right="0" w:firstLine="1600" w:firstLineChars="500"/>
        <w:jc w:val="left"/>
        <w:textAlignment w:val="auto"/>
        <w:rPr>
          <w:rFonts w:hint="default" w:ascii="Times New Roman" w:hAnsi="Times New Roman" w:cs="Times New Roman"/>
          <w:sz w:val="32"/>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right="0" w:firstLine="1600" w:firstLineChars="500"/>
        <w:jc w:val="left"/>
        <w:textAlignment w:val="auto"/>
        <w:rPr>
          <w:rFonts w:hint="default" w:ascii="Times New Roman" w:hAnsi="Times New Roman" w:cs="Times New Roman"/>
          <w:sz w:val="32"/>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right="0" w:firstLine="1600" w:firstLineChars="500"/>
        <w:jc w:val="left"/>
        <w:textAlignment w:val="auto"/>
        <w:rPr>
          <w:rFonts w:hint="default" w:ascii="Times New Roman" w:hAnsi="Times New Roman" w:eastAsia="宋体" w:cs="Times New Roman"/>
          <w:sz w:val="32"/>
          <w:highlight w:val="none"/>
          <w:lang w:eastAsia="zh-CN"/>
        </w:rPr>
      </w:pPr>
      <w:r>
        <w:rPr>
          <w:rFonts w:hint="default" w:ascii="Times New Roman" w:hAnsi="Times New Roman" w:cs="Times New Roman"/>
          <w:sz w:val="32"/>
          <w:highlight w:val="none"/>
        </w:rPr>
        <w:t>建设单位：</w:t>
      </w:r>
      <w:r>
        <w:rPr>
          <w:rFonts w:hint="default" w:ascii="Times New Roman" w:hAnsi="Times New Roman" w:cs="Times New Roman"/>
          <w:sz w:val="32"/>
          <w:highlight w:val="none"/>
          <w:lang w:eastAsia="zh-CN"/>
        </w:rPr>
        <w:t>长春市瑞通投资有限公司</w:t>
      </w:r>
    </w:p>
    <w:p>
      <w:pPr>
        <w:keepNext w:val="0"/>
        <w:keepLines w:val="0"/>
        <w:pageBreakBefore w:val="0"/>
        <w:widowControl w:val="0"/>
        <w:tabs>
          <w:tab w:val="left" w:pos="5288"/>
        </w:tabs>
        <w:kinsoku/>
        <w:wordWrap/>
        <w:overflowPunct/>
        <w:topLinePunct w:val="0"/>
        <w:autoSpaceDE/>
        <w:autoSpaceDN/>
        <w:bidi w:val="0"/>
        <w:adjustRightInd/>
        <w:snapToGrid/>
        <w:spacing w:line="360" w:lineRule="auto"/>
        <w:ind w:left="0" w:right="0" w:firstLine="1600" w:firstLineChars="500"/>
        <w:jc w:val="left"/>
        <w:textAlignment w:val="auto"/>
        <w:rPr>
          <w:rFonts w:hint="default" w:ascii="Times New Roman" w:hAnsi="Times New Roman" w:cs="Times New Roman"/>
          <w:sz w:val="32"/>
          <w:highlight w:val="none"/>
          <w:lang w:eastAsia="zh-CN"/>
        </w:rPr>
      </w:pPr>
      <w:r>
        <w:rPr>
          <w:rFonts w:hint="default" w:ascii="Times New Roman" w:hAnsi="Times New Roman" w:cs="Times New Roman"/>
          <w:sz w:val="32"/>
          <w:highlight w:val="none"/>
        </w:rPr>
        <w:t>编制单位：</w:t>
      </w:r>
      <w:r>
        <w:rPr>
          <w:rFonts w:hint="eastAsia" w:cs="Times New Roman"/>
          <w:sz w:val="32"/>
          <w:highlight w:val="none"/>
          <w:lang w:eastAsia="zh-CN"/>
        </w:rPr>
        <w:t>吉林省晟元工程咨询有限公司</w:t>
      </w:r>
    </w:p>
    <w:p>
      <w:pPr>
        <w:pStyle w:val="153"/>
        <w:pageBreakBefore w:val="0"/>
        <w:kinsoku/>
        <w:wordWrap/>
        <w:bidi w:val="0"/>
        <w:rPr>
          <w:rFonts w:hint="default" w:ascii="Times New Roman" w:hAnsi="Times New Roman" w:cs="Times New Roman"/>
          <w:sz w:val="32"/>
          <w:highlight w:val="none"/>
          <w:lang w:eastAsia="zh-CN"/>
        </w:rPr>
      </w:pPr>
    </w:p>
    <w:p>
      <w:pPr>
        <w:pStyle w:val="153"/>
        <w:pageBreakBefore w:val="0"/>
        <w:kinsoku/>
        <w:wordWrap/>
        <w:bidi w:val="0"/>
        <w:rPr>
          <w:rFonts w:hint="default" w:ascii="Times New Roman" w:hAnsi="Times New Roman" w:cs="Times New Roman"/>
          <w:sz w:val="32"/>
          <w:highlight w:val="none"/>
          <w:lang w:eastAsia="zh-CN"/>
        </w:rPr>
      </w:pPr>
    </w:p>
    <w:p>
      <w:pPr>
        <w:pStyle w:val="153"/>
        <w:pageBreakBefore w:val="0"/>
        <w:kinsoku/>
        <w:wordWrap/>
        <w:bidi w:val="0"/>
        <w:rPr>
          <w:rFonts w:hint="default" w:ascii="Times New Roman" w:hAnsi="Times New Roman" w:cs="Times New Roman"/>
          <w:sz w:val="32"/>
          <w:highlight w:val="none"/>
          <w:lang w:eastAsia="zh-CN"/>
        </w:rPr>
        <w:sectPr>
          <w:headerReference r:id="rId30" w:type="default"/>
          <w:footerReference r:id="rId31" w:type="default"/>
          <w:pgSz w:w="11910" w:h="16838"/>
          <w:pgMar w:top="1440" w:right="1080" w:bottom="1440" w:left="1080" w:header="720" w:footer="720" w:gutter="0"/>
          <w:pgBorders>
            <w:top w:val="none" w:sz="0" w:space="0"/>
            <w:left w:val="none" w:sz="0" w:space="0"/>
            <w:bottom w:val="none" w:sz="0" w:space="0"/>
            <w:right w:val="none" w:sz="0" w:space="0"/>
          </w:pgBorders>
          <w:pgNumType w:fmt="decimal"/>
          <w:cols w:space="720" w:num="1"/>
        </w:sect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b/>
          <w:bCs/>
          <w:sz w:val="28"/>
          <w:szCs w:val="28"/>
          <w:highlight w:val="none"/>
        </w:rPr>
      </w:pPr>
      <w:r>
        <w:rPr>
          <w:rFonts w:hint="default" w:ascii="Times New Roman" w:hAnsi="Times New Roman" w:eastAsia="仿宋_GB2312" w:cs="Times New Roman"/>
          <w:b/>
          <w:bCs/>
          <w:sz w:val="28"/>
          <w:szCs w:val="28"/>
          <w:highlight w:val="none"/>
        </w:rPr>
        <w:t>附表1：</w:t>
      </w:r>
    </w:p>
    <w:p>
      <w:pPr>
        <w:pageBreakBefore w:val="0"/>
        <w:kinsoku/>
        <w:wordWrap/>
        <w:bidi w:val="0"/>
        <w:spacing w:line="360" w:lineRule="auto"/>
        <w:jc w:val="center"/>
        <w:rPr>
          <w:rFonts w:hint="default" w:ascii="Times New Roman" w:hAnsi="Times New Roman" w:cs="Times New Roman"/>
          <w:b/>
          <w:bCs/>
          <w:sz w:val="30"/>
          <w:szCs w:val="30"/>
          <w:highlight w:val="none"/>
        </w:rPr>
      </w:pPr>
      <w:r>
        <w:rPr>
          <w:rFonts w:hint="default" w:ascii="Times New Roman" w:hAnsi="Times New Roman" w:cs="Times New Roman"/>
          <w:b/>
          <w:bCs/>
          <w:sz w:val="30"/>
          <w:szCs w:val="30"/>
          <w:highlight w:val="none"/>
        </w:rPr>
        <w:t>防治范围责任表</w:t>
      </w:r>
    </w:p>
    <w:p>
      <w:pPr>
        <w:pageBreakBefore w:val="0"/>
        <w:kinsoku/>
        <w:wordWrap/>
        <w:bidi w:val="0"/>
        <w:spacing w:line="360" w:lineRule="auto"/>
        <w:ind w:firstLine="480" w:firstLineChars="200"/>
        <w:rPr>
          <w:rFonts w:hint="default" w:ascii="Times New Roman" w:hAnsi="Times New Roman" w:eastAsia="仿宋_GB2312" w:cs="Times New Roman"/>
          <w:bCs/>
          <w:sz w:val="24"/>
          <w:highlight w:val="none"/>
        </w:rPr>
      </w:pPr>
      <w:r>
        <w:rPr>
          <w:rFonts w:hint="default" w:ascii="Times New Roman" w:hAnsi="Times New Roman" w:eastAsia="仿宋_GB2312" w:cs="Times New Roman"/>
          <w:color w:val="auto"/>
          <w:sz w:val="24"/>
          <w:szCs w:val="24"/>
          <w:lang w:val="en-US" w:eastAsia="zh-CN"/>
        </w:rPr>
        <w:t>长春国际物流经济开发区新兴建材产业园区建设</w:t>
      </w:r>
      <w:r>
        <w:rPr>
          <w:rFonts w:hint="default" w:ascii="Times New Roman" w:hAnsi="Times New Roman" w:eastAsia="仿宋_GB2312" w:cs="Times New Roman"/>
          <w:color w:val="auto"/>
          <w:sz w:val="24"/>
          <w:szCs w:val="24"/>
          <w:lang w:eastAsia="zh-CN"/>
        </w:rPr>
        <w:t>项目</w:t>
      </w:r>
      <w:r>
        <w:rPr>
          <w:rFonts w:hint="eastAsia" w:eastAsia="仿宋_GB2312" w:cs="Times New Roman"/>
          <w:sz w:val="24"/>
          <w:szCs w:val="24"/>
          <w:highlight w:val="none"/>
          <w:lang w:val="en-US" w:eastAsia="zh-CN"/>
        </w:rPr>
        <w:t>B地块</w:t>
      </w:r>
      <w:r>
        <w:rPr>
          <w:rFonts w:hint="default" w:ascii="Times New Roman" w:hAnsi="Times New Roman" w:eastAsia="仿宋_GB2312" w:cs="Times New Roman"/>
          <w:sz w:val="24"/>
          <w:szCs w:val="24"/>
          <w:highlight w:val="none"/>
          <w:lang w:val="en-US" w:eastAsia="zh-CN"/>
        </w:rPr>
        <w:t>占地面积为</w:t>
      </w:r>
      <w:r>
        <w:rPr>
          <w:rFonts w:hint="eastAsia" w:eastAsia="仿宋_GB2312" w:cs="Times New Roman"/>
          <w:sz w:val="24"/>
          <w:szCs w:val="24"/>
          <w:highlight w:val="none"/>
          <w:lang w:val="en-US" w:eastAsia="zh-CN"/>
        </w:rPr>
        <w:t>19.98</w:t>
      </w:r>
      <w:r>
        <w:rPr>
          <w:rFonts w:hint="default" w:ascii="Times New Roman" w:hAnsi="Times New Roman" w:eastAsia="仿宋_GB2312" w:cs="Times New Roman"/>
          <w:sz w:val="24"/>
          <w:szCs w:val="24"/>
          <w:highlight w:val="none"/>
        </w:rPr>
        <w:t>hm²</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bCs/>
          <w:sz w:val="24"/>
          <w:highlight w:val="none"/>
          <w:lang w:eastAsia="zh-CN"/>
        </w:rPr>
        <w:t>项目</w:t>
      </w:r>
      <w:r>
        <w:rPr>
          <w:rFonts w:hint="default" w:ascii="Times New Roman" w:hAnsi="Times New Roman" w:eastAsia="仿宋_GB2312" w:cs="Times New Roman"/>
          <w:bCs/>
          <w:sz w:val="24"/>
          <w:highlight w:val="none"/>
        </w:rPr>
        <w:t>水土流失防治责任范围</w:t>
      </w:r>
      <w:r>
        <w:rPr>
          <w:rFonts w:hint="eastAsia" w:eastAsia="仿宋_GB2312" w:cs="Times New Roman"/>
          <w:bCs/>
          <w:sz w:val="24"/>
          <w:highlight w:val="none"/>
          <w:lang w:val="en-US" w:eastAsia="zh-CN"/>
        </w:rPr>
        <w:t>19.98</w:t>
      </w:r>
      <w:r>
        <w:rPr>
          <w:rFonts w:hint="default" w:ascii="Times New Roman" w:hAnsi="Times New Roman" w:eastAsia="仿宋_GB2312" w:cs="Times New Roman"/>
          <w:bCs/>
          <w:sz w:val="24"/>
          <w:highlight w:val="none"/>
          <w:lang w:eastAsia="zh-CN"/>
        </w:rPr>
        <w:t>hm²</w:t>
      </w:r>
      <w:r>
        <w:rPr>
          <w:rFonts w:hint="default" w:ascii="Times New Roman" w:hAnsi="Times New Roman" w:eastAsia="仿宋_GB2312" w:cs="Times New Roman"/>
          <w:bCs/>
          <w:sz w:val="24"/>
          <w:highlight w:val="none"/>
        </w:rPr>
        <w:t>。水土流失防治责任主体单位为</w:t>
      </w:r>
      <w:r>
        <w:rPr>
          <w:rFonts w:hint="default" w:ascii="Times New Roman" w:hAnsi="Times New Roman" w:eastAsia="仿宋_GB2312" w:cs="Times New Roman"/>
          <w:bCs/>
          <w:sz w:val="24"/>
          <w:highlight w:val="none"/>
          <w:lang w:eastAsia="zh-CN"/>
        </w:rPr>
        <w:t>长春市瑞通投资有限公司</w:t>
      </w:r>
      <w:r>
        <w:rPr>
          <w:rFonts w:hint="default" w:ascii="Times New Roman" w:hAnsi="Times New Roman" w:eastAsia="仿宋_GB2312" w:cs="Times New Roman"/>
          <w:bCs/>
          <w:sz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val="0"/>
          <w:sz w:val="24"/>
          <w:highlight w:val="none"/>
        </w:rPr>
      </w:pPr>
      <w:r>
        <w:rPr>
          <w:rFonts w:hint="default" w:ascii="Times New Roman" w:hAnsi="Times New Roman" w:eastAsia="微软雅黑" w:cs="Times New Roman"/>
          <w:b w:val="0"/>
          <w:bCs w:val="0"/>
          <w:sz w:val="24"/>
          <w:highlight w:val="none"/>
        </w:rPr>
        <w:t>附表1.1</w:t>
      </w:r>
      <w:r>
        <w:rPr>
          <w:rFonts w:hint="default" w:ascii="Times New Roman" w:hAnsi="Times New Roman" w:eastAsia="微软雅黑" w:cs="Times New Roman"/>
          <w:b w:val="0"/>
          <w:bCs w:val="0"/>
          <w:sz w:val="24"/>
          <w:highlight w:val="none"/>
          <w:lang w:val="en-US" w:eastAsia="zh-CN"/>
        </w:rPr>
        <w:t xml:space="preserve">  </w:t>
      </w:r>
      <w:r>
        <w:rPr>
          <w:rFonts w:hint="default" w:ascii="Times New Roman" w:hAnsi="Times New Roman" w:eastAsia="微软雅黑" w:cs="Times New Roman"/>
          <w:b w:val="0"/>
          <w:bCs w:val="0"/>
          <w:sz w:val="24"/>
          <w:highlight w:val="none"/>
        </w:rPr>
        <w:t>工程水土流失防治责任范围表</w:t>
      </w:r>
    </w:p>
    <w:tbl>
      <w:tblPr>
        <w:tblStyle w:val="88"/>
        <w:tblW w:w="4998"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22"/>
        <w:gridCol w:w="2353"/>
        <w:gridCol w:w="1901"/>
        <w:gridCol w:w="2347"/>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sz w:val="21"/>
                <w:szCs w:val="21"/>
                <w:highlight w:val="none"/>
              </w:rPr>
            </w:pPr>
            <w:r>
              <w:rPr>
                <w:rFonts w:hint="default" w:ascii="Times New Roman" w:hAnsi="Times New Roman" w:eastAsia="仿宋_GB2312" w:cs="Times New Roman"/>
                <w:bCs/>
                <w:sz w:val="21"/>
                <w:szCs w:val="21"/>
                <w:highlight w:val="none"/>
              </w:rPr>
              <w:t>项目分区</w:t>
            </w:r>
          </w:p>
        </w:tc>
        <w:tc>
          <w:tcPr>
            <w:tcW w:w="13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sz w:val="21"/>
                <w:szCs w:val="21"/>
                <w:highlight w:val="none"/>
              </w:rPr>
            </w:pPr>
            <w:r>
              <w:rPr>
                <w:rFonts w:hint="default" w:ascii="Times New Roman" w:hAnsi="Times New Roman" w:eastAsia="仿宋_GB2312" w:cs="Times New Roman"/>
                <w:bCs/>
                <w:sz w:val="21"/>
                <w:szCs w:val="21"/>
                <w:highlight w:val="none"/>
              </w:rPr>
              <w:t>永久占地（</w:t>
            </w:r>
            <w:r>
              <w:rPr>
                <w:rFonts w:hint="default" w:ascii="Times New Roman" w:hAnsi="Times New Roman" w:eastAsia="仿宋_GB2312" w:cs="Times New Roman"/>
                <w:bCs/>
                <w:sz w:val="21"/>
                <w:szCs w:val="21"/>
                <w:highlight w:val="none"/>
                <w:lang w:eastAsia="zh-CN"/>
              </w:rPr>
              <w:t>hm²</w:t>
            </w:r>
            <w:r>
              <w:rPr>
                <w:rFonts w:hint="default" w:ascii="Times New Roman" w:hAnsi="Times New Roman" w:eastAsia="仿宋_GB2312" w:cs="Times New Roman"/>
                <w:bCs/>
                <w:sz w:val="21"/>
                <w:szCs w:val="21"/>
                <w:highlight w:val="none"/>
              </w:rPr>
              <w:t>）</w:t>
            </w:r>
          </w:p>
        </w:tc>
        <w:tc>
          <w:tcPr>
            <w:tcW w:w="11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sz w:val="21"/>
                <w:szCs w:val="21"/>
                <w:highlight w:val="none"/>
              </w:rPr>
            </w:pPr>
            <w:r>
              <w:rPr>
                <w:rFonts w:hint="default" w:ascii="Times New Roman" w:hAnsi="Times New Roman" w:eastAsia="仿宋_GB2312" w:cs="Times New Roman"/>
                <w:bCs/>
                <w:sz w:val="21"/>
                <w:szCs w:val="21"/>
                <w:highlight w:val="none"/>
              </w:rPr>
              <w:t>临时占地（</w:t>
            </w:r>
            <w:r>
              <w:rPr>
                <w:rFonts w:hint="default" w:ascii="Times New Roman" w:hAnsi="Times New Roman" w:eastAsia="仿宋_GB2312" w:cs="Times New Roman"/>
                <w:bCs/>
                <w:sz w:val="21"/>
                <w:szCs w:val="21"/>
                <w:highlight w:val="none"/>
                <w:lang w:eastAsia="zh-CN"/>
              </w:rPr>
              <w:t>hm²</w:t>
            </w:r>
            <w:r>
              <w:rPr>
                <w:rFonts w:hint="default" w:ascii="Times New Roman" w:hAnsi="Times New Roman" w:eastAsia="仿宋_GB2312" w:cs="Times New Roman"/>
                <w:bCs/>
                <w:sz w:val="21"/>
                <w:szCs w:val="21"/>
                <w:highlight w:val="none"/>
              </w:rPr>
              <w:t>）</w:t>
            </w:r>
          </w:p>
        </w:tc>
        <w:tc>
          <w:tcPr>
            <w:tcW w:w="137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sz w:val="21"/>
                <w:szCs w:val="21"/>
                <w:highlight w:val="none"/>
              </w:rPr>
            </w:pPr>
            <w:r>
              <w:rPr>
                <w:rFonts w:hint="default" w:ascii="Times New Roman" w:hAnsi="Times New Roman" w:eastAsia="仿宋_GB2312" w:cs="Times New Roman"/>
                <w:bCs/>
                <w:sz w:val="21"/>
                <w:szCs w:val="21"/>
                <w:highlight w:val="none"/>
              </w:rPr>
              <w:t>防治责任范围（</w:t>
            </w:r>
            <w:r>
              <w:rPr>
                <w:rFonts w:hint="default" w:ascii="Times New Roman" w:hAnsi="Times New Roman" w:eastAsia="仿宋_GB2312" w:cs="Times New Roman"/>
                <w:bCs/>
                <w:sz w:val="21"/>
                <w:szCs w:val="21"/>
                <w:highlight w:val="none"/>
                <w:lang w:eastAsia="zh-CN"/>
              </w:rPr>
              <w:t>hm²</w:t>
            </w:r>
            <w:r>
              <w:rPr>
                <w:rFonts w:hint="default" w:ascii="Times New Roman" w:hAnsi="Times New Roman" w:eastAsia="仿宋_GB2312" w:cs="Times New Roman"/>
                <w:bCs/>
                <w:sz w:val="21"/>
                <w:szCs w:val="21"/>
                <w:highlight w:val="none"/>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sz w:val="21"/>
                <w:szCs w:val="21"/>
                <w:highlight w:val="none"/>
                <w:lang w:val="en-US" w:eastAsia="zh-CN"/>
              </w:rPr>
            </w:pPr>
            <w:r>
              <w:rPr>
                <w:rFonts w:hint="eastAsia" w:eastAsia="仿宋_GB2312" w:cs="Times New Roman"/>
                <w:bCs/>
                <w:sz w:val="21"/>
                <w:szCs w:val="21"/>
                <w:highlight w:val="none"/>
                <w:lang w:val="en-US" w:eastAsia="zh-CN"/>
              </w:rPr>
              <w:t>工程建设区</w:t>
            </w:r>
          </w:p>
        </w:tc>
        <w:tc>
          <w:tcPr>
            <w:tcW w:w="13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sz w:val="21"/>
                <w:szCs w:val="21"/>
                <w:highlight w:val="none"/>
                <w:lang w:val="en-US" w:eastAsia="zh-CN"/>
              </w:rPr>
            </w:pPr>
            <w:r>
              <w:rPr>
                <w:rFonts w:hint="eastAsia" w:eastAsia="仿宋_GB2312" w:cs="Times New Roman"/>
                <w:bCs/>
                <w:sz w:val="21"/>
                <w:szCs w:val="21"/>
                <w:highlight w:val="none"/>
                <w:lang w:eastAsia="zh-CN"/>
              </w:rPr>
              <w:t>19.98</w:t>
            </w:r>
          </w:p>
        </w:tc>
        <w:tc>
          <w:tcPr>
            <w:tcW w:w="11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sz w:val="21"/>
                <w:szCs w:val="21"/>
                <w:highlight w:val="none"/>
                <w:lang w:val="en-US" w:eastAsia="zh-CN"/>
              </w:rPr>
            </w:pPr>
            <w:r>
              <w:rPr>
                <w:rFonts w:hint="default" w:ascii="Times New Roman" w:hAnsi="Times New Roman" w:eastAsia="仿宋_GB2312" w:cs="Times New Roman"/>
                <w:bCs/>
                <w:sz w:val="21"/>
                <w:szCs w:val="21"/>
                <w:highlight w:val="none"/>
                <w:lang w:val="en-US" w:eastAsia="zh-CN"/>
              </w:rPr>
              <w:t>/</w:t>
            </w:r>
          </w:p>
        </w:tc>
        <w:tc>
          <w:tcPr>
            <w:tcW w:w="137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sz w:val="21"/>
                <w:szCs w:val="21"/>
                <w:highlight w:val="none"/>
                <w:lang w:val="en-US" w:eastAsia="zh-CN"/>
              </w:rPr>
            </w:pPr>
            <w:r>
              <w:rPr>
                <w:rFonts w:hint="eastAsia" w:eastAsia="仿宋_GB2312" w:cs="Times New Roman"/>
                <w:bCs/>
                <w:sz w:val="21"/>
                <w:szCs w:val="21"/>
                <w:highlight w:val="none"/>
                <w:lang w:val="en-US" w:eastAsia="zh-CN"/>
              </w:rPr>
              <w:t>19.98</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kern w:val="2"/>
                <w:sz w:val="21"/>
                <w:szCs w:val="21"/>
                <w:highlight w:val="none"/>
                <w:lang w:val="en-US" w:eastAsia="zh-CN" w:bidi="ar-SA"/>
              </w:rPr>
            </w:pPr>
            <w:bookmarkStart w:id="434" w:name="_Toc26597"/>
            <w:r>
              <w:rPr>
                <w:rFonts w:hint="default" w:ascii="Times New Roman" w:hAnsi="Times New Roman" w:eastAsia="仿宋_GB2312" w:cs="Times New Roman"/>
                <w:bCs/>
                <w:sz w:val="21"/>
                <w:szCs w:val="21"/>
                <w:highlight w:val="none"/>
                <w:lang w:val="en-US" w:eastAsia="zh-CN"/>
              </w:rPr>
              <w:t>合计</w:t>
            </w:r>
          </w:p>
        </w:tc>
        <w:tc>
          <w:tcPr>
            <w:tcW w:w="13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kern w:val="2"/>
                <w:sz w:val="21"/>
                <w:szCs w:val="21"/>
                <w:highlight w:val="none"/>
                <w:lang w:val="en-US" w:eastAsia="zh-CN" w:bidi="ar-SA"/>
              </w:rPr>
            </w:pPr>
            <w:r>
              <w:rPr>
                <w:rFonts w:hint="eastAsia" w:eastAsia="仿宋_GB2312" w:cs="Times New Roman"/>
                <w:bCs/>
                <w:kern w:val="2"/>
                <w:sz w:val="21"/>
                <w:szCs w:val="21"/>
                <w:highlight w:val="none"/>
                <w:lang w:val="en-US" w:eastAsia="zh-CN" w:bidi="ar-SA"/>
              </w:rPr>
              <w:t>19.98</w:t>
            </w:r>
          </w:p>
        </w:tc>
        <w:tc>
          <w:tcPr>
            <w:tcW w:w="11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kern w:val="2"/>
                <w:sz w:val="21"/>
                <w:szCs w:val="21"/>
                <w:highlight w:val="none"/>
                <w:lang w:val="en-US" w:eastAsia="zh-CN" w:bidi="ar-SA"/>
              </w:rPr>
            </w:pPr>
            <w:r>
              <w:rPr>
                <w:rFonts w:hint="default" w:ascii="Times New Roman" w:hAnsi="Times New Roman" w:eastAsia="仿宋_GB2312" w:cs="Times New Roman"/>
                <w:bCs/>
                <w:sz w:val="21"/>
                <w:szCs w:val="21"/>
                <w:highlight w:val="none"/>
                <w:lang w:val="en-US" w:eastAsia="zh-CN"/>
              </w:rPr>
              <w:t>/</w:t>
            </w:r>
          </w:p>
        </w:tc>
        <w:tc>
          <w:tcPr>
            <w:tcW w:w="137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kern w:val="2"/>
                <w:sz w:val="21"/>
                <w:szCs w:val="21"/>
                <w:highlight w:val="none"/>
                <w:lang w:val="en-US" w:eastAsia="zh-CN" w:bidi="ar-SA"/>
              </w:rPr>
            </w:pPr>
            <w:r>
              <w:rPr>
                <w:rFonts w:hint="eastAsia" w:eastAsia="仿宋_GB2312" w:cs="Times New Roman"/>
                <w:bCs/>
                <w:kern w:val="2"/>
                <w:sz w:val="21"/>
                <w:szCs w:val="21"/>
                <w:highlight w:val="none"/>
                <w:lang w:val="en-US" w:eastAsia="zh-CN" w:bidi="ar-SA"/>
              </w:rPr>
              <w:t>19.98</w:t>
            </w:r>
          </w:p>
        </w:tc>
      </w:tr>
    </w:tbl>
    <w:p>
      <w:pPr>
        <w:pageBreakBefore w:val="0"/>
        <w:kinsoku/>
        <w:wordWrap/>
        <w:bidi w:val="0"/>
        <w:spacing w:line="360" w:lineRule="auto"/>
        <w:ind w:firstLine="480" w:firstLineChars="200"/>
        <w:rPr>
          <w:rFonts w:hint="default" w:ascii="Times New Roman" w:hAnsi="Times New Roman" w:eastAsia="仿宋_GB2312" w:cs="Times New Roman"/>
          <w:bCs/>
          <w:sz w:val="24"/>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val="0"/>
          <w:sz w:val="24"/>
          <w:highlight w:val="none"/>
        </w:rPr>
      </w:pPr>
      <w:r>
        <w:rPr>
          <w:rFonts w:hint="default" w:ascii="Times New Roman" w:hAnsi="Times New Roman" w:eastAsia="微软雅黑" w:cs="Times New Roman"/>
          <w:b w:val="0"/>
          <w:bCs w:val="0"/>
          <w:sz w:val="24"/>
          <w:highlight w:val="none"/>
        </w:rPr>
        <w:t>附表1.2</w:t>
      </w:r>
      <w:r>
        <w:rPr>
          <w:rFonts w:hint="default" w:ascii="Times New Roman" w:hAnsi="Times New Roman" w:eastAsia="微软雅黑" w:cs="Times New Roman"/>
          <w:b w:val="0"/>
          <w:bCs w:val="0"/>
          <w:sz w:val="24"/>
          <w:highlight w:val="none"/>
          <w:lang w:val="en-US" w:eastAsia="zh-CN"/>
        </w:rPr>
        <w:t xml:space="preserve">  </w:t>
      </w:r>
      <w:r>
        <w:rPr>
          <w:rFonts w:hint="default" w:ascii="Times New Roman" w:hAnsi="Times New Roman" w:eastAsia="微软雅黑" w:cs="Times New Roman"/>
          <w:b w:val="0"/>
          <w:bCs w:val="0"/>
          <w:sz w:val="24"/>
          <w:highlight w:val="none"/>
        </w:rPr>
        <w:t>项目防治责任范围表（国家2000坐标系）</w:t>
      </w:r>
      <w:bookmarkEnd w:id="434"/>
    </w:p>
    <w:tbl>
      <w:tblPr>
        <w:tblStyle w:val="88"/>
        <w:tblW w:w="4998"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37"/>
        <w:gridCol w:w="1219"/>
        <w:gridCol w:w="2955"/>
        <w:gridCol w:w="2612"/>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1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rPr>
            </w:pPr>
            <w:r>
              <w:rPr>
                <w:rFonts w:hint="default" w:ascii="Times New Roman" w:hAnsi="Times New Roman" w:eastAsia="仿宋_GB2312" w:cs="Times New Roman"/>
                <w:bCs/>
                <w:sz w:val="21"/>
                <w:szCs w:val="21"/>
                <w:highlight w:val="none"/>
              </w:rPr>
              <w:t>分区</w:t>
            </w:r>
          </w:p>
        </w:tc>
        <w:tc>
          <w:tcPr>
            <w:tcW w:w="71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rPr>
            </w:pPr>
            <w:r>
              <w:rPr>
                <w:rFonts w:hint="default" w:ascii="Times New Roman" w:hAnsi="Times New Roman" w:eastAsia="仿宋_GB2312" w:cs="Times New Roman"/>
                <w:bCs/>
                <w:sz w:val="21"/>
                <w:szCs w:val="21"/>
                <w:highlight w:val="none"/>
              </w:rPr>
              <w:t>拐点编号</w:t>
            </w:r>
          </w:p>
        </w:tc>
        <w:tc>
          <w:tcPr>
            <w:tcW w:w="1733"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rPr>
            </w:pPr>
            <w:r>
              <w:rPr>
                <w:rFonts w:hint="default" w:ascii="Times New Roman" w:hAnsi="Times New Roman" w:eastAsia="仿宋_GB2312" w:cs="Times New Roman"/>
                <w:bCs/>
                <w:sz w:val="21"/>
                <w:szCs w:val="21"/>
                <w:highlight w:val="none"/>
              </w:rPr>
              <w:t>东经</w:t>
            </w:r>
          </w:p>
        </w:tc>
        <w:tc>
          <w:tcPr>
            <w:tcW w:w="153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rPr>
            </w:pPr>
            <w:r>
              <w:rPr>
                <w:rFonts w:hint="default" w:ascii="Times New Roman" w:hAnsi="Times New Roman" w:eastAsia="仿宋_GB2312" w:cs="Times New Roman"/>
                <w:bCs/>
                <w:sz w:val="21"/>
                <w:szCs w:val="21"/>
                <w:highlight w:val="none"/>
              </w:rPr>
              <w:t>北纬</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19"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rPr>
            </w:pPr>
            <w:r>
              <w:rPr>
                <w:rFonts w:hint="default" w:ascii="Times New Roman" w:hAnsi="Times New Roman" w:eastAsia="仿宋_GB2312" w:cs="Times New Roman"/>
                <w:bCs/>
                <w:sz w:val="21"/>
                <w:szCs w:val="21"/>
                <w:highlight w:val="none"/>
              </w:rPr>
              <w:t>工程建设区</w:t>
            </w:r>
          </w:p>
        </w:tc>
        <w:tc>
          <w:tcPr>
            <w:tcW w:w="71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rPr>
            </w:pPr>
            <w:r>
              <w:rPr>
                <w:rFonts w:hint="default" w:ascii="Times New Roman" w:hAnsi="Times New Roman" w:eastAsia="仿宋_GB2312" w:cs="Times New Roman"/>
                <w:bCs/>
                <w:sz w:val="21"/>
                <w:szCs w:val="21"/>
                <w:highlight w:val="none"/>
              </w:rPr>
              <w:t>J1</w:t>
            </w:r>
          </w:p>
        </w:tc>
        <w:tc>
          <w:tcPr>
            <w:tcW w:w="1733"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仿宋_GB2312" w:cs="Times New Roman"/>
                <w:bCs/>
                <w:sz w:val="21"/>
                <w:szCs w:val="21"/>
                <w:highlight w:val="none"/>
                <w:lang w:val="en-US"/>
              </w:rPr>
            </w:pPr>
            <w:r>
              <w:rPr>
                <w:rFonts w:hint="default" w:ascii="Times New Roman" w:hAnsi="Times New Roman" w:eastAsia="宋体" w:cs="Times New Roman"/>
                <w:i w:val="0"/>
                <w:iCs w:val="0"/>
                <w:color w:val="000000"/>
                <w:kern w:val="0"/>
                <w:sz w:val="21"/>
                <w:szCs w:val="21"/>
                <w:u w:val="none"/>
                <w:lang w:val="en-US" w:eastAsia="zh-CN" w:bidi="ar"/>
              </w:rPr>
              <w:t>125° 30' 16.527"</w:t>
            </w:r>
          </w:p>
        </w:tc>
        <w:tc>
          <w:tcPr>
            <w:tcW w:w="1532"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仿宋_GB2312" w:cs="Times New Roman"/>
                <w:bCs/>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43° 54' 55.995"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1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rPr>
            </w:pPr>
          </w:p>
        </w:tc>
        <w:tc>
          <w:tcPr>
            <w:tcW w:w="71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rPr>
            </w:pPr>
            <w:r>
              <w:rPr>
                <w:rFonts w:hint="default" w:ascii="Times New Roman" w:hAnsi="Times New Roman" w:eastAsia="仿宋_GB2312" w:cs="Times New Roman"/>
                <w:bCs/>
                <w:sz w:val="21"/>
                <w:szCs w:val="21"/>
                <w:highlight w:val="none"/>
              </w:rPr>
              <w:t>J2</w:t>
            </w:r>
          </w:p>
        </w:tc>
        <w:tc>
          <w:tcPr>
            <w:tcW w:w="1733"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仿宋_GB2312" w:cs="Times New Roman"/>
                <w:bCs/>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125° 30' 17.074"</w:t>
            </w:r>
          </w:p>
        </w:tc>
        <w:tc>
          <w:tcPr>
            <w:tcW w:w="1532"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仿宋_GB2312" w:cs="Times New Roman"/>
                <w:bCs/>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43° 54' 53.604"</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1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rPr>
            </w:pPr>
          </w:p>
        </w:tc>
        <w:tc>
          <w:tcPr>
            <w:tcW w:w="71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rPr>
            </w:pPr>
            <w:r>
              <w:rPr>
                <w:rFonts w:hint="default" w:ascii="Times New Roman" w:hAnsi="Times New Roman" w:eastAsia="仿宋_GB2312" w:cs="Times New Roman"/>
                <w:bCs/>
                <w:sz w:val="21"/>
                <w:szCs w:val="21"/>
                <w:highlight w:val="none"/>
              </w:rPr>
              <w:t>J3</w:t>
            </w:r>
          </w:p>
        </w:tc>
        <w:tc>
          <w:tcPr>
            <w:tcW w:w="1733"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仿宋_GB2312" w:cs="Times New Roman"/>
                <w:bCs/>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125° 30' 20.335"</w:t>
            </w:r>
          </w:p>
        </w:tc>
        <w:tc>
          <w:tcPr>
            <w:tcW w:w="1532"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仿宋_GB2312" w:cs="Times New Roman"/>
                <w:bCs/>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43° 54' 53.995"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1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rPr>
            </w:pPr>
          </w:p>
        </w:tc>
        <w:tc>
          <w:tcPr>
            <w:tcW w:w="71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rPr>
            </w:pPr>
            <w:r>
              <w:rPr>
                <w:rFonts w:hint="default" w:ascii="Times New Roman" w:hAnsi="Times New Roman" w:eastAsia="仿宋_GB2312" w:cs="Times New Roman"/>
                <w:bCs/>
                <w:sz w:val="21"/>
                <w:szCs w:val="21"/>
                <w:highlight w:val="none"/>
              </w:rPr>
              <w:t>J4</w:t>
            </w:r>
          </w:p>
        </w:tc>
        <w:tc>
          <w:tcPr>
            <w:tcW w:w="1733"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仿宋_GB2312" w:cs="Times New Roman"/>
                <w:bCs/>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125° 30' 21.992"</w:t>
            </w:r>
          </w:p>
        </w:tc>
        <w:tc>
          <w:tcPr>
            <w:tcW w:w="1532"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仿宋_GB2312" w:cs="Times New Roman"/>
                <w:bCs/>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43° 54' 46.745"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1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rPr>
            </w:pPr>
          </w:p>
        </w:tc>
        <w:tc>
          <w:tcPr>
            <w:tcW w:w="71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lang w:eastAsia="zh-CN"/>
              </w:rPr>
            </w:pPr>
            <w:r>
              <w:rPr>
                <w:rFonts w:hint="default" w:ascii="Times New Roman" w:hAnsi="Times New Roman" w:eastAsia="仿宋_GB2312" w:cs="Times New Roman"/>
                <w:bCs/>
                <w:sz w:val="21"/>
                <w:szCs w:val="21"/>
                <w:highlight w:val="none"/>
              </w:rPr>
              <w:t>J</w:t>
            </w:r>
            <w:r>
              <w:rPr>
                <w:rFonts w:hint="default" w:ascii="Times New Roman" w:hAnsi="Times New Roman" w:eastAsia="仿宋_GB2312" w:cs="Times New Roman"/>
                <w:bCs/>
                <w:sz w:val="21"/>
                <w:szCs w:val="21"/>
                <w:highlight w:val="none"/>
                <w:lang w:val="en-US" w:eastAsia="zh-CN"/>
              </w:rPr>
              <w:t>5</w:t>
            </w:r>
          </w:p>
        </w:tc>
        <w:tc>
          <w:tcPr>
            <w:tcW w:w="1733"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仿宋_GB2312" w:cs="Times New Roman"/>
                <w:bCs/>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125° 30' 22.043"</w:t>
            </w:r>
          </w:p>
        </w:tc>
        <w:tc>
          <w:tcPr>
            <w:tcW w:w="1532"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仿宋_GB2312" w:cs="Times New Roman"/>
                <w:bCs/>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43° 54' 46.475"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1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rPr>
            </w:pPr>
          </w:p>
        </w:tc>
        <w:tc>
          <w:tcPr>
            <w:tcW w:w="71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lang w:val="en-US" w:eastAsia="zh-CN"/>
              </w:rPr>
            </w:pPr>
            <w:r>
              <w:rPr>
                <w:rFonts w:hint="default" w:ascii="Times New Roman" w:hAnsi="Times New Roman" w:eastAsia="仿宋_GB2312" w:cs="Times New Roman"/>
                <w:bCs/>
                <w:sz w:val="21"/>
                <w:szCs w:val="21"/>
                <w:highlight w:val="none"/>
                <w:lang w:val="en-US" w:eastAsia="zh-CN"/>
              </w:rPr>
              <w:t>J6</w:t>
            </w:r>
          </w:p>
        </w:tc>
        <w:tc>
          <w:tcPr>
            <w:tcW w:w="1733"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125° 30' 22.073"</w:t>
            </w:r>
          </w:p>
        </w:tc>
        <w:tc>
          <w:tcPr>
            <w:tcW w:w="1532"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43° 54' 46.204"</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1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rPr>
            </w:pPr>
          </w:p>
        </w:tc>
        <w:tc>
          <w:tcPr>
            <w:tcW w:w="71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lang w:val="en-US" w:eastAsia="zh-CN"/>
              </w:rPr>
            </w:pPr>
            <w:r>
              <w:rPr>
                <w:rFonts w:hint="default" w:ascii="Times New Roman" w:hAnsi="Times New Roman" w:eastAsia="仿宋_GB2312" w:cs="Times New Roman"/>
                <w:bCs/>
                <w:sz w:val="21"/>
                <w:szCs w:val="21"/>
                <w:highlight w:val="none"/>
                <w:lang w:val="en-US" w:eastAsia="zh-CN"/>
              </w:rPr>
              <w:t>J7</w:t>
            </w:r>
          </w:p>
        </w:tc>
        <w:tc>
          <w:tcPr>
            <w:tcW w:w="1733"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125° 30' 22.128"</w:t>
            </w:r>
          </w:p>
        </w:tc>
        <w:tc>
          <w:tcPr>
            <w:tcW w:w="1532"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43° 54' 45.445"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1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rPr>
            </w:pPr>
          </w:p>
        </w:tc>
        <w:tc>
          <w:tcPr>
            <w:tcW w:w="71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lang w:val="en-US" w:eastAsia="zh-CN"/>
              </w:rPr>
            </w:pPr>
            <w:r>
              <w:rPr>
                <w:rFonts w:hint="default" w:ascii="Times New Roman" w:hAnsi="Times New Roman" w:eastAsia="仿宋_GB2312" w:cs="Times New Roman"/>
                <w:bCs/>
                <w:sz w:val="21"/>
                <w:szCs w:val="21"/>
                <w:highlight w:val="none"/>
                <w:lang w:val="en-US" w:eastAsia="zh-CN"/>
              </w:rPr>
              <w:t>J8</w:t>
            </w:r>
          </w:p>
        </w:tc>
        <w:tc>
          <w:tcPr>
            <w:tcW w:w="1733"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125° 30' 22.158"</w:t>
            </w:r>
          </w:p>
        </w:tc>
        <w:tc>
          <w:tcPr>
            <w:tcW w:w="1532"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43° 54' 45.174"</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1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rPr>
            </w:pPr>
          </w:p>
        </w:tc>
        <w:tc>
          <w:tcPr>
            <w:tcW w:w="71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lang w:val="en-US" w:eastAsia="zh-CN"/>
              </w:rPr>
            </w:pPr>
            <w:r>
              <w:rPr>
                <w:rFonts w:hint="default" w:ascii="Times New Roman" w:hAnsi="Times New Roman" w:eastAsia="仿宋_GB2312" w:cs="Times New Roman"/>
                <w:bCs/>
                <w:sz w:val="21"/>
                <w:szCs w:val="21"/>
                <w:highlight w:val="none"/>
                <w:lang w:val="en-US" w:eastAsia="zh-CN"/>
              </w:rPr>
              <w:t>J9</w:t>
            </w:r>
          </w:p>
        </w:tc>
        <w:tc>
          <w:tcPr>
            <w:tcW w:w="1733"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125° 30' 22.209"</w:t>
            </w:r>
          </w:p>
        </w:tc>
        <w:tc>
          <w:tcPr>
            <w:tcW w:w="1532"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43° 54' 44.904"</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1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rPr>
            </w:pPr>
          </w:p>
        </w:tc>
        <w:tc>
          <w:tcPr>
            <w:tcW w:w="71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lang w:val="en-US" w:eastAsia="zh-CN"/>
              </w:rPr>
            </w:pPr>
            <w:r>
              <w:rPr>
                <w:rFonts w:hint="default" w:ascii="Times New Roman" w:hAnsi="Times New Roman" w:eastAsia="仿宋_GB2312" w:cs="Times New Roman"/>
                <w:bCs/>
                <w:sz w:val="21"/>
                <w:szCs w:val="21"/>
                <w:highlight w:val="none"/>
                <w:lang w:val="en-US" w:eastAsia="zh-CN"/>
              </w:rPr>
              <w:t>J10</w:t>
            </w:r>
          </w:p>
        </w:tc>
        <w:tc>
          <w:tcPr>
            <w:tcW w:w="1733"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125° 30' 22.613"</w:t>
            </w:r>
          </w:p>
        </w:tc>
        <w:tc>
          <w:tcPr>
            <w:tcW w:w="1532"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43° 54' 43.135"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1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rPr>
            </w:pPr>
          </w:p>
        </w:tc>
        <w:tc>
          <w:tcPr>
            <w:tcW w:w="71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lang w:val="en-US" w:eastAsia="zh-CN"/>
              </w:rPr>
            </w:pPr>
            <w:r>
              <w:rPr>
                <w:rFonts w:hint="default" w:ascii="Times New Roman" w:hAnsi="Times New Roman" w:eastAsia="仿宋_GB2312" w:cs="Times New Roman"/>
                <w:bCs/>
                <w:sz w:val="21"/>
                <w:szCs w:val="21"/>
                <w:highlight w:val="none"/>
                <w:lang w:val="en-US" w:eastAsia="zh-CN"/>
              </w:rPr>
              <w:t>J11</w:t>
            </w:r>
          </w:p>
        </w:tc>
        <w:tc>
          <w:tcPr>
            <w:tcW w:w="1733"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125° 30' 22.627"</w:t>
            </w:r>
          </w:p>
        </w:tc>
        <w:tc>
          <w:tcPr>
            <w:tcW w:w="1532"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43° 54' 43.005"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1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rPr>
            </w:pPr>
          </w:p>
        </w:tc>
        <w:tc>
          <w:tcPr>
            <w:tcW w:w="71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lang w:val="en-US" w:eastAsia="zh-CN"/>
              </w:rPr>
            </w:pPr>
            <w:r>
              <w:rPr>
                <w:rFonts w:hint="default" w:ascii="Times New Roman" w:hAnsi="Times New Roman" w:eastAsia="仿宋_GB2312" w:cs="Times New Roman"/>
                <w:bCs/>
                <w:sz w:val="21"/>
                <w:szCs w:val="21"/>
                <w:highlight w:val="none"/>
                <w:lang w:val="en-US" w:eastAsia="zh-CN"/>
              </w:rPr>
              <w:t>J12</w:t>
            </w:r>
          </w:p>
        </w:tc>
        <w:tc>
          <w:tcPr>
            <w:tcW w:w="1733"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125° 30' 22.611"</w:t>
            </w:r>
          </w:p>
        </w:tc>
        <w:tc>
          <w:tcPr>
            <w:tcW w:w="1532"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43° 54' 42.875"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1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rPr>
            </w:pPr>
          </w:p>
        </w:tc>
        <w:tc>
          <w:tcPr>
            <w:tcW w:w="71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lang w:val="en-US" w:eastAsia="zh-CN"/>
              </w:rPr>
            </w:pPr>
            <w:r>
              <w:rPr>
                <w:rFonts w:hint="default" w:ascii="Times New Roman" w:hAnsi="Times New Roman" w:eastAsia="仿宋_GB2312" w:cs="Times New Roman"/>
                <w:bCs/>
                <w:sz w:val="21"/>
                <w:szCs w:val="21"/>
                <w:highlight w:val="none"/>
                <w:lang w:val="en-US" w:eastAsia="zh-CN"/>
              </w:rPr>
              <w:t>J13</w:t>
            </w:r>
          </w:p>
        </w:tc>
        <w:tc>
          <w:tcPr>
            <w:tcW w:w="1733"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125° 30' 22.565"</w:t>
            </w:r>
          </w:p>
        </w:tc>
        <w:tc>
          <w:tcPr>
            <w:tcW w:w="1532"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43° 54' 42.748"</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1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rPr>
            </w:pPr>
          </w:p>
        </w:tc>
        <w:tc>
          <w:tcPr>
            <w:tcW w:w="71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lang w:val="en-US" w:eastAsia="zh-CN"/>
              </w:rPr>
            </w:pPr>
            <w:r>
              <w:rPr>
                <w:rFonts w:hint="default" w:ascii="Times New Roman" w:hAnsi="Times New Roman" w:eastAsia="仿宋_GB2312" w:cs="Times New Roman"/>
                <w:bCs/>
                <w:sz w:val="21"/>
                <w:szCs w:val="21"/>
                <w:highlight w:val="none"/>
                <w:lang w:val="en-US" w:eastAsia="zh-CN"/>
              </w:rPr>
              <w:t>J14</w:t>
            </w:r>
          </w:p>
        </w:tc>
        <w:tc>
          <w:tcPr>
            <w:tcW w:w="1733"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125° 30' 22.490"</w:t>
            </w:r>
          </w:p>
        </w:tc>
        <w:tc>
          <w:tcPr>
            <w:tcW w:w="1532"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43° 54' 42.629"</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1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rPr>
            </w:pPr>
          </w:p>
        </w:tc>
        <w:tc>
          <w:tcPr>
            <w:tcW w:w="71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lang w:val="en-US" w:eastAsia="zh-CN"/>
              </w:rPr>
            </w:pPr>
            <w:r>
              <w:rPr>
                <w:rFonts w:hint="default" w:ascii="Times New Roman" w:hAnsi="Times New Roman" w:eastAsia="仿宋_GB2312" w:cs="Times New Roman"/>
                <w:bCs/>
                <w:sz w:val="21"/>
                <w:szCs w:val="21"/>
                <w:highlight w:val="none"/>
                <w:lang w:val="en-US" w:eastAsia="zh-CN"/>
              </w:rPr>
              <w:t>J15</w:t>
            </w:r>
          </w:p>
        </w:tc>
        <w:tc>
          <w:tcPr>
            <w:tcW w:w="1733"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125° 30' 22.389"</w:t>
            </w:r>
          </w:p>
        </w:tc>
        <w:tc>
          <w:tcPr>
            <w:tcW w:w="1532"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43° 54' 42.521"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1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rPr>
            </w:pPr>
          </w:p>
        </w:tc>
        <w:tc>
          <w:tcPr>
            <w:tcW w:w="71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lang w:val="en-US" w:eastAsia="zh-CN"/>
              </w:rPr>
            </w:pPr>
            <w:r>
              <w:rPr>
                <w:rFonts w:hint="default" w:ascii="Times New Roman" w:hAnsi="Times New Roman" w:eastAsia="仿宋_GB2312" w:cs="Times New Roman"/>
                <w:bCs/>
                <w:sz w:val="21"/>
                <w:szCs w:val="21"/>
                <w:highlight w:val="none"/>
                <w:lang w:val="en-US" w:eastAsia="zh-CN"/>
              </w:rPr>
              <w:t>J16</w:t>
            </w:r>
          </w:p>
        </w:tc>
        <w:tc>
          <w:tcPr>
            <w:tcW w:w="1733"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125° 30' 22.264"</w:t>
            </w:r>
          </w:p>
        </w:tc>
        <w:tc>
          <w:tcPr>
            <w:tcW w:w="1532"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43° 54' 42.426"</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1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rPr>
            </w:pPr>
          </w:p>
        </w:tc>
        <w:tc>
          <w:tcPr>
            <w:tcW w:w="71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lang w:val="en-US" w:eastAsia="zh-CN"/>
              </w:rPr>
            </w:pPr>
            <w:r>
              <w:rPr>
                <w:rFonts w:hint="default" w:ascii="Times New Roman" w:hAnsi="Times New Roman" w:eastAsia="仿宋_GB2312" w:cs="Times New Roman"/>
                <w:bCs/>
                <w:sz w:val="21"/>
                <w:szCs w:val="21"/>
                <w:highlight w:val="none"/>
                <w:lang w:val="en-US" w:eastAsia="zh-CN"/>
              </w:rPr>
              <w:t>J17</w:t>
            </w:r>
          </w:p>
        </w:tc>
        <w:tc>
          <w:tcPr>
            <w:tcW w:w="1733"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125° 30' 22.118"</w:t>
            </w:r>
          </w:p>
        </w:tc>
        <w:tc>
          <w:tcPr>
            <w:tcW w:w="1532"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43° 54' 42.348"</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1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rPr>
            </w:pPr>
          </w:p>
        </w:tc>
        <w:tc>
          <w:tcPr>
            <w:tcW w:w="71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lang w:val="en-US" w:eastAsia="zh-CN"/>
              </w:rPr>
            </w:pPr>
            <w:r>
              <w:rPr>
                <w:rFonts w:hint="default" w:ascii="Times New Roman" w:hAnsi="Times New Roman" w:eastAsia="仿宋_GB2312" w:cs="Times New Roman"/>
                <w:bCs/>
                <w:sz w:val="21"/>
                <w:szCs w:val="21"/>
                <w:highlight w:val="none"/>
                <w:lang w:val="en-US" w:eastAsia="zh-CN"/>
              </w:rPr>
              <w:t>J18</w:t>
            </w:r>
          </w:p>
        </w:tc>
        <w:tc>
          <w:tcPr>
            <w:tcW w:w="1733"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125° 30' 21.957"</w:t>
            </w:r>
          </w:p>
        </w:tc>
        <w:tc>
          <w:tcPr>
            <w:tcW w:w="1532"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43° 54' 42.288"</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1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rPr>
            </w:pPr>
          </w:p>
        </w:tc>
        <w:tc>
          <w:tcPr>
            <w:tcW w:w="71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lang w:val="en-US" w:eastAsia="zh-CN"/>
              </w:rPr>
            </w:pPr>
            <w:r>
              <w:rPr>
                <w:rFonts w:hint="default" w:ascii="Times New Roman" w:hAnsi="Times New Roman" w:eastAsia="仿宋_GB2312" w:cs="Times New Roman"/>
                <w:bCs/>
                <w:sz w:val="21"/>
                <w:szCs w:val="21"/>
                <w:highlight w:val="none"/>
                <w:lang w:val="en-US" w:eastAsia="zh-CN"/>
              </w:rPr>
              <w:t>J19</w:t>
            </w:r>
          </w:p>
        </w:tc>
        <w:tc>
          <w:tcPr>
            <w:tcW w:w="1733"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125° 30' 21.784"</w:t>
            </w:r>
          </w:p>
        </w:tc>
        <w:tc>
          <w:tcPr>
            <w:tcW w:w="1532"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43° 54' 42.250"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1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rPr>
            </w:pPr>
          </w:p>
        </w:tc>
        <w:tc>
          <w:tcPr>
            <w:tcW w:w="71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lang w:val="en-US" w:eastAsia="zh-CN"/>
              </w:rPr>
            </w:pPr>
            <w:r>
              <w:rPr>
                <w:rFonts w:hint="default" w:ascii="Times New Roman" w:hAnsi="Times New Roman" w:eastAsia="仿宋_GB2312" w:cs="Times New Roman"/>
                <w:bCs/>
                <w:sz w:val="21"/>
                <w:szCs w:val="21"/>
                <w:highlight w:val="none"/>
                <w:lang w:val="en-US" w:eastAsia="zh-CN"/>
              </w:rPr>
              <w:t>J20</w:t>
            </w:r>
          </w:p>
        </w:tc>
        <w:tc>
          <w:tcPr>
            <w:tcW w:w="1733"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125° 30' 6.681"</w:t>
            </w:r>
          </w:p>
        </w:tc>
        <w:tc>
          <w:tcPr>
            <w:tcW w:w="1532"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43° 54' 39.831"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1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rPr>
            </w:pPr>
          </w:p>
        </w:tc>
        <w:tc>
          <w:tcPr>
            <w:tcW w:w="71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lang w:val="en-US" w:eastAsia="zh-CN"/>
              </w:rPr>
            </w:pPr>
            <w:r>
              <w:rPr>
                <w:rFonts w:hint="default" w:ascii="Times New Roman" w:hAnsi="Times New Roman" w:eastAsia="仿宋_GB2312" w:cs="Times New Roman"/>
                <w:bCs/>
                <w:sz w:val="21"/>
                <w:szCs w:val="21"/>
                <w:highlight w:val="none"/>
                <w:lang w:val="en-US" w:eastAsia="zh-CN"/>
              </w:rPr>
              <w:t>J21</w:t>
            </w:r>
          </w:p>
        </w:tc>
        <w:tc>
          <w:tcPr>
            <w:tcW w:w="1733"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125° 30' 4.636"</w:t>
            </w:r>
          </w:p>
        </w:tc>
        <w:tc>
          <w:tcPr>
            <w:tcW w:w="1532"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43° 54' 39.491"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1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rPr>
            </w:pPr>
          </w:p>
        </w:tc>
        <w:tc>
          <w:tcPr>
            <w:tcW w:w="71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lang w:val="en-US" w:eastAsia="zh-CN"/>
              </w:rPr>
            </w:pPr>
            <w:r>
              <w:rPr>
                <w:rFonts w:hint="default" w:ascii="Times New Roman" w:hAnsi="Times New Roman" w:eastAsia="仿宋_GB2312" w:cs="Times New Roman"/>
                <w:bCs/>
                <w:sz w:val="21"/>
                <w:szCs w:val="21"/>
                <w:highlight w:val="none"/>
                <w:lang w:val="en-US" w:eastAsia="zh-CN"/>
              </w:rPr>
              <w:t>J22</w:t>
            </w:r>
          </w:p>
        </w:tc>
        <w:tc>
          <w:tcPr>
            <w:tcW w:w="1733"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125° 30' 2.599"</w:t>
            </w:r>
          </w:p>
        </w:tc>
        <w:tc>
          <w:tcPr>
            <w:tcW w:w="1532"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43° 54' 39.129"</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1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rPr>
            </w:pPr>
          </w:p>
        </w:tc>
        <w:tc>
          <w:tcPr>
            <w:tcW w:w="71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lang w:val="en-US" w:eastAsia="zh-CN"/>
              </w:rPr>
            </w:pPr>
            <w:r>
              <w:rPr>
                <w:rFonts w:hint="default" w:ascii="Times New Roman" w:hAnsi="Times New Roman" w:eastAsia="仿宋_GB2312" w:cs="Times New Roman"/>
                <w:bCs/>
                <w:sz w:val="21"/>
                <w:szCs w:val="21"/>
                <w:highlight w:val="none"/>
                <w:lang w:val="en-US" w:eastAsia="zh-CN"/>
              </w:rPr>
              <w:t>J23</w:t>
            </w:r>
          </w:p>
        </w:tc>
        <w:tc>
          <w:tcPr>
            <w:tcW w:w="1733"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125° 30' 0.569"</w:t>
            </w:r>
          </w:p>
        </w:tc>
        <w:tc>
          <w:tcPr>
            <w:tcW w:w="1532"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43° 54' 38.744"</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1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rPr>
            </w:pPr>
          </w:p>
        </w:tc>
        <w:tc>
          <w:tcPr>
            <w:tcW w:w="71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lang w:val="en-US" w:eastAsia="zh-CN"/>
              </w:rPr>
            </w:pPr>
            <w:r>
              <w:rPr>
                <w:rFonts w:hint="default" w:ascii="Times New Roman" w:hAnsi="Times New Roman" w:eastAsia="仿宋_GB2312" w:cs="Times New Roman"/>
                <w:bCs/>
                <w:sz w:val="21"/>
                <w:szCs w:val="21"/>
                <w:highlight w:val="none"/>
                <w:lang w:val="en-US" w:eastAsia="zh-CN"/>
              </w:rPr>
              <w:t>J24</w:t>
            </w:r>
          </w:p>
        </w:tc>
        <w:tc>
          <w:tcPr>
            <w:tcW w:w="1733"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125° 29' 58.548"</w:t>
            </w:r>
          </w:p>
        </w:tc>
        <w:tc>
          <w:tcPr>
            <w:tcW w:w="1532"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43° 54' 38.337"</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1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rPr>
            </w:pPr>
          </w:p>
        </w:tc>
        <w:tc>
          <w:tcPr>
            <w:tcW w:w="71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lang w:val="en-US" w:eastAsia="zh-CN"/>
              </w:rPr>
            </w:pPr>
            <w:r>
              <w:rPr>
                <w:rFonts w:hint="default" w:ascii="Times New Roman" w:hAnsi="Times New Roman" w:eastAsia="仿宋_GB2312" w:cs="Times New Roman"/>
                <w:bCs/>
                <w:sz w:val="21"/>
                <w:szCs w:val="21"/>
                <w:highlight w:val="none"/>
                <w:lang w:val="en-US" w:eastAsia="zh-CN"/>
              </w:rPr>
              <w:t>J25</w:t>
            </w:r>
          </w:p>
        </w:tc>
        <w:tc>
          <w:tcPr>
            <w:tcW w:w="1733"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125° 29' 56.536"</w:t>
            </w:r>
          </w:p>
        </w:tc>
        <w:tc>
          <w:tcPr>
            <w:tcW w:w="1532"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43° 54' 37.908"</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1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rPr>
            </w:pPr>
          </w:p>
        </w:tc>
        <w:tc>
          <w:tcPr>
            <w:tcW w:w="71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lang w:val="en-US" w:eastAsia="zh-CN"/>
              </w:rPr>
            </w:pPr>
            <w:r>
              <w:rPr>
                <w:rFonts w:hint="default" w:ascii="Times New Roman" w:hAnsi="Times New Roman" w:eastAsia="仿宋_GB2312" w:cs="Times New Roman"/>
                <w:bCs/>
                <w:sz w:val="21"/>
                <w:szCs w:val="21"/>
                <w:highlight w:val="none"/>
                <w:lang w:val="en-US" w:eastAsia="zh-CN"/>
              </w:rPr>
              <w:t>J26</w:t>
            </w:r>
          </w:p>
        </w:tc>
        <w:tc>
          <w:tcPr>
            <w:tcW w:w="1733"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125° 29' 54.533"</w:t>
            </w:r>
          </w:p>
        </w:tc>
        <w:tc>
          <w:tcPr>
            <w:tcW w:w="1532"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43° 54' 37.456"</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1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rPr>
            </w:pPr>
          </w:p>
        </w:tc>
        <w:tc>
          <w:tcPr>
            <w:tcW w:w="71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lang w:val="en-US" w:eastAsia="zh-CN"/>
              </w:rPr>
            </w:pPr>
            <w:r>
              <w:rPr>
                <w:rFonts w:hint="default" w:ascii="Times New Roman" w:hAnsi="Times New Roman" w:eastAsia="仿宋_GB2312" w:cs="Times New Roman"/>
                <w:bCs/>
                <w:sz w:val="21"/>
                <w:szCs w:val="21"/>
                <w:highlight w:val="none"/>
                <w:lang w:val="en-US" w:eastAsia="zh-CN"/>
              </w:rPr>
              <w:t>J27</w:t>
            </w:r>
          </w:p>
        </w:tc>
        <w:tc>
          <w:tcPr>
            <w:tcW w:w="1733"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125° 29' 52.540"</w:t>
            </w:r>
          </w:p>
        </w:tc>
        <w:tc>
          <w:tcPr>
            <w:tcW w:w="1532"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43° 54' 36.983"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1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rPr>
            </w:pPr>
          </w:p>
        </w:tc>
        <w:tc>
          <w:tcPr>
            <w:tcW w:w="71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lang w:val="en-US" w:eastAsia="zh-CN"/>
              </w:rPr>
            </w:pPr>
            <w:r>
              <w:rPr>
                <w:rFonts w:hint="default" w:ascii="Times New Roman" w:hAnsi="Times New Roman" w:eastAsia="仿宋_GB2312" w:cs="Times New Roman"/>
                <w:bCs/>
                <w:sz w:val="21"/>
                <w:szCs w:val="21"/>
                <w:highlight w:val="none"/>
                <w:lang w:val="en-US" w:eastAsia="zh-CN"/>
              </w:rPr>
              <w:t>J28</w:t>
            </w:r>
          </w:p>
        </w:tc>
        <w:tc>
          <w:tcPr>
            <w:tcW w:w="1733"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125° 29' 50.557"</w:t>
            </w:r>
          </w:p>
        </w:tc>
        <w:tc>
          <w:tcPr>
            <w:tcW w:w="1532"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43° 54' 36.487"</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1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rPr>
            </w:pPr>
          </w:p>
        </w:tc>
        <w:tc>
          <w:tcPr>
            <w:tcW w:w="71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lang w:val="en-US" w:eastAsia="zh-CN"/>
              </w:rPr>
            </w:pPr>
            <w:r>
              <w:rPr>
                <w:rFonts w:hint="default" w:ascii="Times New Roman" w:hAnsi="Times New Roman" w:eastAsia="仿宋_GB2312" w:cs="Times New Roman"/>
                <w:bCs/>
                <w:sz w:val="21"/>
                <w:szCs w:val="21"/>
                <w:highlight w:val="none"/>
                <w:lang w:val="en-US" w:eastAsia="zh-CN"/>
              </w:rPr>
              <w:t>J29</w:t>
            </w:r>
          </w:p>
        </w:tc>
        <w:tc>
          <w:tcPr>
            <w:tcW w:w="1733"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125° 29' 50.026"</w:t>
            </w:r>
          </w:p>
        </w:tc>
        <w:tc>
          <w:tcPr>
            <w:tcW w:w="1532"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43° 54' 36.701"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1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rPr>
            </w:pPr>
          </w:p>
        </w:tc>
        <w:tc>
          <w:tcPr>
            <w:tcW w:w="71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lang w:val="en-US" w:eastAsia="zh-CN"/>
              </w:rPr>
            </w:pPr>
            <w:r>
              <w:rPr>
                <w:rFonts w:hint="default" w:ascii="Times New Roman" w:hAnsi="Times New Roman" w:eastAsia="仿宋_GB2312" w:cs="Times New Roman"/>
                <w:bCs/>
                <w:sz w:val="21"/>
                <w:szCs w:val="21"/>
                <w:highlight w:val="none"/>
                <w:lang w:val="en-US" w:eastAsia="zh-CN"/>
              </w:rPr>
              <w:t>J30</w:t>
            </w:r>
          </w:p>
        </w:tc>
        <w:tc>
          <w:tcPr>
            <w:tcW w:w="1733"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125° 29' 50.051"</w:t>
            </w:r>
          </w:p>
        </w:tc>
        <w:tc>
          <w:tcPr>
            <w:tcW w:w="1532"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43° 54' 44.546"</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1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rPr>
            </w:pPr>
          </w:p>
        </w:tc>
        <w:tc>
          <w:tcPr>
            <w:tcW w:w="71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lang w:val="en-US" w:eastAsia="zh-CN"/>
              </w:rPr>
            </w:pPr>
            <w:r>
              <w:rPr>
                <w:rFonts w:hint="default" w:ascii="Times New Roman" w:hAnsi="Times New Roman" w:eastAsia="仿宋_GB2312" w:cs="Times New Roman"/>
                <w:bCs/>
                <w:sz w:val="21"/>
                <w:szCs w:val="21"/>
                <w:highlight w:val="none"/>
                <w:lang w:val="en-US" w:eastAsia="zh-CN"/>
              </w:rPr>
              <w:t>J31</w:t>
            </w:r>
          </w:p>
        </w:tc>
        <w:tc>
          <w:tcPr>
            <w:tcW w:w="1733"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125° 29' 58.189"</w:t>
            </w:r>
          </w:p>
        </w:tc>
        <w:tc>
          <w:tcPr>
            <w:tcW w:w="1532"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43° 54' 46.789"</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1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rPr>
            </w:pPr>
          </w:p>
        </w:tc>
        <w:tc>
          <w:tcPr>
            <w:tcW w:w="71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lang w:val="en-US" w:eastAsia="zh-CN"/>
              </w:rPr>
            </w:pPr>
            <w:r>
              <w:rPr>
                <w:rFonts w:hint="default" w:ascii="Times New Roman" w:hAnsi="Times New Roman" w:eastAsia="仿宋_GB2312" w:cs="Times New Roman"/>
                <w:bCs/>
                <w:sz w:val="21"/>
                <w:szCs w:val="21"/>
                <w:highlight w:val="none"/>
                <w:lang w:val="en-US" w:eastAsia="zh-CN"/>
              </w:rPr>
              <w:t>J32</w:t>
            </w:r>
          </w:p>
        </w:tc>
        <w:tc>
          <w:tcPr>
            <w:tcW w:w="1733"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125° 29' 58.440"</w:t>
            </w:r>
          </w:p>
        </w:tc>
        <w:tc>
          <w:tcPr>
            <w:tcW w:w="1532"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43° 54' 46.677"</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1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rPr>
            </w:pPr>
          </w:p>
        </w:tc>
        <w:tc>
          <w:tcPr>
            <w:tcW w:w="71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lang w:val="en-US" w:eastAsia="zh-CN"/>
              </w:rPr>
            </w:pPr>
            <w:r>
              <w:rPr>
                <w:rFonts w:hint="default" w:ascii="Times New Roman" w:hAnsi="Times New Roman" w:eastAsia="仿宋_GB2312" w:cs="Times New Roman"/>
                <w:bCs/>
                <w:sz w:val="21"/>
                <w:szCs w:val="21"/>
                <w:highlight w:val="none"/>
                <w:lang w:val="en-US" w:eastAsia="zh-CN"/>
              </w:rPr>
              <w:t>J33</w:t>
            </w:r>
          </w:p>
        </w:tc>
        <w:tc>
          <w:tcPr>
            <w:tcW w:w="1733"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125° 29' 58.983"</w:t>
            </w:r>
          </w:p>
        </w:tc>
        <w:tc>
          <w:tcPr>
            <w:tcW w:w="1532"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43° 54' 46.519"</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1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rPr>
            </w:pPr>
          </w:p>
        </w:tc>
        <w:tc>
          <w:tcPr>
            <w:tcW w:w="71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lang w:val="en-US" w:eastAsia="zh-CN"/>
              </w:rPr>
            </w:pPr>
            <w:r>
              <w:rPr>
                <w:rFonts w:hint="default" w:ascii="Times New Roman" w:hAnsi="Times New Roman" w:eastAsia="仿宋_GB2312" w:cs="Times New Roman"/>
                <w:bCs/>
                <w:sz w:val="21"/>
                <w:szCs w:val="21"/>
                <w:highlight w:val="none"/>
                <w:lang w:val="en-US" w:eastAsia="zh-CN"/>
              </w:rPr>
              <w:t>J34</w:t>
            </w:r>
          </w:p>
        </w:tc>
        <w:tc>
          <w:tcPr>
            <w:tcW w:w="1733"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125° 29' 59.575"</w:t>
            </w:r>
          </w:p>
        </w:tc>
        <w:tc>
          <w:tcPr>
            <w:tcW w:w="1532"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43° 54' 46.428"</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1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rPr>
            </w:pPr>
          </w:p>
        </w:tc>
        <w:tc>
          <w:tcPr>
            <w:tcW w:w="71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lang w:val="en-US" w:eastAsia="zh-CN"/>
              </w:rPr>
            </w:pPr>
            <w:r>
              <w:rPr>
                <w:rFonts w:hint="default" w:ascii="Times New Roman" w:hAnsi="Times New Roman" w:eastAsia="仿宋_GB2312" w:cs="Times New Roman"/>
                <w:bCs/>
                <w:sz w:val="21"/>
                <w:szCs w:val="21"/>
                <w:highlight w:val="none"/>
                <w:lang w:val="en-US" w:eastAsia="zh-CN"/>
              </w:rPr>
              <w:t>J35</w:t>
            </w:r>
          </w:p>
        </w:tc>
        <w:tc>
          <w:tcPr>
            <w:tcW w:w="1733"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125° 29' 59.929"</w:t>
            </w:r>
          </w:p>
        </w:tc>
        <w:tc>
          <w:tcPr>
            <w:tcW w:w="1532"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43° 54' 46.434"</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1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rPr>
            </w:pPr>
          </w:p>
        </w:tc>
        <w:tc>
          <w:tcPr>
            <w:tcW w:w="71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lang w:val="en-US" w:eastAsia="zh-CN"/>
              </w:rPr>
            </w:pPr>
            <w:r>
              <w:rPr>
                <w:rFonts w:hint="default" w:ascii="Times New Roman" w:hAnsi="Times New Roman" w:eastAsia="仿宋_GB2312" w:cs="Times New Roman"/>
                <w:bCs/>
                <w:sz w:val="21"/>
                <w:szCs w:val="21"/>
                <w:highlight w:val="none"/>
                <w:lang w:val="en-US" w:eastAsia="zh-CN"/>
              </w:rPr>
              <w:t>J36</w:t>
            </w:r>
          </w:p>
        </w:tc>
        <w:tc>
          <w:tcPr>
            <w:tcW w:w="1733"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125° 30' 0.646"</w:t>
            </w:r>
          </w:p>
        </w:tc>
        <w:tc>
          <w:tcPr>
            <w:tcW w:w="1532"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43° 54' 46.553"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1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rPr>
            </w:pPr>
          </w:p>
        </w:tc>
        <w:tc>
          <w:tcPr>
            <w:tcW w:w="71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lang w:val="en-US" w:eastAsia="zh-CN"/>
              </w:rPr>
            </w:pPr>
            <w:r>
              <w:rPr>
                <w:rFonts w:hint="default" w:ascii="Times New Roman" w:hAnsi="Times New Roman" w:eastAsia="仿宋_GB2312" w:cs="Times New Roman"/>
                <w:bCs/>
                <w:sz w:val="21"/>
                <w:szCs w:val="21"/>
                <w:highlight w:val="none"/>
                <w:lang w:val="en-US" w:eastAsia="zh-CN"/>
              </w:rPr>
              <w:t>J37</w:t>
            </w:r>
          </w:p>
        </w:tc>
        <w:tc>
          <w:tcPr>
            <w:tcW w:w="1733"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125° 30' 4.182"</w:t>
            </w:r>
          </w:p>
        </w:tc>
        <w:tc>
          <w:tcPr>
            <w:tcW w:w="1532"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43° 54' 46.700"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1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rPr>
            </w:pPr>
          </w:p>
        </w:tc>
        <w:tc>
          <w:tcPr>
            <w:tcW w:w="71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lang w:val="en-US" w:eastAsia="zh-CN"/>
              </w:rPr>
            </w:pPr>
            <w:r>
              <w:rPr>
                <w:rFonts w:hint="default" w:ascii="Times New Roman" w:hAnsi="Times New Roman" w:eastAsia="仿宋_GB2312" w:cs="Times New Roman"/>
                <w:bCs/>
                <w:sz w:val="21"/>
                <w:szCs w:val="21"/>
                <w:highlight w:val="none"/>
                <w:lang w:val="en-US" w:eastAsia="zh-CN"/>
              </w:rPr>
              <w:t>J38</w:t>
            </w:r>
          </w:p>
        </w:tc>
        <w:tc>
          <w:tcPr>
            <w:tcW w:w="1733"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125° 30' 6.261"</w:t>
            </w:r>
          </w:p>
        </w:tc>
        <w:tc>
          <w:tcPr>
            <w:tcW w:w="1532"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43° 54' 46.785"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1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rPr>
            </w:pPr>
          </w:p>
        </w:tc>
        <w:tc>
          <w:tcPr>
            <w:tcW w:w="71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lang w:val="en-US" w:eastAsia="zh-CN"/>
              </w:rPr>
            </w:pPr>
            <w:r>
              <w:rPr>
                <w:rFonts w:hint="default" w:ascii="Times New Roman" w:hAnsi="Times New Roman" w:eastAsia="仿宋_GB2312" w:cs="Times New Roman"/>
                <w:bCs/>
                <w:sz w:val="21"/>
                <w:szCs w:val="21"/>
                <w:highlight w:val="none"/>
                <w:lang w:val="en-US" w:eastAsia="zh-CN"/>
              </w:rPr>
              <w:t>J39</w:t>
            </w:r>
          </w:p>
        </w:tc>
        <w:tc>
          <w:tcPr>
            <w:tcW w:w="1733"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125° 30' 7.837"</w:t>
            </w:r>
          </w:p>
        </w:tc>
        <w:tc>
          <w:tcPr>
            <w:tcW w:w="1532"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43° 54' 45.239"</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1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rPr>
            </w:pPr>
          </w:p>
        </w:tc>
        <w:tc>
          <w:tcPr>
            <w:tcW w:w="71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lang w:val="en-US" w:eastAsia="zh-CN"/>
              </w:rPr>
            </w:pPr>
            <w:r>
              <w:rPr>
                <w:rFonts w:hint="default" w:ascii="Times New Roman" w:hAnsi="Times New Roman" w:eastAsia="仿宋_GB2312" w:cs="Times New Roman"/>
                <w:bCs/>
                <w:sz w:val="21"/>
                <w:szCs w:val="21"/>
                <w:highlight w:val="none"/>
                <w:lang w:val="en-US" w:eastAsia="zh-CN"/>
              </w:rPr>
              <w:t>J40</w:t>
            </w:r>
          </w:p>
        </w:tc>
        <w:tc>
          <w:tcPr>
            <w:tcW w:w="1733"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125° 30' 10.471"</w:t>
            </w:r>
          </w:p>
        </w:tc>
        <w:tc>
          <w:tcPr>
            <w:tcW w:w="1532"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43° 54' 46.018"</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1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rPr>
            </w:pPr>
          </w:p>
        </w:tc>
        <w:tc>
          <w:tcPr>
            <w:tcW w:w="71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lang w:val="en-US" w:eastAsia="zh-CN"/>
              </w:rPr>
            </w:pPr>
            <w:r>
              <w:rPr>
                <w:rFonts w:hint="default" w:ascii="Times New Roman" w:hAnsi="Times New Roman" w:eastAsia="仿宋_GB2312" w:cs="Times New Roman"/>
                <w:bCs/>
                <w:sz w:val="21"/>
                <w:szCs w:val="21"/>
                <w:highlight w:val="none"/>
                <w:lang w:val="en-US" w:eastAsia="zh-CN"/>
              </w:rPr>
              <w:t>J41</w:t>
            </w:r>
          </w:p>
        </w:tc>
        <w:tc>
          <w:tcPr>
            <w:tcW w:w="1733"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125° 30' 11.850"</w:t>
            </w:r>
          </w:p>
        </w:tc>
        <w:tc>
          <w:tcPr>
            <w:tcW w:w="1532"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43° 54' 46.426"</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1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rPr>
            </w:pPr>
          </w:p>
        </w:tc>
        <w:tc>
          <w:tcPr>
            <w:tcW w:w="71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lang w:val="en-US" w:eastAsia="zh-CN"/>
              </w:rPr>
            </w:pPr>
            <w:r>
              <w:rPr>
                <w:rFonts w:hint="default" w:ascii="Times New Roman" w:hAnsi="Times New Roman" w:eastAsia="仿宋_GB2312" w:cs="Times New Roman"/>
                <w:bCs/>
                <w:sz w:val="21"/>
                <w:szCs w:val="21"/>
                <w:highlight w:val="none"/>
                <w:lang w:val="en-US" w:eastAsia="zh-CN"/>
              </w:rPr>
              <w:t>J42</w:t>
            </w:r>
          </w:p>
        </w:tc>
        <w:tc>
          <w:tcPr>
            <w:tcW w:w="1733"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125° 30' 13.673"</w:t>
            </w:r>
          </w:p>
        </w:tc>
        <w:tc>
          <w:tcPr>
            <w:tcW w:w="1532"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43° 54' 48.148"</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1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rPr>
            </w:pPr>
          </w:p>
        </w:tc>
        <w:tc>
          <w:tcPr>
            <w:tcW w:w="71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lang w:val="en-US" w:eastAsia="zh-CN"/>
              </w:rPr>
            </w:pPr>
            <w:r>
              <w:rPr>
                <w:rFonts w:hint="default" w:ascii="Times New Roman" w:hAnsi="Times New Roman" w:eastAsia="仿宋_GB2312" w:cs="Times New Roman"/>
                <w:bCs/>
                <w:sz w:val="21"/>
                <w:szCs w:val="21"/>
                <w:highlight w:val="none"/>
                <w:lang w:val="en-US" w:eastAsia="zh-CN"/>
              </w:rPr>
              <w:t>J43</w:t>
            </w:r>
          </w:p>
        </w:tc>
        <w:tc>
          <w:tcPr>
            <w:tcW w:w="1733"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125° 30' 13.050"</w:t>
            </w:r>
          </w:p>
        </w:tc>
        <w:tc>
          <w:tcPr>
            <w:tcW w:w="1532"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43° 54' 51.290"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1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rPr>
            </w:pPr>
          </w:p>
        </w:tc>
        <w:tc>
          <w:tcPr>
            <w:tcW w:w="71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lang w:val="en-US" w:eastAsia="zh-CN"/>
              </w:rPr>
            </w:pPr>
            <w:r>
              <w:rPr>
                <w:rFonts w:hint="default" w:ascii="Times New Roman" w:hAnsi="Times New Roman" w:eastAsia="仿宋_GB2312" w:cs="Times New Roman"/>
                <w:bCs/>
                <w:sz w:val="21"/>
                <w:szCs w:val="21"/>
                <w:highlight w:val="none"/>
                <w:lang w:val="en-US" w:eastAsia="zh-CN"/>
              </w:rPr>
              <w:t>J44</w:t>
            </w:r>
          </w:p>
        </w:tc>
        <w:tc>
          <w:tcPr>
            <w:tcW w:w="1733"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125° 30' 11.530"</w:t>
            </w:r>
          </w:p>
        </w:tc>
        <w:tc>
          <w:tcPr>
            <w:tcW w:w="1532"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43° 54' 51.421"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1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rPr>
            </w:pPr>
          </w:p>
        </w:tc>
        <w:tc>
          <w:tcPr>
            <w:tcW w:w="71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lang w:val="en-US" w:eastAsia="zh-CN"/>
              </w:rPr>
            </w:pPr>
            <w:r>
              <w:rPr>
                <w:rFonts w:hint="default" w:ascii="Times New Roman" w:hAnsi="Times New Roman" w:eastAsia="仿宋_GB2312" w:cs="Times New Roman"/>
                <w:bCs/>
                <w:sz w:val="21"/>
                <w:szCs w:val="21"/>
                <w:highlight w:val="none"/>
                <w:lang w:val="en-US" w:eastAsia="zh-CN"/>
              </w:rPr>
              <w:t>J45</w:t>
            </w:r>
          </w:p>
        </w:tc>
        <w:tc>
          <w:tcPr>
            <w:tcW w:w="1733"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125° 30' 9.496"</w:t>
            </w:r>
          </w:p>
        </w:tc>
        <w:tc>
          <w:tcPr>
            <w:tcW w:w="1532"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43° 54' 52.085"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1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rPr>
            </w:pPr>
          </w:p>
        </w:tc>
        <w:tc>
          <w:tcPr>
            <w:tcW w:w="71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lang w:val="en-US" w:eastAsia="zh-CN"/>
              </w:rPr>
            </w:pPr>
            <w:r>
              <w:rPr>
                <w:rFonts w:hint="default" w:ascii="Times New Roman" w:hAnsi="Times New Roman" w:eastAsia="仿宋_GB2312" w:cs="Times New Roman"/>
                <w:bCs/>
                <w:sz w:val="21"/>
                <w:szCs w:val="21"/>
                <w:highlight w:val="none"/>
                <w:lang w:val="en-US" w:eastAsia="zh-CN"/>
              </w:rPr>
              <w:t>J46</w:t>
            </w:r>
          </w:p>
        </w:tc>
        <w:tc>
          <w:tcPr>
            <w:tcW w:w="1733"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125° 30' 9.868"</w:t>
            </w:r>
          </w:p>
        </w:tc>
        <w:tc>
          <w:tcPr>
            <w:tcW w:w="1532"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43° 54' 52.731"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1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rPr>
            </w:pPr>
          </w:p>
        </w:tc>
        <w:tc>
          <w:tcPr>
            <w:tcW w:w="71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lang w:val="en-US" w:eastAsia="zh-CN"/>
              </w:rPr>
            </w:pPr>
            <w:r>
              <w:rPr>
                <w:rFonts w:hint="default" w:ascii="Times New Roman" w:hAnsi="Times New Roman" w:eastAsia="仿宋_GB2312" w:cs="Times New Roman"/>
                <w:bCs/>
                <w:sz w:val="21"/>
                <w:szCs w:val="21"/>
                <w:highlight w:val="none"/>
                <w:lang w:val="en-US" w:eastAsia="zh-CN"/>
              </w:rPr>
              <w:t>J47</w:t>
            </w:r>
          </w:p>
        </w:tc>
        <w:tc>
          <w:tcPr>
            <w:tcW w:w="1733"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125° 30' 10.405"</w:t>
            </w:r>
          </w:p>
        </w:tc>
        <w:tc>
          <w:tcPr>
            <w:tcW w:w="1532"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43° 54' 53.347"</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1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rPr>
            </w:pPr>
          </w:p>
        </w:tc>
        <w:tc>
          <w:tcPr>
            <w:tcW w:w="71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lang w:val="en-US" w:eastAsia="zh-CN"/>
              </w:rPr>
            </w:pPr>
            <w:r>
              <w:rPr>
                <w:rFonts w:hint="default" w:ascii="Times New Roman" w:hAnsi="Times New Roman" w:eastAsia="仿宋_GB2312" w:cs="Times New Roman"/>
                <w:bCs/>
                <w:sz w:val="21"/>
                <w:szCs w:val="21"/>
                <w:highlight w:val="none"/>
                <w:lang w:val="en-US" w:eastAsia="zh-CN"/>
              </w:rPr>
              <w:t>J48</w:t>
            </w:r>
          </w:p>
        </w:tc>
        <w:tc>
          <w:tcPr>
            <w:tcW w:w="1733"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125° 30' 13.896"</w:t>
            </w:r>
          </w:p>
        </w:tc>
        <w:tc>
          <w:tcPr>
            <w:tcW w:w="1532"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43° 54' 56.243"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1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rPr>
            </w:pPr>
          </w:p>
        </w:tc>
        <w:tc>
          <w:tcPr>
            <w:tcW w:w="71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lang w:val="en-US" w:eastAsia="zh-CN"/>
              </w:rPr>
            </w:pPr>
            <w:r>
              <w:rPr>
                <w:rFonts w:hint="default" w:ascii="Times New Roman" w:hAnsi="Times New Roman" w:eastAsia="仿宋_GB2312" w:cs="Times New Roman"/>
                <w:bCs/>
                <w:sz w:val="21"/>
                <w:szCs w:val="21"/>
                <w:highlight w:val="none"/>
                <w:lang w:val="en-US" w:eastAsia="zh-CN"/>
              </w:rPr>
              <w:t>J49</w:t>
            </w:r>
          </w:p>
        </w:tc>
        <w:tc>
          <w:tcPr>
            <w:tcW w:w="1733"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125° 30' 14.578"</w:t>
            </w:r>
          </w:p>
        </w:tc>
        <w:tc>
          <w:tcPr>
            <w:tcW w:w="1532"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43° 54' 56.996"</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1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rPr>
            </w:pPr>
          </w:p>
        </w:tc>
        <w:tc>
          <w:tcPr>
            <w:tcW w:w="71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lang w:val="en-US" w:eastAsia="zh-CN"/>
              </w:rPr>
            </w:pPr>
            <w:r>
              <w:rPr>
                <w:rFonts w:hint="default" w:ascii="Times New Roman" w:hAnsi="Times New Roman" w:eastAsia="仿宋_GB2312" w:cs="Times New Roman"/>
                <w:bCs/>
                <w:sz w:val="21"/>
                <w:szCs w:val="21"/>
                <w:highlight w:val="none"/>
                <w:lang w:val="en-US" w:eastAsia="zh-CN"/>
              </w:rPr>
              <w:t>J50</w:t>
            </w:r>
          </w:p>
        </w:tc>
        <w:tc>
          <w:tcPr>
            <w:tcW w:w="1733"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125° 30' 16.527"</w:t>
            </w:r>
          </w:p>
        </w:tc>
        <w:tc>
          <w:tcPr>
            <w:tcW w:w="1532"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43° 54' 55.995"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1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rPr>
            </w:pPr>
          </w:p>
        </w:tc>
        <w:tc>
          <w:tcPr>
            <w:tcW w:w="71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sz w:val="21"/>
                <w:szCs w:val="21"/>
                <w:highlight w:val="none"/>
                <w:lang w:val="en-US" w:eastAsia="zh-CN"/>
              </w:rPr>
            </w:pPr>
            <w:r>
              <w:rPr>
                <w:rFonts w:hint="default" w:ascii="Times New Roman" w:hAnsi="Times New Roman" w:eastAsia="仿宋_GB2312" w:cs="Times New Roman"/>
                <w:bCs/>
                <w:sz w:val="21"/>
                <w:szCs w:val="21"/>
                <w:highlight w:val="none"/>
                <w:lang w:val="en-US" w:eastAsia="zh-CN"/>
              </w:rPr>
              <w:t>J1</w:t>
            </w:r>
          </w:p>
        </w:tc>
        <w:tc>
          <w:tcPr>
            <w:tcW w:w="1733"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125° 30' 16.527"</w:t>
            </w:r>
          </w:p>
        </w:tc>
        <w:tc>
          <w:tcPr>
            <w:tcW w:w="1532"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43° 54' 55.995"</w:t>
            </w:r>
          </w:p>
        </w:tc>
      </w:tr>
    </w:tbl>
    <w:p>
      <w:pPr>
        <w:pageBreakBefore w:val="0"/>
        <w:kinsoku/>
        <w:wordWrap/>
        <w:bidi w:val="0"/>
        <w:jc w:val="left"/>
        <w:rPr>
          <w:rFonts w:hint="default" w:ascii="Times New Roman" w:hAnsi="Times New Roman" w:cs="Times New Roman"/>
          <w:b/>
          <w:bCs/>
          <w:sz w:val="24"/>
          <w:highlight w:val="none"/>
        </w:rPr>
      </w:pPr>
    </w:p>
    <w:p>
      <w:pPr>
        <w:pageBreakBefore w:val="0"/>
        <w:tabs>
          <w:tab w:val="left" w:pos="6303"/>
        </w:tabs>
        <w:kinsoku/>
        <w:wordWrap/>
        <w:bidi w:val="0"/>
        <w:rPr>
          <w:rFonts w:hint="default" w:ascii="Times New Roman" w:hAnsi="Times New Roman" w:cs="Times New Roman"/>
          <w:highlight w:val="none"/>
        </w:rPr>
        <w:sectPr>
          <w:headerReference r:id="rId32" w:type="default"/>
          <w:footerReference r:id="rId33" w:type="default"/>
          <w:pgSz w:w="11910" w:h="16838"/>
          <w:pgMar w:top="1440" w:right="1800" w:bottom="1440" w:left="1800" w:header="720" w:footer="720" w:gutter="0"/>
          <w:pgBorders>
            <w:top w:val="none" w:sz="0" w:space="0"/>
            <w:left w:val="none" w:sz="0" w:space="0"/>
            <w:bottom w:val="none" w:sz="0" w:space="0"/>
            <w:right w:val="none" w:sz="0" w:space="0"/>
          </w:pgBorders>
          <w:pgNumType w:fmt="decimal"/>
          <w:cols w:space="720" w:num="1"/>
        </w:sect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b/>
          <w:bCs/>
          <w:sz w:val="28"/>
          <w:szCs w:val="28"/>
          <w:highlight w:val="none"/>
        </w:rPr>
      </w:pPr>
      <w:r>
        <w:rPr>
          <w:rFonts w:hint="default" w:ascii="Times New Roman" w:hAnsi="Times New Roman" w:eastAsia="仿宋_GB2312" w:cs="Times New Roman"/>
          <w:b/>
          <w:bCs/>
          <w:sz w:val="28"/>
          <w:szCs w:val="28"/>
          <w:highlight w:val="none"/>
        </w:rPr>
        <w:t>附表2：</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项目区属于东北黑土区，根据《全国水土保持规划</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2015—2030年</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》和《吉林省水土保持规划</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2016—2030年</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》，属东北漫川漫岗国家级水土流失重点治理区，根据《生产建设项目水土流失防治标准》</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GB/T50434-2018</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的规定：</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位于县级及以上城市区域的，应执行一级标准</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，该工程水土流失防治执行东北黑土区水土流失防治一级标准。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根据《生产建设项目水土流失防治标准》</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GB/T50434-2018</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，因项目区位于轻度侵蚀为主的区域，土壤流失控制比应不小于1.0；因项目位于城市区，渣土防护率提高1%；根据《生产建设项目水土保持技术标准》</w:t>
      </w:r>
      <w:r>
        <w:rPr>
          <w:rFonts w:hint="default" w:ascii="Times New Roman" w:hAnsi="Times New Roman" w:eastAsia="仿宋_GB2312" w:cs="Times New Roman"/>
          <w:sz w:val="24"/>
          <w:szCs w:val="24"/>
          <w:lang w:val="en-US" w:eastAsia="zh-CN"/>
        </w:rPr>
        <w:t>（</w:t>
      </w:r>
      <w:r>
        <w:rPr>
          <w:rFonts w:hint="default" w:ascii="Times New Roman" w:hAnsi="Times New Roman" w:eastAsia="仿宋_GB2312" w:cs="Times New Roman"/>
          <w:sz w:val="24"/>
          <w:szCs w:val="24"/>
        </w:rPr>
        <w:t>GB/T50433-2018</w:t>
      </w:r>
      <w:r>
        <w:rPr>
          <w:rFonts w:hint="default" w:ascii="Times New Roman" w:hAnsi="Times New Roman" w:eastAsia="仿宋_GB2312" w:cs="Times New Roman"/>
          <w:sz w:val="24"/>
          <w:szCs w:val="24"/>
          <w:lang w:val="en-US" w:eastAsia="zh-CN"/>
        </w:rPr>
        <w:t>）</w:t>
      </w:r>
      <w:r>
        <w:rPr>
          <w:rFonts w:hint="default" w:ascii="Times New Roman" w:hAnsi="Times New Roman" w:eastAsia="仿宋_GB2312" w:cs="Times New Roman"/>
          <w:sz w:val="24"/>
          <w:szCs w:val="24"/>
        </w:rPr>
        <w:t>，无法避让国家级水土流失重点治理区，林草覆盖率提高1%。根据项目实际，林草覆盖率调整为</w:t>
      </w:r>
      <w:r>
        <w:rPr>
          <w:rFonts w:hint="default" w:ascii="Times New Roman" w:hAnsi="Times New Roman" w:eastAsia="仿宋_GB2312" w:cs="Times New Roman"/>
          <w:sz w:val="24"/>
          <w:szCs w:val="24"/>
          <w:lang w:val="en-US" w:eastAsia="zh-CN"/>
        </w:rPr>
        <w:t>19%</w:t>
      </w:r>
      <w:r>
        <w:rPr>
          <w:rFonts w:hint="default" w:ascii="Times New Roman" w:hAnsi="Times New Roman" w:eastAsia="仿宋_GB2312" w:cs="Times New Roman"/>
          <w:sz w:val="24"/>
          <w:szCs w:val="24"/>
        </w:rPr>
        <w:t>。由于项目区表土被</w:t>
      </w:r>
      <w:r>
        <w:rPr>
          <w:rFonts w:hint="default" w:ascii="Times New Roman" w:hAnsi="Times New Roman" w:eastAsia="仿宋_GB2312" w:cs="Times New Roman"/>
          <w:sz w:val="24"/>
          <w:szCs w:val="24"/>
          <w:lang w:eastAsia="zh-CN"/>
        </w:rPr>
        <w:t>长春二道经济开发区</w:t>
      </w:r>
      <w:r>
        <w:rPr>
          <w:rFonts w:hint="default" w:ascii="Times New Roman" w:hAnsi="Times New Roman" w:eastAsia="仿宋_GB2312" w:cs="Times New Roman"/>
          <w:sz w:val="24"/>
          <w:szCs w:val="24"/>
        </w:rPr>
        <w:t>管理委员会统一调配，表土保护归</w:t>
      </w:r>
      <w:r>
        <w:rPr>
          <w:rFonts w:hint="default" w:ascii="Times New Roman" w:hAnsi="Times New Roman" w:eastAsia="仿宋_GB2312" w:cs="Times New Roman"/>
          <w:sz w:val="24"/>
          <w:szCs w:val="24"/>
          <w:lang w:eastAsia="zh-CN"/>
        </w:rPr>
        <w:t>长春二道经济开发区</w:t>
      </w:r>
      <w:r>
        <w:rPr>
          <w:rFonts w:hint="default" w:ascii="Times New Roman" w:hAnsi="Times New Roman" w:eastAsia="仿宋_GB2312" w:cs="Times New Roman"/>
          <w:sz w:val="24"/>
          <w:szCs w:val="24"/>
        </w:rPr>
        <w:t>管理委员会负责，</w:t>
      </w:r>
      <w:r>
        <w:rPr>
          <w:rFonts w:hint="default" w:ascii="Times New Roman" w:hAnsi="Times New Roman" w:eastAsia="仿宋_GB2312" w:cs="Times New Roman"/>
          <w:sz w:val="24"/>
          <w:szCs w:val="24"/>
          <w:lang w:eastAsia="zh-CN"/>
        </w:rPr>
        <w:t>本期项目</w:t>
      </w:r>
      <w:r>
        <w:rPr>
          <w:rFonts w:hint="default" w:ascii="Times New Roman" w:hAnsi="Times New Roman" w:eastAsia="仿宋_GB2312" w:cs="Times New Roman"/>
          <w:sz w:val="24"/>
          <w:szCs w:val="24"/>
        </w:rPr>
        <w:t>不计表土保护率。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综上，确定</w:t>
      </w:r>
      <w:r>
        <w:rPr>
          <w:rFonts w:hint="default" w:ascii="Times New Roman" w:hAnsi="Times New Roman" w:eastAsia="仿宋_GB2312" w:cs="Times New Roman"/>
          <w:sz w:val="24"/>
          <w:szCs w:val="24"/>
          <w:lang w:eastAsia="zh-CN"/>
        </w:rPr>
        <w:t>本期项目</w:t>
      </w:r>
      <w:r>
        <w:rPr>
          <w:rFonts w:hint="default" w:ascii="Times New Roman" w:hAnsi="Times New Roman" w:eastAsia="仿宋_GB2312" w:cs="Times New Roman"/>
          <w:sz w:val="24"/>
          <w:szCs w:val="24"/>
        </w:rPr>
        <w:t>设计水平年水土流失防治指标为水土流失治理度达到97%；土壤流失控制比为1.0；</w:t>
      </w:r>
      <w:r>
        <w:rPr>
          <w:rFonts w:hint="eastAsia" w:ascii="Times New Roman" w:hAnsi="Times New Roman" w:eastAsia="仿宋_GB2312" w:cs="Times New Roman"/>
          <w:sz w:val="24"/>
          <w:szCs w:val="24"/>
          <w:lang w:val="en-US" w:eastAsia="zh-CN"/>
        </w:rPr>
        <w:t>渣土防护率98%；</w:t>
      </w:r>
      <w:r>
        <w:rPr>
          <w:rFonts w:hint="default" w:ascii="Times New Roman" w:hAnsi="Times New Roman" w:eastAsia="仿宋_GB2312" w:cs="Times New Roman"/>
          <w:sz w:val="24"/>
          <w:szCs w:val="24"/>
        </w:rPr>
        <w:t>林草植被恢复率为97%；林草覆盖率</w:t>
      </w:r>
      <w:r>
        <w:rPr>
          <w:rFonts w:hint="default" w:ascii="Times New Roman" w:hAnsi="Times New Roman" w:eastAsia="仿宋_GB2312" w:cs="Times New Roman"/>
          <w:sz w:val="24"/>
          <w:szCs w:val="24"/>
          <w:lang w:val="en-US" w:eastAsia="zh-CN"/>
        </w:rPr>
        <w:t>19%</w:t>
      </w:r>
      <w:r>
        <w:rPr>
          <w:rFonts w:hint="default" w:ascii="Times New Roman" w:hAnsi="Times New Roman" w:eastAsia="仿宋_GB2312" w:cs="Times New Roman"/>
          <w:sz w:val="24"/>
          <w:szCs w:val="24"/>
        </w:rPr>
        <w:t>。防治指标调整情况详见下表。</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val="0"/>
          <w:sz w:val="24"/>
          <w:highlight w:val="none"/>
        </w:rPr>
      </w:pPr>
      <w:bookmarkStart w:id="435" w:name="_Toc15219"/>
      <w:r>
        <w:rPr>
          <w:rFonts w:hint="default" w:ascii="Times New Roman" w:hAnsi="Times New Roman" w:eastAsia="微软雅黑" w:cs="Times New Roman"/>
          <w:b w:val="0"/>
          <w:bCs w:val="0"/>
          <w:sz w:val="24"/>
          <w:highlight w:val="none"/>
        </w:rPr>
        <w:t>附表2</w:t>
      </w:r>
      <w:r>
        <w:rPr>
          <w:rFonts w:hint="default" w:ascii="Times New Roman" w:hAnsi="Times New Roman" w:eastAsia="微软雅黑" w:cs="Times New Roman"/>
          <w:b w:val="0"/>
          <w:bCs w:val="0"/>
          <w:sz w:val="24"/>
          <w:highlight w:val="none"/>
          <w:lang w:val="en-US" w:eastAsia="zh-CN"/>
        </w:rPr>
        <w:t xml:space="preserve">  </w:t>
      </w:r>
      <w:r>
        <w:rPr>
          <w:rFonts w:hint="default" w:ascii="Times New Roman" w:hAnsi="Times New Roman" w:eastAsia="微软雅黑" w:cs="Times New Roman"/>
          <w:b w:val="0"/>
          <w:bCs w:val="0"/>
          <w:sz w:val="24"/>
          <w:highlight w:val="none"/>
        </w:rPr>
        <w:t>防治标准指标计算表</w:t>
      </w:r>
      <w:bookmarkEnd w:id="435"/>
    </w:p>
    <w:tbl>
      <w:tblPr>
        <w:tblStyle w:val="556"/>
        <w:tblW w:w="4998" w:type="pct"/>
        <w:jc w:val="center"/>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2119"/>
        <w:gridCol w:w="836"/>
        <w:gridCol w:w="923"/>
        <w:gridCol w:w="1099"/>
        <w:gridCol w:w="1142"/>
        <w:gridCol w:w="1128"/>
        <w:gridCol w:w="1060"/>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12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3"/>
                <w:sz w:val="21"/>
                <w:szCs w:val="21"/>
              </w:rPr>
              <w:t>防</w:t>
            </w:r>
            <w:r>
              <w:rPr>
                <w:rFonts w:hint="default" w:ascii="Times New Roman" w:hAnsi="Times New Roman" w:eastAsia="仿宋_GB2312" w:cs="Times New Roman"/>
                <w:spacing w:val="2"/>
                <w:sz w:val="21"/>
                <w:szCs w:val="21"/>
              </w:rPr>
              <w:t>治指标</w:t>
            </w:r>
          </w:p>
        </w:tc>
        <w:tc>
          <w:tcPr>
            <w:tcW w:w="50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pacing w:val="6"/>
                <w:sz w:val="21"/>
                <w:szCs w:val="21"/>
              </w:rPr>
              <w:t>标准</w:t>
            </w:r>
            <w:r>
              <w:rPr>
                <w:rFonts w:hint="default" w:ascii="Times New Roman" w:hAnsi="Times New Roman" w:eastAsia="仿宋_GB2312" w:cs="Times New Roman"/>
                <w:spacing w:val="6"/>
                <w:sz w:val="21"/>
                <w:szCs w:val="21"/>
                <w:lang w:val="en-US" w:eastAsia="zh-CN"/>
              </w:rPr>
              <w:t>值</w:t>
            </w:r>
          </w:p>
        </w:tc>
        <w:tc>
          <w:tcPr>
            <w:tcW w:w="5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5"/>
                <w:sz w:val="21"/>
                <w:szCs w:val="21"/>
              </w:rPr>
              <w:t>按城市</w:t>
            </w:r>
            <w:r>
              <w:rPr>
                <w:rFonts w:hint="default" w:ascii="Times New Roman" w:hAnsi="Times New Roman" w:eastAsia="仿宋_GB2312" w:cs="Times New Roman"/>
                <w:spacing w:val="-1"/>
                <w:sz w:val="21"/>
                <w:szCs w:val="21"/>
              </w:rPr>
              <w:t>区调整</w:t>
            </w:r>
          </w:p>
        </w:tc>
        <w:tc>
          <w:tcPr>
            <w:tcW w:w="66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5"/>
                <w:sz w:val="21"/>
                <w:szCs w:val="21"/>
              </w:rPr>
              <w:t>按重点</w:t>
            </w:r>
            <w:r>
              <w:rPr>
                <w:rFonts w:hint="default" w:ascii="Times New Roman" w:hAnsi="Times New Roman" w:eastAsia="仿宋_GB2312" w:cs="Times New Roman"/>
                <w:spacing w:val="1"/>
                <w:sz w:val="21"/>
                <w:szCs w:val="21"/>
              </w:rPr>
              <w:t>防</w:t>
            </w:r>
            <w:r>
              <w:rPr>
                <w:rFonts w:hint="default" w:ascii="Times New Roman" w:hAnsi="Times New Roman" w:eastAsia="仿宋_GB2312" w:cs="Times New Roman"/>
                <w:sz w:val="21"/>
                <w:szCs w:val="21"/>
              </w:rPr>
              <w:t>治区</w:t>
            </w:r>
            <w:r>
              <w:rPr>
                <w:rFonts w:hint="default" w:ascii="Times New Roman" w:hAnsi="Times New Roman" w:eastAsia="仿宋_GB2312" w:cs="Times New Roman"/>
                <w:spacing w:val="2"/>
                <w:sz w:val="21"/>
                <w:szCs w:val="21"/>
              </w:rPr>
              <w:t>调整</w:t>
            </w:r>
          </w:p>
        </w:tc>
        <w:tc>
          <w:tcPr>
            <w:tcW w:w="6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5"/>
                <w:sz w:val="21"/>
                <w:szCs w:val="21"/>
              </w:rPr>
              <w:t>按项目</w:t>
            </w:r>
            <w:r>
              <w:rPr>
                <w:rFonts w:hint="default" w:ascii="Times New Roman" w:hAnsi="Times New Roman" w:eastAsia="仿宋_GB2312" w:cs="Times New Roman"/>
                <w:spacing w:val="2"/>
                <w:sz w:val="21"/>
                <w:szCs w:val="21"/>
              </w:rPr>
              <w:t>实际调整</w:t>
            </w:r>
          </w:p>
        </w:tc>
        <w:tc>
          <w:tcPr>
            <w:tcW w:w="6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5"/>
                <w:sz w:val="21"/>
                <w:szCs w:val="21"/>
              </w:rPr>
              <w:t>按侵蚀</w:t>
            </w:r>
            <w:r>
              <w:rPr>
                <w:rFonts w:hint="default" w:ascii="Times New Roman" w:hAnsi="Times New Roman" w:eastAsia="仿宋_GB2312" w:cs="Times New Roman"/>
                <w:spacing w:val="3"/>
                <w:sz w:val="21"/>
                <w:szCs w:val="21"/>
              </w:rPr>
              <w:t>强度</w:t>
            </w:r>
            <w:r>
              <w:rPr>
                <w:rFonts w:hint="default" w:ascii="Times New Roman" w:hAnsi="Times New Roman" w:eastAsia="仿宋_GB2312" w:cs="Times New Roman"/>
                <w:spacing w:val="2"/>
                <w:sz w:val="21"/>
                <w:szCs w:val="21"/>
              </w:rPr>
              <w:t>调</w:t>
            </w:r>
            <w:r>
              <w:rPr>
                <w:rFonts w:hint="default" w:ascii="Times New Roman" w:hAnsi="Times New Roman" w:eastAsia="仿宋_GB2312" w:cs="Times New Roman"/>
                <w:sz w:val="21"/>
                <w:szCs w:val="21"/>
              </w:rPr>
              <w:t>整</w:t>
            </w:r>
          </w:p>
        </w:tc>
        <w:tc>
          <w:tcPr>
            <w:tcW w:w="63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pacing w:val="7"/>
                <w:sz w:val="21"/>
                <w:szCs w:val="21"/>
                <w:lang w:val="en-US" w:eastAsia="zh-CN"/>
              </w:rPr>
              <w:t>目标值</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12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1"/>
                <w:position w:val="1"/>
                <w:sz w:val="21"/>
                <w:szCs w:val="21"/>
              </w:rPr>
              <w:t>水土流失治理度</w:t>
            </w:r>
            <w:r>
              <w:rPr>
                <w:rFonts w:hint="default" w:ascii="Times New Roman" w:hAnsi="Times New Roman" w:eastAsia="仿宋_GB2312" w:cs="Times New Roman"/>
                <w:spacing w:val="1"/>
                <w:position w:val="1"/>
                <w:sz w:val="21"/>
                <w:szCs w:val="21"/>
                <w:lang w:eastAsia="zh-CN"/>
              </w:rPr>
              <w:t>（</w:t>
            </w:r>
            <w:r>
              <w:rPr>
                <w:rFonts w:hint="default" w:ascii="Times New Roman" w:hAnsi="Times New Roman" w:eastAsia="仿宋_GB2312" w:cs="Times New Roman"/>
                <w:position w:val="1"/>
                <w:sz w:val="21"/>
                <w:szCs w:val="21"/>
              </w:rPr>
              <w:t>%</w:t>
            </w:r>
            <w:r>
              <w:rPr>
                <w:rFonts w:hint="default" w:ascii="Times New Roman" w:hAnsi="Times New Roman" w:eastAsia="仿宋_GB2312" w:cs="Times New Roman"/>
                <w:spacing w:val="1"/>
                <w:position w:val="1"/>
                <w:sz w:val="21"/>
                <w:szCs w:val="21"/>
                <w:lang w:eastAsia="zh-CN"/>
              </w:rPr>
              <w:t>）</w:t>
            </w:r>
          </w:p>
        </w:tc>
        <w:tc>
          <w:tcPr>
            <w:tcW w:w="50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1"/>
                <w:sz w:val="21"/>
                <w:szCs w:val="21"/>
              </w:rPr>
              <w:t>9</w:t>
            </w:r>
            <w:r>
              <w:rPr>
                <w:rFonts w:hint="default" w:ascii="Times New Roman" w:hAnsi="Times New Roman" w:eastAsia="仿宋_GB2312" w:cs="Times New Roman"/>
                <w:sz w:val="21"/>
                <w:szCs w:val="21"/>
              </w:rPr>
              <w:t>7</w:t>
            </w:r>
          </w:p>
        </w:tc>
        <w:tc>
          <w:tcPr>
            <w:tcW w:w="5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p>
        </w:tc>
        <w:tc>
          <w:tcPr>
            <w:tcW w:w="66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p>
        </w:tc>
        <w:tc>
          <w:tcPr>
            <w:tcW w:w="6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p>
        </w:tc>
        <w:tc>
          <w:tcPr>
            <w:tcW w:w="6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p>
        </w:tc>
        <w:tc>
          <w:tcPr>
            <w:tcW w:w="63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1"/>
                <w:sz w:val="21"/>
                <w:szCs w:val="21"/>
              </w:rPr>
              <w:t>9</w:t>
            </w:r>
            <w:r>
              <w:rPr>
                <w:rFonts w:hint="default" w:ascii="Times New Roman" w:hAnsi="Times New Roman" w:eastAsia="仿宋_GB2312" w:cs="Times New Roman"/>
                <w:sz w:val="21"/>
                <w:szCs w:val="21"/>
              </w:rPr>
              <w:t>7</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12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10"/>
                <w:sz w:val="21"/>
                <w:szCs w:val="21"/>
              </w:rPr>
              <w:t>土</w:t>
            </w:r>
            <w:r>
              <w:rPr>
                <w:rFonts w:hint="default" w:ascii="Times New Roman" w:hAnsi="Times New Roman" w:eastAsia="仿宋_GB2312" w:cs="Times New Roman"/>
                <w:spacing w:val="7"/>
                <w:sz w:val="21"/>
                <w:szCs w:val="21"/>
              </w:rPr>
              <w:t>壤流失控制比</w:t>
            </w:r>
          </w:p>
        </w:tc>
        <w:tc>
          <w:tcPr>
            <w:tcW w:w="50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3"/>
                <w:sz w:val="21"/>
                <w:szCs w:val="21"/>
              </w:rPr>
              <w:t>0.9</w:t>
            </w:r>
          </w:p>
        </w:tc>
        <w:tc>
          <w:tcPr>
            <w:tcW w:w="5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p>
        </w:tc>
        <w:tc>
          <w:tcPr>
            <w:tcW w:w="66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p>
        </w:tc>
        <w:tc>
          <w:tcPr>
            <w:tcW w:w="6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p>
        </w:tc>
        <w:tc>
          <w:tcPr>
            <w:tcW w:w="6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5"/>
                <w:position w:val="2"/>
                <w:sz w:val="21"/>
                <w:szCs w:val="21"/>
              </w:rPr>
              <w:t>+</w:t>
            </w:r>
            <w:r>
              <w:rPr>
                <w:rFonts w:hint="default" w:ascii="Times New Roman" w:hAnsi="Times New Roman" w:eastAsia="仿宋_GB2312" w:cs="Times New Roman"/>
                <w:spacing w:val="-3"/>
                <w:position w:val="2"/>
                <w:sz w:val="21"/>
                <w:szCs w:val="21"/>
              </w:rPr>
              <w:t>0.1</w:t>
            </w:r>
          </w:p>
        </w:tc>
        <w:tc>
          <w:tcPr>
            <w:tcW w:w="63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3"/>
                <w:sz w:val="21"/>
                <w:szCs w:val="21"/>
              </w:rPr>
              <w:t>1.0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12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eastAsia" w:ascii="Times New Roman" w:hAnsi="Times New Roman" w:eastAsia="仿宋_GB2312" w:cs="Times New Roman"/>
                <w:spacing w:val="1"/>
                <w:position w:val="1"/>
                <w:sz w:val="21"/>
                <w:szCs w:val="21"/>
                <w:lang w:val="en-US" w:eastAsia="zh-CN"/>
              </w:rPr>
            </w:pPr>
            <w:r>
              <w:rPr>
                <w:rFonts w:hint="eastAsia" w:ascii="Times New Roman" w:hAnsi="Times New Roman" w:eastAsia="仿宋_GB2312" w:cs="Times New Roman"/>
                <w:spacing w:val="1"/>
                <w:position w:val="1"/>
                <w:sz w:val="21"/>
                <w:szCs w:val="21"/>
                <w:lang w:val="en-US" w:eastAsia="zh-CN"/>
              </w:rPr>
              <w:t>渣土防护率</w:t>
            </w:r>
          </w:p>
        </w:tc>
        <w:tc>
          <w:tcPr>
            <w:tcW w:w="50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pacing w:val="1"/>
                <w:sz w:val="21"/>
                <w:szCs w:val="21"/>
                <w:lang w:val="en-US" w:eastAsia="zh-CN"/>
              </w:rPr>
            </w:pPr>
            <w:r>
              <w:rPr>
                <w:rFonts w:hint="eastAsia" w:ascii="Times New Roman" w:hAnsi="Times New Roman" w:eastAsia="仿宋_GB2312" w:cs="Times New Roman"/>
                <w:spacing w:val="1"/>
                <w:sz w:val="21"/>
                <w:szCs w:val="21"/>
                <w:lang w:val="en-US" w:eastAsia="zh-CN"/>
              </w:rPr>
              <w:t>97</w:t>
            </w:r>
          </w:p>
        </w:tc>
        <w:tc>
          <w:tcPr>
            <w:tcW w:w="5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+1</w:t>
            </w:r>
          </w:p>
        </w:tc>
        <w:tc>
          <w:tcPr>
            <w:tcW w:w="66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p>
        </w:tc>
        <w:tc>
          <w:tcPr>
            <w:tcW w:w="6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p>
        </w:tc>
        <w:tc>
          <w:tcPr>
            <w:tcW w:w="6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p>
        </w:tc>
        <w:tc>
          <w:tcPr>
            <w:tcW w:w="63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pacing w:val="1"/>
                <w:sz w:val="21"/>
                <w:szCs w:val="21"/>
                <w:lang w:val="en-US" w:eastAsia="zh-CN"/>
              </w:rPr>
            </w:pPr>
            <w:r>
              <w:rPr>
                <w:rFonts w:hint="eastAsia" w:ascii="Times New Roman" w:hAnsi="Times New Roman" w:eastAsia="仿宋_GB2312" w:cs="Times New Roman"/>
                <w:spacing w:val="1"/>
                <w:sz w:val="21"/>
                <w:szCs w:val="21"/>
                <w:lang w:val="en-US" w:eastAsia="zh-CN"/>
              </w:rPr>
              <w:t>98</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12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1"/>
                <w:position w:val="1"/>
                <w:sz w:val="21"/>
                <w:szCs w:val="21"/>
              </w:rPr>
              <w:t>林草植被恢复率</w:t>
            </w:r>
            <w:r>
              <w:rPr>
                <w:rFonts w:hint="default" w:ascii="Times New Roman" w:hAnsi="Times New Roman" w:eastAsia="仿宋_GB2312" w:cs="Times New Roman"/>
                <w:spacing w:val="1"/>
                <w:position w:val="1"/>
                <w:sz w:val="21"/>
                <w:szCs w:val="21"/>
                <w:lang w:eastAsia="zh-CN"/>
              </w:rPr>
              <w:t>（</w:t>
            </w:r>
            <w:r>
              <w:rPr>
                <w:rFonts w:hint="default" w:ascii="Times New Roman" w:hAnsi="Times New Roman" w:eastAsia="仿宋_GB2312" w:cs="Times New Roman"/>
                <w:position w:val="1"/>
                <w:sz w:val="21"/>
                <w:szCs w:val="21"/>
              </w:rPr>
              <w:t>%</w:t>
            </w:r>
            <w:r>
              <w:rPr>
                <w:rFonts w:hint="default" w:ascii="Times New Roman" w:hAnsi="Times New Roman" w:eastAsia="仿宋_GB2312" w:cs="Times New Roman"/>
                <w:spacing w:val="1"/>
                <w:position w:val="1"/>
                <w:sz w:val="21"/>
                <w:szCs w:val="21"/>
                <w:lang w:eastAsia="zh-CN"/>
              </w:rPr>
              <w:t>）</w:t>
            </w:r>
          </w:p>
        </w:tc>
        <w:tc>
          <w:tcPr>
            <w:tcW w:w="50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1"/>
                <w:sz w:val="21"/>
                <w:szCs w:val="21"/>
              </w:rPr>
              <w:t>9</w:t>
            </w:r>
            <w:r>
              <w:rPr>
                <w:rFonts w:hint="default" w:ascii="Times New Roman" w:hAnsi="Times New Roman" w:eastAsia="仿宋_GB2312" w:cs="Times New Roman"/>
                <w:sz w:val="21"/>
                <w:szCs w:val="21"/>
              </w:rPr>
              <w:t>7</w:t>
            </w:r>
          </w:p>
        </w:tc>
        <w:tc>
          <w:tcPr>
            <w:tcW w:w="5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p>
        </w:tc>
        <w:tc>
          <w:tcPr>
            <w:tcW w:w="66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p>
        </w:tc>
        <w:tc>
          <w:tcPr>
            <w:tcW w:w="6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p>
        </w:tc>
        <w:tc>
          <w:tcPr>
            <w:tcW w:w="6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p>
        </w:tc>
        <w:tc>
          <w:tcPr>
            <w:tcW w:w="63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1"/>
                <w:sz w:val="21"/>
                <w:szCs w:val="21"/>
              </w:rPr>
              <w:t>9</w:t>
            </w:r>
            <w:r>
              <w:rPr>
                <w:rFonts w:hint="default" w:ascii="Times New Roman" w:hAnsi="Times New Roman" w:eastAsia="仿宋_GB2312" w:cs="Times New Roman"/>
                <w:sz w:val="21"/>
                <w:szCs w:val="21"/>
              </w:rPr>
              <w:t>7</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12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6"/>
                <w:position w:val="1"/>
                <w:sz w:val="21"/>
                <w:szCs w:val="21"/>
              </w:rPr>
              <w:t>林草覆盖率</w:t>
            </w:r>
            <w:r>
              <w:rPr>
                <w:rFonts w:hint="default" w:ascii="Times New Roman" w:hAnsi="Times New Roman" w:eastAsia="仿宋_GB2312" w:cs="Times New Roman"/>
                <w:spacing w:val="1"/>
                <w:position w:val="1"/>
                <w:sz w:val="21"/>
                <w:szCs w:val="21"/>
                <w:lang w:eastAsia="zh-CN"/>
              </w:rPr>
              <w:t>（</w:t>
            </w:r>
            <w:r>
              <w:rPr>
                <w:rFonts w:hint="default" w:ascii="Times New Roman" w:hAnsi="Times New Roman" w:eastAsia="仿宋_GB2312" w:cs="Times New Roman"/>
                <w:position w:val="1"/>
                <w:sz w:val="21"/>
                <w:szCs w:val="21"/>
              </w:rPr>
              <w:t>%</w:t>
            </w:r>
            <w:r>
              <w:rPr>
                <w:rFonts w:hint="default" w:ascii="Times New Roman" w:hAnsi="Times New Roman" w:eastAsia="仿宋_GB2312" w:cs="Times New Roman"/>
                <w:spacing w:val="1"/>
                <w:position w:val="1"/>
                <w:sz w:val="21"/>
                <w:szCs w:val="21"/>
                <w:lang w:eastAsia="zh-CN"/>
              </w:rPr>
              <w:t>）</w:t>
            </w:r>
          </w:p>
        </w:tc>
        <w:tc>
          <w:tcPr>
            <w:tcW w:w="50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3"/>
                <w:sz w:val="21"/>
                <w:szCs w:val="21"/>
              </w:rPr>
              <w:t>2</w:t>
            </w:r>
            <w:r>
              <w:rPr>
                <w:rFonts w:hint="default" w:ascii="Times New Roman" w:hAnsi="Times New Roman" w:eastAsia="仿宋_GB2312" w:cs="Times New Roman"/>
                <w:spacing w:val="2"/>
                <w:sz w:val="21"/>
                <w:szCs w:val="21"/>
              </w:rPr>
              <w:t>5</w:t>
            </w:r>
          </w:p>
        </w:tc>
        <w:tc>
          <w:tcPr>
            <w:tcW w:w="5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9"/>
                <w:position w:val="2"/>
                <w:sz w:val="21"/>
                <w:szCs w:val="21"/>
              </w:rPr>
              <w:t>+</w:t>
            </w:r>
            <w:r>
              <w:rPr>
                <w:rFonts w:hint="default" w:ascii="Times New Roman" w:hAnsi="Times New Roman" w:eastAsia="仿宋_GB2312" w:cs="Times New Roman"/>
                <w:spacing w:val="-8"/>
                <w:position w:val="2"/>
                <w:sz w:val="21"/>
                <w:szCs w:val="21"/>
              </w:rPr>
              <w:t>1</w:t>
            </w:r>
          </w:p>
        </w:tc>
        <w:tc>
          <w:tcPr>
            <w:tcW w:w="66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9"/>
                <w:position w:val="2"/>
                <w:sz w:val="21"/>
                <w:szCs w:val="21"/>
              </w:rPr>
              <w:t>+</w:t>
            </w:r>
            <w:r>
              <w:rPr>
                <w:rFonts w:hint="default" w:ascii="Times New Roman" w:hAnsi="Times New Roman" w:eastAsia="仿宋_GB2312" w:cs="Times New Roman"/>
                <w:spacing w:val="-8"/>
                <w:position w:val="2"/>
                <w:sz w:val="21"/>
                <w:szCs w:val="21"/>
              </w:rPr>
              <w:t>1</w:t>
            </w:r>
          </w:p>
        </w:tc>
        <w:tc>
          <w:tcPr>
            <w:tcW w:w="6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pacing w:val="2"/>
                <w:sz w:val="21"/>
                <w:szCs w:val="21"/>
              </w:rPr>
              <w:t>-</w:t>
            </w:r>
            <w:r>
              <w:rPr>
                <w:rFonts w:hint="default" w:ascii="Times New Roman" w:hAnsi="Times New Roman" w:eastAsia="仿宋_GB2312" w:cs="Times New Roman"/>
                <w:spacing w:val="2"/>
                <w:sz w:val="21"/>
                <w:szCs w:val="21"/>
                <w:lang w:val="en-US" w:eastAsia="zh-CN"/>
              </w:rPr>
              <w:t>8</w:t>
            </w:r>
          </w:p>
        </w:tc>
        <w:tc>
          <w:tcPr>
            <w:tcW w:w="6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p>
        </w:tc>
        <w:tc>
          <w:tcPr>
            <w:tcW w:w="63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pacing w:val="-8"/>
                <w:sz w:val="21"/>
                <w:szCs w:val="21"/>
                <w:lang w:val="en-US" w:eastAsia="zh-CN"/>
              </w:rPr>
              <w:t>19</w:t>
            </w:r>
          </w:p>
        </w:tc>
      </w:tr>
    </w:tbl>
    <w:p>
      <w:pPr>
        <w:pStyle w:val="86"/>
        <w:pageBreakBefore w:val="0"/>
        <w:kinsoku/>
        <w:wordWrap/>
        <w:bidi w:val="0"/>
        <w:ind w:left="0" w:leftChars="0" w:firstLine="0" w:firstLineChars="0"/>
        <w:rPr>
          <w:rFonts w:hint="default" w:ascii="Times New Roman" w:hAnsi="Times New Roman" w:eastAsia="微软雅黑" w:cs="Times New Roman"/>
          <w:b w:val="0"/>
          <w:bCs w:val="0"/>
          <w:sz w:val="24"/>
          <w:highlight w:val="none"/>
        </w:rPr>
      </w:pPr>
    </w:p>
    <w:p>
      <w:pPr>
        <w:pageBreakBefore w:val="0"/>
        <w:kinsoku/>
        <w:wordWrap/>
        <w:bidi w:val="0"/>
        <w:rPr>
          <w:rFonts w:hint="default" w:ascii="Times New Roman" w:hAnsi="Times New Roman" w:cs="Times New Roman"/>
        </w:rPr>
      </w:pPr>
    </w:p>
    <w:p>
      <w:pPr>
        <w:pStyle w:val="152"/>
        <w:pageBreakBefore w:val="0"/>
        <w:kinsoku/>
        <w:wordWrap/>
        <w:bidi w:val="0"/>
        <w:rPr>
          <w:rFonts w:hint="default" w:ascii="Times New Roman" w:hAnsi="Times New Roman" w:cs="Times New Roman"/>
          <w:highlight w:val="none"/>
        </w:rPr>
      </w:pPr>
    </w:p>
    <w:p>
      <w:pPr>
        <w:pStyle w:val="152"/>
        <w:pageBreakBefore w:val="0"/>
        <w:kinsoku/>
        <w:wordWrap/>
        <w:bidi w:val="0"/>
        <w:rPr>
          <w:rFonts w:hint="default" w:ascii="Times New Roman" w:hAnsi="Times New Roman" w:cs="Times New Roman"/>
          <w:highlight w:val="none"/>
        </w:rPr>
        <w:sectPr>
          <w:pgSz w:w="11910" w:h="16838"/>
          <w:pgMar w:top="1440" w:right="1800" w:bottom="1440" w:left="1800" w:header="720" w:footer="720" w:gutter="0"/>
          <w:pgBorders>
            <w:top w:val="none" w:sz="0" w:space="0"/>
            <w:left w:val="none" w:sz="0" w:space="0"/>
            <w:bottom w:val="none" w:sz="0" w:space="0"/>
            <w:right w:val="none" w:sz="0" w:space="0"/>
          </w:pgBorders>
          <w:pgNumType w:fmt="decimal"/>
          <w:cols w:space="720" w:num="1"/>
        </w:sect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b/>
          <w:bCs/>
          <w:sz w:val="28"/>
          <w:szCs w:val="28"/>
          <w:highlight w:val="none"/>
        </w:rPr>
      </w:pPr>
      <w:r>
        <w:rPr>
          <w:rFonts w:hint="default" w:ascii="Times New Roman" w:hAnsi="Times New Roman" w:eastAsia="仿宋_GB2312" w:cs="Times New Roman"/>
          <w:b/>
          <w:bCs/>
          <w:sz w:val="28"/>
          <w:szCs w:val="28"/>
          <w:highlight w:val="none"/>
        </w:rPr>
        <w:t>附表3：单价分析表</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val="0"/>
          <w:sz w:val="24"/>
          <w:highlight w:val="none"/>
        </w:rPr>
      </w:pPr>
      <w:bookmarkStart w:id="436" w:name="_Toc32710"/>
      <w:r>
        <w:rPr>
          <w:rFonts w:hint="default" w:ascii="Times New Roman" w:hAnsi="Times New Roman" w:eastAsia="微软雅黑" w:cs="Times New Roman"/>
          <w:b w:val="0"/>
          <w:bCs w:val="0"/>
          <w:sz w:val="24"/>
          <w:highlight w:val="none"/>
        </w:rPr>
        <w:t>附表3-</w:t>
      </w:r>
      <w:r>
        <w:rPr>
          <w:rFonts w:hint="default" w:ascii="Times New Roman" w:hAnsi="Times New Roman" w:eastAsia="微软雅黑" w:cs="Times New Roman"/>
          <w:b w:val="0"/>
          <w:bCs w:val="0"/>
          <w:sz w:val="24"/>
          <w:highlight w:val="none"/>
          <w:lang w:val="en-US" w:eastAsia="zh-CN"/>
        </w:rPr>
        <w:t xml:space="preserve">1  </w:t>
      </w:r>
      <w:r>
        <w:rPr>
          <w:rFonts w:hint="default" w:ascii="Times New Roman" w:hAnsi="Times New Roman" w:eastAsia="微软雅黑" w:cs="Times New Roman"/>
          <w:b w:val="0"/>
          <w:bCs w:val="0"/>
          <w:sz w:val="24"/>
          <w:highlight w:val="none"/>
        </w:rPr>
        <w:t>全面整地单价分析表</w:t>
      </w:r>
      <w:bookmarkEnd w:id="436"/>
    </w:p>
    <w:tbl>
      <w:tblPr>
        <w:tblStyle w:val="88"/>
        <w:tblW w:w="5000" w:type="pct"/>
        <w:jc w:val="center"/>
        <w:tblLayout w:type="autofit"/>
        <w:tblCellMar>
          <w:top w:w="0" w:type="dxa"/>
          <w:left w:w="108" w:type="dxa"/>
          <w:bottom w:w="0" w:type="dxa"/>
          <w:right w:w="108" w:type="dxa"/>
        </w:tblCellMar>
      </w:tblPr>
      <w:tblGrid>
        <w:gridCol w:w="1003"/>
        <w:gridCol w:w="2118"/>
        <w:gridCol w:w="1383"/>
        <w:gridCol w:w="1294"/>
        <w:gridCol w:w="1229"/>
        <w:gridCol w:w="1499"/>
      </w:tblGrid>
      <w:tr>
        <w:tblPrEx>
          <w:tblCellMar>
            <w:top w:w="0" w:type="dxa"/>
            <w:left w:w="108" w:type="dxa"/>
            <w:bottom w:w="0" w:type="dxa"/>
            <w:right w:w="108" w:type="dxa"/>
          </w:tblCellMar>
        </w:tblPrEx>
        <w:trPr>
          <w:trHeight w:val="397" w:hRule="atLeast"/>
          <w:jc w:val="center"/>
        </w:trPr>
        <w:tc>
          <w:tcPr>
            <w:tcW w:w="5000" w:type="pct"/>
            <w:gridSpan w:val="6"/>
            <w:tcBorders>
              <w:top w:val="single" w:color="000000" w:sz="8" w:space="0"/>
              <w:left w:val="single" w:color="000000" w:sz="8" w:space="0"/>
              <w:bottom w:val="single" w:color="000000" w:sz="8" w:space="0"/>
              <w:right w:val="single" w:color="000000" w:sz="8" w:space="0"/>
            </w:tcBorders>
            <w:noWrap w:val="0"/>
            <w:vAlign w:val="center"/>
          </w:tcPr>
          <w:p>
            <w:pPr>
              <w:pageBreakBefore w:val="0"/>
              <w:kinsoku/>
              <w:wordWrap/>
              <w:bidi w:val="0"/>
              <w:jc w:val="distribute"/>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定额编号：08045</w:t>
            </w:r>
            <w:r>
              <w:rPr>
                <w:rFonts w:hint="default" w:ascii="Times New Roman" w:hAnsi="Times New Roman" w:eastAsia="仿宋_GB2312" w:cs="Times New Roman"/>
                <w:sz w:val="21"/>
                <w:szCs w:val="21"/>
                <w:highlight w:val="none"/>
                <w:lang w:val="en-US" w:eastAsia="zh-CN"/>
              </w:rPr>
              <w:t xml:space="preserve">                                                   </w:t>
            </w:r>
            <w:r>
              <w:rPr>
                <w:rFonts w:hint="default" w:ascii="Times New Roman" w:hAnsi="Times New Roman" w:eastAsia="仿宋_GB2312" w:cs="Times New Roman"/>
                <w:sz w:val="21"/>
                <w:szCs w:val="21"/>
                <w:highlight w:val="none"/>
              </w:rPr>
              <w:t>定额单位：hm²</w:t>
            </w:r>
          </w:p>
        </w:tc>
      </w:tr>
      <w:tr>
        <w:tblPrEx>
          <w:tblCellMar>
            <w:top w:w="0" w:type="dxa"/>
            <w:left w:w="108" w:type="dxa"/>
            <w:bottom w:w="0" w:type="dxa"/>
            <w:right w:w="108" w:type="dxa"/>
          </w:tblCellMar>
        </w:tblPrEx>
        <w:trPr>
          <w:trHeight w:val="397" w:hRule="atLeast"/>
          <w:jc w:val="center"/>
        </w:trPr>
        <w:tc>
          <w:tcPr>
            <w:tcW w:w="5000" w:type="pct"/>
            <w:gridSpan w:val="6"/>
            <w:tcBorders>
              <w:top w:val="single" w:color="000000" w:sz="8" w:space="0"/>
              <w:left w:val="single" w:color="000000" w:sz="8" w:space="0"/>
              <w:bottom w:val="single" w:color="000000" w:sz="8" w:space="0"/>
              <w:right w:val="single" w:color="000000" w:sz="8" w:space="0"/>
            </w:tcBorders>
            <w:noWrap w:val="0"/>
            <w:vAlign w:val="center"/>
          </w:tcPr>
          <w:p>
            <w:pPr>
              <w:pageBreakBefore w:val="0"/>
              <w:kinsoku/>
              <w:wordWrap/>
              <w:bidi w:val="0"/>
              <w:jc w:val="left"/>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工作内容：人工施肥、拖拉机牵引铧犁耕地。</w:t>
            </w:r>
          </w:p>
        </w:tc>
      </w:tr>
      <w:tr>
        <w:tblPrEx>
          <w:tblCellMar>
            <w:top w:w="0" w:type="dxa"/>
            <w:left w:w="108" w:type="dxa"/>
            <w:bottom w:w="0" w:type="dxa"/>
            <w:right w:w="108" w:type="dxa"/>
          </w:tblCellMar>
        </w:tblPrEx>
        <w:trPr>
          <w:trHeight w:val="397" w:hRule="atLeast"/>
          <w:jc w:val="center"/>
        </w:trPr>
        <w:tc>
          <w:tcPr>
            <w:tcW w:w="588" w:type="pct"/>
            <w:tcBorders>
              <w:top w:val="nil"/>
              <w:left w:val="single" w:color="000000" w:sz="8" w:space="0"/>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编号</w:t>
            </w:r>
          </w:p>
        </w:tc>
        <w:tc>
          <w:tcPr>
            <w:tcW w:w="1242" w:type="pct"/>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名称及规格</w:t>
            </w:r>
          </w:p>
        </w:tc>
        <w:tc>
          <w:tcPr>
            <w:tcW w:w="811" w:type="pct"/>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单位</w:t>
            </w:r>
          </w:p>
        </w:tc>
        <w:tc>
          <w:tcPr>
            <w:tcW w:w="759" w:type="pct"/>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数量</w:t>
            </w:r>
          </w:p>
        </w:tc>
        <w:tc>
          <w:tcPr>
            <w:tcW w:w="721" w:type="pct"/>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单价(元)</w:t>
            </w:r>
          </w:p>
        </w:tc>
        <w:tc>
          <w:tcPr>
            <w:tcW w:w="876" w:type="pct"/>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小计(元)</w:t>
            </w:r>
          </w:p>
        </w:tc>
      </w:tr>
      <w:tr>
        <w:tblPrEx>
          <w:tblCellMar>
            <w:top w:w="0" w:type="dxa"/>
            <w:left w:w="108" w:type="dxa"/>
            <w:bottom w:w="0" w:type="dxa"/>
            <w:right w:w="108" w:type="dxa"/>
          </w:tblCellMar>
        </w:tblPrEx>
        <w:trPr>
          <w:trHeight w:val="397" w:hRule="atLeast"/>
          <w:jc w:val="center"/>
        </w:trPr>
        <w:tc>
          <w:tcPr>
            <w:tcW w:w="588" w:type="pct"/>
            <w:tcBorders>
              <w:top w:val="nil"/>
              <w:left w:val="single" w:color="000000" w:sz="8" w:space="0"/>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一</w:t>
            </w:r>
          </w:p>
        </w:tc>
        <w:tc>
          <w:tcPr>
            <w:tcW w:w="1242" w:type="pct"/>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直接工程费</w:t>
            </w:r>
          </w:p>
        </w:tc>
        <w:tc>
          <w:tcPr>
            <w:tcW w:w="811" w:type="pct"/>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p>
        </w:tc>
        <w:tc>
          <w:tcPr>
            <w:tcW w:w="759" w:type="pct"/>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p>
        </w:tc>
        <w:tc>
          <w:tcPr>
            <w:tcW w:w="721" w:type="pct"/>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p>
        </w:tc>
        <w:tc>
          <w:tcPr>
            <w:tcW w:w="876" w:type="pct"/>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sz w:val="21"/>
                <w:szCs w:val="21"/>
                <w:highlight w:val="none"/>
                <w:lang w:val="en-US" w:eastAsia="zh-CN"/>
              </w:rPr>
              <w:t xml:space="preserve">990.73 </w:t>
            </w:r>
          </w:p>
        </w:tc>
      </w:tr>
      <w:tr>
        <w:tblPrEx>
          <w:tblCellMar>
            <w:top w:w="0" w:type="dxa"/>
            <w:left w:w="108" w:type="dxa"/>
            <w:bottom w:w="0" w:type="dxa"/>
            <w:right w:w="108" w:type="dxa"/>
          </w:tblCellMar>
        </w:tblPrEx>
        <w:trPr>
          <w:trHeight w:val="397" w:hRule="atLeast"/>
          <w:jc w:val="center"/>
        </w:trPr>
        <w:tc>
          <w:tcPr>
            <w:tcW w:w="588" w:type="pct"/>
            <w:tcBorders>
              <w:top w:val="nil"/>
              <w:left w:val="single" w:color="000000" w:sz="8" w:space="0"/>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（一）</w:t>
            </w:r>
          </w:p>
        </w:tc>
        <w:tc>
          <w:tcPr>
            <w:tcW w:w="1242" w:type="pct"/>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直接费</w:t>
            </w:r>
          </w:p>
        </w:tc>
        <w:tc>
          <w:tcPr>
            <w:tcW w:w="811" w:type="pct"/>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p>
        </w:tc>
        <w:tc>
          <w:tcPr>
            <w:tcW w:w="759" w:type="pct"/>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p>
        </w:tc>
        <w:tc>
          <w:tcPr>
            <w:tcW w:w="721" w:type="pct"/>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p>
        </w:tc>
        <w:tc>
          <w:tcPr>
            <w:tcW w:w="876" w:type="pct"/>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sz w:val="21"/>
                <w:szCs w:val="21"/>
                <w:highlight w:val="none"/>
                <w:lang w:val="en-US" w:eastAsia="zh-CN"/>
              </w:rPr>
              <w:t xml:space="preserve">908.93 </w:t>
            </w:r>
          </w:p>
        </w:tc>
      </w:tr>
      <w:tr>
        <w:tblPrEx>
          <w:tblCellMar>
            <w:top w:w="0" w:type="dxa"/>
            <w:left w:w="108" w:type="dxa"/>
            <w:bottom w:w="0" w:type="dxa"/>
            <w:right w:w="108" w:type="dxa"/>
          </w:tblCellMar>
        </w:tblPrEx>
        <w:trPr>
          <w:trHeight w:val="397" w:hRule="atLeast"/>
          <w:jc w:val="center"/>
        </w:trPr>
        <w:tc>
          <w:tcPr>
            <w:tcW w:w="588" w:type="pct"/>
            <w:tcBorders>
              <w:top w:val="nil"/>
              <w:left w:val="single" w:color="000000" w:sz="8" w:space="0"/>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1</w:t>
            </w:r>
          </w:p>
        </w:tc>
        <w:tc>
          <w:tcPr>
            <w:tcW w:w="1242" w:type="pct"/>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人工费</w:t>
            </w:r>
          </w:p>
        </w:tc>
        <w:tc>
          <w:tcPr>
            <w:tcW w:w="811" w:type="pct"/>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工时</w:t>
            </w:r>
          </w:p>
        </w:tc>
        <w:tc>
          <w:tcPr>
            <w:tcW w:w="759" w:type="pct"/>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sz w:val="21"/>
                <w:szCs w:val="21"/>
                <w:highlight w:val="none"/>
              </w:rPr>
              <w:t>19</w:t>
            </w:r>
          </w:p>
        </w:tc>
        <w:tc>
          <w:tcPr>
            <w:tcW w:w="721" w:type="pct"/>
            <w:tcBorders>
              <w:top w:val="nil"/>
              <w:left w:val="nil"/>
              <w:bottom w:val="single" w:color="000000" w:sz="8" w:space="0"/>
              <w:right w:val="single" w:color="000000" w:sz="8" w:space="0"/>
            </w:tcBorders>
            <w:noWrap w:val="0"/>
            <w:vAlign w:val="center"/>
          </w:tcPr>
          <w:p>
            <w:pPr>
              <w:pageBreakBefore w:val="0"/>
              <w:widowControl/>
              <w:kinsoku/>
              <w:wordWrap/>
              <w:bidi w:val="0"/>
              <w:jc w:val="center"/>
              <w:textAlignment w:val="center"/>
              <w:rPr>
                <w:rFonts w:hint="default" w:ascii="Times New Roman" w:hAnsi="Times New Roman" w:eastAsia="仿宋_GB2312" w:cs="Times New Roman"/>
                <w:color w:val="000000"/>
                <w:kern w:val="0"/>
                <w:sz w:val="21"/>
                <w:szCs w:val="21"/>
                <w:highlight w:val="none"/>
                <w:lang w:val="en-US" w:eastAsia="zh-CN" w:bidi="ar"/>
              </w:rPr>
            </w:pPr>
            <w:r>
              <w:rPr>
                <w:rFonts w:hint="default" w:ascii="Times New Roman" w:hAnsi="Times New Roman" w:eastAsia="仿宋_GB2312" w:cs="Times New Roman"/>
                <w:color w:val="000000"/>
                <w:kern w:val="0"/>
                <w:sz w:val="21"/>
                <w:szCs w:val="21"/>
                <w:highlight w:val="none"/>
                <w:lang w:val="en-US" w:eastAsia="zh-CN" w:bidi="ar"/>
              </w:rPr>
              <w:t>20.00</w:t>
            </w:r>
          </w:p>
        </w:tc>
        <w:tc>
          <w:tcPr>
            <w:tcW w:w="876" w:type="pct"/>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sz w:val="21"/>
                <w:szCs w:val="21"/>
                <w:highlight w:val="none"/>
                <w:lang w:val="en-US" w:eastAsia="zh-CN"/>
              </w:rPr>
              <w:t xml:space="preserve">380.00 </w:t>
            </w:r>
          </w:p>
        </w:tc>
      </w:tr>
      <w:tr>
        <w:tblPrEx>
          <w:tblCellMar>
            <w:top w:w="0" w:type="dxa"/>
            <w:left w:w="108" w:type="dxa"/>
            <w:bottom w:w="0" w:type="dxa"/>
            <w:right w:w="108" w:type="dxa"/>
          </w:tblCellMar>
        </w:tblPrEx>
        <w:trPr>
          <w:trHeight w:val="397" w:hRule="atLeast"/>
          <w:jc w:val="center"/>
        </w:trPr>
        <w:tc>
          <w:tcPr>
            <w:tcW w:w="588" w:type="pct"/>
            <w:tcBorders>
              <w:top w:val="nil"/>
              <w:left w:val="single" w:color="000000" w:sz="8" w:space="0"/>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2</w:t>
            </w:r>
          </w:p>
        </w:tc>
        <w:tc>
          <w:tcPr>
            <w:tcW w:w="1242" w:type="pct"/>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材料费</w:t>
            </w:r>
          </w:p>
        </w:tc>
        <w:tc>
          <w:tcPr>
            <w:tcW w:w="811" w:type="pct"/>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p>
        </w:tc>
        <w:tc>
          <w:tcPr>
            <w:tcW w:w="759" w:type="pct"/>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p>
        </w:tc>
        <w:tc>
          <w:tcPr>
            <w:tcW w:w="721" w:type="pct"/>
            <w:tcBorders>
              <w:top w:val="nil"/>
              <w:left w:val="nil"/>
              <w:bottom w:val="single" w:color="000000" w:sz="8" w:space="0"/>
              <w:right w:val="single" w:color="000000" w:sz="8" w:space="0"/>
            </w:tcBorders>
            <w:noWrap w:val="0"/>
            <w:vAlign w:val="center"/>
          </w:tcPr>
          <w:p>
            <w:pPr>
              <w:pageBreakBefore w:val="0"/>
              <w:widowControl/>
              <w:kinsoku/>
              <w:wordWrap/>
              <w:bidi w:val="0"/>
              <w:jc w:val="center"/>
              <w:textAlignment w:val="center"/>
              <w:rPr>
                <w:rFonts w:hint="default" w:ascii="Times New Roman" w:hAnsi="Times New Roman" w:eastAsia="仿宋_GB2312" w:cs="Times New Roman"/>
                <w:color w:val="000000"/>
                <w:kern w:val="0"/>
                <w:sz w:val="21"/>
                <w:szCs w:val="21"/>
                <w:highlight w:val="none"/>
                <w:lang w:val="en-US" w:eastAsia="zh-CN" w:bidi="ar"/>
              </w:rPr>
            </w:pPr>
          </w:p>
        </w:tc>
        <w:tc>
          <w:tcPr>
            <w:tcW w:w="876" w:type="pct"/>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sz w:val="21"/>
                <w:szCs w:val="21"/>
                <w:highlight w:val="none"/>
                <w:lang w:val="en-US" w:eastAsia="zh-CN"/>
              </w:rPr>
              <w:t xml:space="preserve">249.17 </w:t>
            </w:r>
          </w:p>
        </w:tc>
      </w:tr>
      <w:tr>
        <w:tblPrEx>
          <w:tblCellMar>
            <w:top w:w="0" w:type="dxa"/>
            <w:left w:w="108" w:type="dxa"/>
            <w:bottom w:w="0" w:type="dxa"/>
            <w:right w:w="108" w:type="dxa"/>
          </w:tblCellMar>
        </w:tblPrEx>
        <w:trPr>
          <w:trHeight w:val="397" w:hRule="atLeast"/>
          <w:jc w:val="center"/>
        </w:trPr>
        <w:tc>
          <w:tcPr>
            <w:tcW w:w="588" w:type="pct"/>
            <w:tcBorders>
              <w:top w:val="nil"/>
              <w:left w:val="single" w:color="000000" w:sz="8" w:space="0"/>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p>
        </w:tc>
        <w:tc>
          <w:tcPr>
            <w:tcW w:w="1242" w:type="pct"/>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农家肥</w:t>
            </w:r>
          </w:p>
        </w:tc>
        <w:tc>
          <w:tcPr>
            <w:tcW w:w="811" w:type="pct"/>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m³</w:t>
            </w:r>
          </w:p>
        </w:tc>
        <w:tc>
          <w:tcPr>
            <w:tcW w:w="759" w:type="pct"/>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sz w:val="21"/>
                <w:szCs w:val="21"/>
                <w:highlight w:val="none"/>
              </w:rPr>
              <w:t>225</w:t>
            </w:r>
          </w:p>
        </w:tc>
        <w:tc>
          <w:tcPr>
            <w:tcW w:w="721" w:type="pct"/>
            <w:tcBorders>
              <w:top w:val="nil"/>
              <w:left w:val="nil"/>
              <w:bottom w:val="single" w:color="000000" w:sz="8" w:space="0"/>
              <w:right w:val="single" w:color="000000" w:sz="8" w:space="0"/>
            </w:tcBorders>
            <w:noWrap w:val="0"/>
            <w:vAlign w:val="center"/>
          </w:tcPr>
          <w:p>
            <w:pPr>
              <w:pageBreakBefore w:val="0"/>
              <w:widowControl/>
              <w:kinsoku/>
              <w:wordWrap/>
              <w:bidi w:val="0"/>
              <w:jc w:val="center"/>
              <w:textAlignment w:val="center"/>
              <w:rPr>
                <w:rFonts w:hint="default" w:ascii="Times New Roman" w:hAnsi="Times New Roman" w:eastAsia="仿宋_GB2312" w:cs="Times New Roman"/>
                <w:color w:val="000000"/>
                <w:kern w:val="0"/>
                <w:sz w:val="21"/>
                <w:szCs w:val="21"/>
                <w:highlight w:val="none"/>
                <w:lang w:val="en-US" w:eastAsia="zh-CN" w:bidi="ar"/>
              </w:rPr>
            </w:pPr>
            <w:r>
              <w:rPr>
                <w:rFonts w:hint="default" w:ascii="Times New Roman" w:hAnsi="Times New Roman" w:eastAsia="仿宋_GB2312" w:cs="Times New Roman"/>
                <w:color w:val="000000"/>
                <w:kern w:val="0"/>
                <w:sz w:val="21"/>
                <w:szCs w:val="21"/>
                <w:highlight w:val="none"/>
                <w:lang w:val="en-US" w:eastAsia="zh-CN" w:bidi="ar"/>
              </w:rPr>
              <w:t>0.98</w:t>
            </w:r>
          </w:p>
        </w:tc>
        <w:tc>
          <w:tcPr>
            <w:tcW w:w="876" w:type="pct"/>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sz w:val="21"/>
                <w:szCs w:val="21"/>
                <w:highlight w:val="none"/>
                <w:lang w:val="en-US" w:eastAsia="zh-CN"/>
              </w:rPr>
              <w:t xml:space="preserve">220.50 </w:t>
            </w:r>
          </w:p>
        </w:tc>
      </w:tr>
      <w:tr>
        <w:tblPrEx>
          <w:tblCellMar>
            <w:top w:w="0" w:type="dxa"/>
            <w:left w:w="108" w:type="dxa"/>
            <w:bottom w:w="0" w:type="dxa"/>
            <w:right w:w="108" w:type="dxa"/>
          </w:tblCellMar>
        </w:tblPrEx>
        <w:trPr>
          <w:trHeight w:val="397" w:hRule="atLeast"/>
          <w:jc w:val="center"/>
        </w:trPr>
        <w:tc>
          <w:tcPr>
            <w:tcW w:w="588" w:type="pct"/>
            <w:tcBorders>
              <w:top w:val="nil"/>
              <w:left w:val="single" w:color="000000" w:sz="8" w:space="0"/>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p>
        </w:tc>
        <w:tc>
          <w:tcPr>
            <w:tcW w:w="1242" w:type="pct"/>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其他材料费</w:t>
            </w:r>
          </w:p>
        </w:tc>
        <w:tc>
          <w:tcPr>
            <w:tcW w:w="811" w:type="pct"/>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w:t>
            </w:r>
          </w:p>
        </w:tc>
        <w:tc>
          <w:tcPr>
            <w:tcW w:w="759" w:type="pct"/>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sz w:val="21"/>
                <w:szCs w:val="21"/>
                <w:highlight w:val="none"/>
              </w:rPr>
              <w:t>13</w:t>
            </w:r>
          </w:p>
        </w:tc>
        <w:tc>
          <w:tcPr>
            <w:tcW w:w="721" w:type="pct"/>
            <w:tcBorders>
              <w:top w:val="nil"/>
              <w:left w:val="nil"/>
              <w:bottom w:val="single" w:color="000000" w:sz="8" w:space="0"/>
              <w:right w:val="single" w:color="000000" w:sz="8" w:space="0"/>
            </w:tcBorders>
            <w:noWrap w:val="0"/>
            <w:vAlign w:val="center"/>
          </w:tcPr>
          <w:p>
            <w:pPr>
              <w:pageBreakBefore w:val="0"/>
              <w:widowControl/>
              <w:kinsoku/>
              <w:wordWrap/>
              <w:bidi w:val="0"/>
              <w:jc w:val="center"/>
              <w:textAlignment w:val="center"/>
              <w:rPr>
                <w:rFonts w:hint="default" w:ascii="Times New Roman" w:hAnsi="Times New Roman" w:eastAsia="仿宋_GB2312" w:cs="Times New Roman"/>
                <w:color w:val="000000"/>
                <w:kern w:val="0"/>
                <w:sz w:val="21"/>
                <w:szCs w:val="21"/>
                <w:highlight w:val="none"/>
                <w:lang w:val="en-US" w:eastAsia="zh-CN" w:bidi="ar"/>
              </w:rPr>
            </w:pPr>
          </w:p>
        </w:tc>
        <w:tc>
          <w:tcPr>
            <w:tcW w:w="876" w:type="pct"/>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sz w:val="21"/>
                <w:szCs w:val="21"/>
                <w:highlight w:val="none"/>
                <w:lang w:val="en-US" w:eastAsia="zh-CN"/>
              </w:rPr>
              <w:t xml:space="preserve">28.67 </w:t>
            </w:r>
          </w:p>
        </w:tc>
      </w:tr>
      <w:tr>
        <w:tblPrEx>
          <w:tblCellMar>
            <w:top w:w="0" w:type="dxa"/>
            <w:left w:w="108" w:type="dxa"/>
            <w:bottom w:w="0" w:type="dxa"/>
            <w:right w:w="108" w:type="dxa"/>
          </w:tblCellMar>
        </w:tblPrEx>
        <w:trPr>
          <w:trHeight w:val="397" w:hRule="atLeast"/>
          <w:jc w:val="center"/>
        </w:trPr>
        <w:tc>
          <w:tcPr>
            <w:tcW w:w="588" w:type="pct"/>
            <w:tcBorders>
              <w:top w:val="nil"/>
              <w:left w:val="single" w:color="000000" w:sz="8" w:space="0"/>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3</w:t>
            </w:r>
          </w:p>
        </w:tc>
        <w:tc>
          <w:tcPr>
            <w:tcW w:w="1242" w:type="pct"/>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机械费</w:t>
            </w:r>
          </w:p>
        </w:tc>
        <w:tc>
          <w:tcPr>
            <w:tcW w:w="811" w:type="pct"/>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p>
        </w:tc>
        <w:tc>
          <w:tcPr>
            <w:tcW w:w="759" w:type="pct"/>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p>
        </w:tc>
        <w:tc>
          <w:tcPr>
            <w:tcW w:w="721" w:type="pct"/>
            <w:tcBorders>
              <w:top w:val="nil"/>
              <w:left w:val="nil"/>
              <w:bottom w:val="single" w:color="000000" w:sz="8" w:space="0"/>
              <w:right w:val="single" w:color="000000" w:sz="8" w:space="0"/>
            </w:tcBorders>
            <w:noWrap w:val="0"/>
            <w:vAlign w:val="center"/>
          </w:tcPr>
          <w:p>
            <w:pPr>
              <w:pageBreakBefore w:val="0"/>
              <w:widowControl/>
              <w:kinsoku/>
              <w:wordWrap/>
              <w:bidi w:val="0"/>
              <w:jc w:val="center"/>
              <w:textAlignment w:val="center"/>
              <w:rPr>
                <w:rFonts w:hint="default" w:ascii="Times New Roman" w:hAnsi="Times New Roman" w:eastAsia="仿宋_GB2312" w:cs="Times New Roman"/>
                <w:color w:val="000000"/>
                <w:kern w:val="0"/>
                <w:sz w:val="21"/>
                <w:szCs w:val="21"/>
                <w:highlight w:val="none"/>
                <w:lang w:val="en-US" w:eastAsia="zh-CN" w:bidi="ar"/>
              </w:rPr>
            </w:pPr>
          </w:p>
        </w:tc>
        <w:tc>
          <w:tcPr>
            <w:tcW w:w="876" w:type="pct"/>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sz w:val="21"/>
                <w:szCs w:val="21"/>
                <w:highlight w:val="none"/>
                <w:lang w:val="en-US" w:eastAsia="zh-CN"/>
              </w:rPr>
              <w:t xml:space="preserve">279.76 </w:t>
            </w:r>
          </w:p>
        </w:tc>
      </w:tr>
      <w:tr>
        <w:tblPrEx>
          <w:tblCellMar>
            <w:top w:w="0" w:type="dxa"/>
            <w:left w:w="108" w:type="dxa"/>
            <w:bottom w:w="0" w:type="dxa"/>
            <w:right w:w="108" w:type="dxa"/>
          </w:tblCellMar>
        </w:tblPrEx>
        <w:trPr>
          <w:trHeight w:val="397" w:hRule="atLeast"/>
          <w:jc w:val="center"/>
        </w:trPr>
        <w:tc>
          <w:tcPr>
            <w:tcW w:w="588" w:type="pct"/>
            <w:tcBorders>
              <w:top w:val="nil"/>
              <w:left w:val="single" w:color="000000" w:sz="8" w:space="0"/>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p>
        </w:tc>
        <w:tc>
          <w:tcPr>
            <w:tcW w:w="1242" w:type="pct"/>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37kW拖拉机</w:t>
            </w:r>
          </w:p>
        </w:tc>
        <w:tc>
          <w:tcPr>
            <w:tcW w:w="811" w:type="pct"/>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台时</w:t>
            </w:r>
          </w:p>
        </w:tc>
        <w:tc>
          <w:tcPr>
            <w:tcW w:w="759" w:type="pct"/>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sz w:val="21"/>
                <w:szCs w:val="21"/>
                <w:highlight w:val="none"/>
              </w:rPr>
              <w:t>8</w:t>
            </w:r>
          </w:p>
        </w:tc>
        <w:tc>
          <w:tcPr>
            <w:tcW w:w="721" w:type="pct"/>
            <w:tcBorders>
              <w:top w:val="nil"/>
              <w:left w:val="nil"/>
              <w:bottom w:val="single" w:color="000000" w:sz="8" w:space="0"/>
              <w:right w:val="single" w:color="000000" w:sz="8" w:space="0"/>
            </w:tcBorders>
            <w:noWrap w:val="0"/>
            <w:vAlign w:val="center"/>
          </w:tcPr>
          <w:p>
            <w:pPr>
              <w:pageBreakBefore w:val="0"/>
              <w:widowControl/>
              <w:kinsoku/>
              <w:wordWrap/>
              <w:bidi w:val="0"/>
              <w:jc w:val="center"/>
              <w:textAlignment w:val="center"/>
              <w:rPr>
                <w:rFonts w:hint="default" w:ascii="Times New Roman" w:hAnsi="Times New Roman" w:eastAsia="仿宋_GB2312" w:cs="Times New Roman"/>
                <w:color w:val="000000"/>
                <w:kern w:val="0"/>
                <w:sz w:val="21"/>
                <w:szCs w:val="21"/>
                <w:highlight w:val="none"/>
                <w:lang w:val="en-US" w:eastAsia="zh-CN" w:bidi="ar"/>
              </w:rPr>
            </w:pPr>
            <w:r>
              <w:rPr>
                <w:rFonts w:hint="default" w:ascii="Times New Roman" w:hAnsi="Times New Roman" w:eastAsia="仿宋_GB2312" w:cs="Times New Roman"/>
                <w:color w:val="000000"/>
                <w:kern w:val="0"/>
                <w:sz w:val="21"/>
                <w:szCs w:val="21"/>
                <w:highlight w:val="none"/>
                <w:lang w:val="en-US" w:eastAsia="zh-CN" w:bidi="ar"/>
              </w:rPr>
              <w:t>34.97</w:t>
            </w:r>
          </w:p>
        </w:tc>
        <w:tc>
          <w:tcPr>
            <w:tcW w:w="876" w:type="pct"/>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sz w:val="21"/>
                <w:szCs w:val="21"/>
                <w:highlight w:val="none"/>
                <w:lang w:val="en-US" w:eastAsia="zh-CN"/>
              </w:rPr>
              <w:t xml:space="preserve">279.76 </w:t>
            </w:r>
          </w:p>
        </w:tc>
      </w:tr>
      <w:tr>
        <w:tblPrEx>
          <w:tblCellMar>
            <w:top w:w="0" w:type="dxa"/>
            <w:left w:w="108" w:type="dxa"/>
            <w:bottom w:w="0" w:type="dxa"/>
            <w:right w:w="108" w:type="dxa"/>
          </w:tblCellMar>
        </w:tblPrEx>
        <w:trPr>
          <w:trHeight w:val="397" w:hRule="atLeast"/>
          <w:jc w:val="center"/>
        </w:trPr>
        <w:tc>
          <w:tcPr>
            <w:tcW w:w="588" w:type="pct"/>
            <w:tcBorders>
              <w:top w:val="nil"/>
              <w:left w:val="single" w:color="000000" w:sz="8" w:space="0"/>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（二）</w:t>
            </w:r>
          </w:p>
        </w:tc>
        <w:tc>
          <w:tcPr>
            <w:tcW w:w="1242" w:type="pct"/>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其他直接费</w:t>
            </w:r>
          </w:p>
        </w:tc>
        <w:tc>
          <w:tcPr>
            <w:tcW w:w="811" w:type="pct"/>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w:t>
            </w:r>
          </w:p>
        </w:tc>
        <w:tc>
          <w:tcPr>
            <w:tcW w:w="759" w:type="pct"/>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sz w:val="21"/>
                <w:szCs w:val="21"/>
                <w:highlight w:val="none"/>
              </w:rPr>
              <w:t>4</w:t>
            </w:r>
          </w:p>
        </w:tc>
        <w:tc>
          <w:tcPr>
            <w:tcW w:w="721" w:type="pct"/>
            <w:tcBorders>
              <w:top w:val="nil"/>
              <w:left w:val="nil"/>
              <w:bottom w:val="single" w:color="000000" w:sz="8" w:space="0"/>
              <w:right w:val="single" w:color="000000" w:sz="8" w:space="0"/>
            </w:tcBorders>
            <w:noWrap w:val="0"/>
            <w:vAlign w:val="center"/>
          </w:tcPr>
          <w:p>
            <w:pPr>
              <w:pageBreakBefore w:val="0"/>
              <w:widowControl/>
              <w:kinsoku/>
              <w:wordWrap/>
              <w:bidi w:val="0"/>
              <w:jc w:val="center"/>
              <w:textAlignment w:val="center"/>
              <w:rPr>
                <w:rFonts w:hint="default" w:ascii="Times New Roman" w:hAnsi="Times New Roman" w:eastAsia="仿宋_GB2312" w:cs="Times New Roman"/>
                <w:color w:val="000000"/>
                <w:kern w:val="0"/>
                <w:sz w:val="21"/>
                <w:szCs w:val="21"/>
                <w:highlight w:val="none"/>
                <w:lang w:val="en-US" w:eastAsia="zh-CN" w:bidi="ar"/>
              </w:rPr>
            </w:pPr>
          </w:p>
        </w:tc>
        <w:tc>
          <w:tcPr>
            <w:tcW w:w="876" w:type="pct"/>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sz w:val="21"/>
                <w:szCs w:val="21"/>
                <w:highlight w:val="none"/>
                <w:lang w:val="en-US" w:eastAsia="zh-CN"/>
              </w:rPr>
              <w:t xml:space="preserve">36.36 </w:t>
            </w:r>
          </w:p>
        </w:tc>
      </w:tr>
      <w:tr>
        <w:tblPrEx>
          <w:tblCellMar>
            <w:top w:w="0" w:type="dxa"/>
            <w:left w:w="108" w:type="dxa"/>
            <w:bottom w:w="0" w:type="dxa"/>
            <w:right w:w="108" w:type="dxa"/>
          </w:tblCellMar>
        </w:tblPrEx>
        <w:trPr>
          <w:trHeight w:val="397" w:hRule="atLeast"/>
          <w:jc w:val="center"/>
        </w:trPr>
        <w:tc>
          <w:tcPr>
            <w:tcW w:w="588" w:type="pct"/>
            <w:tcBorders>
              <w:top w:val="nil"/>
              <w:left w:val="single" w:color="000000" w:sz="8" w:space="0"/>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(三)</w:t>
            </w:r>
          </w:p>
        </w:tc>
        <w:tc>
          <w:tcPr>
            <w:tcW w:w="1242" w:type="pct"/>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现场经费</w:t>
            </w:r>
          </w:p>
        </w:tc>
        <w:tc>
          <w:tcPr>
            <w:tcW w:w="811" w:type="pct"/>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w:t>
            </w:r>
          </w:p>
        </w:tc>
        <w:tc>
          <w:tcPr>
            <w:tcW w:w="759" w:type="pct"/>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sz w:val="21"/>
                <w:szCs w:val="21"/>
                <w:highlight w:val="none"/>
              </w:rPr>
              <w:t>5</w:t>
            </w:r>
          </w:p>
        </w:tc>
        <w:tc>
          <w:tcPr>
            <w:tcW w:w="721" w:type="pct"/>
            <w:tcBorders>
              <w:top w:val="nil"/>
              <w:left w:val="nil"/>
              <w:bottom w:val="single" w:color="000000" w:sz="8" w:space="0"/>
              <w:right w:val="single" w:color="000000" w:sz="8" w:space="0"/>
            </w:tcBorders>
            <w:noWrap w:val="0"/>
            <w:vAlign w:val="center"/>
          </w:tcPr>
          <w:p>
            <w:pPr>
              <w:pageBreakBefore w:val="0"/>
              <w:widowControl/>
              <w:kinsoku/>
              <w:wordWrap/>
              <w:bidi w:val="0"/>
              <w:jc w:val="center"/>
              <w:textAlignment w:val="center"/>
              <w:rPr>
                <w:rFonts w:hint="default" w:ascii="Times New Roman" w:hAnsi="Times New Roman" w:eastAsia="仿宋_GB2312" w:cs="Times New Roman"/>
                <w:color w:val="000000"/>
                <w:kern w:val="0"/>
                <w:sz w:val="21"/>
                <w:szCs w:val="21"/>
                <w:highlight w:val="none"/>
                <w:lang w:val="en-US" w:eastAsia="zh-CN" w:bidi="ar"/>
              </w:rPr>
            </w:pPr>
          </w:p>
        </w:tc>
        <w:tc>
          <w:tcPr>
            <w:tcW w:w="876" w:type="pct"/>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sz w:val="21"/>
                <w:szCs w:val="21"/>
                <w:highlight w:val="none"/>
                <w:lang w:val="en-US" w:eastAsia="zh-CN"/>
              </w:rPr>
              <w:t xml:space="preserve">45.45 </w:t>
            </w:r>
          </w:p>
        </w:tc>
      </w:tr>
      <w:tr>
        <w:tblPrEx>
          <w:tblCellMar>
            <w:top w:w="0" w:type="dxa"/>
            <w:left w:w="108" w:type="dxa"/>
            <w:bottom w:w="0" w:type="dxa"/>
            <w:right w:w="108" w:type="dxa"/>
          </w:tblCellMar>
        </w:tblPrEx>
        <w:trPr>
          <w:trHeight w:val="397" w:hRule="atLeast"/>
          <w:jc w:val="center"/>
        </w:trPr>
        <w:tc>
          <w:tcPr>
            <w:tcW w:w="588" w:type="pct"/>
            <w:tcBorders>
              <w:top w:val="nil"/>
              <w:left w:val="single" w:color="000000" w:sz="8" w:space="0"/>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二</w:t>
            </w:r>
          </w:p>
        </w:tc>
        <w:tc>
          <w:tcPr>
            <w:tcW w:w="1242" w:type="pct"/>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间接费</w:t>
            </w:r>
          </w:p>
        </w:tc>
        <w:tc>
          <w:tcPr>
            <w:tcW w:w="811" w:type="pct"/>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w:t>
            </w:r>
          </w:p>
        </w:tc>
        <w:tc>
          <w:tcPr>
            <w:tcW w:w="759" w:type="pct"/>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lang w:val="en-US" w:eastAsia="zh-CN"/>
              </w:rPr>
            </w:pPr>
            <w:r>
              <w:rPr>
                <w:rFonts w:hint="default" w:ascii="Times New Roman" w:hAnsi="Times New Roman" w:eastAsia="仿宋_GB2312" w:cs="Times New Roman"/>
                <w:sz w:val="21"/>
                <w:szCs w:val="21"/>
                <w:highlight w:val="none"/>
              </w:rPr>
              <w:t>4</w:t>
            </w:r>
            <w:r>
              <w:rPr>
                <w:rFonts w:hint="default" w:ascii="Times New Roman" w:hAnsi="Times New Roman" w:eastAsia="仿宋_GB2312" w:cs="Times New Roman"/>
                <w:sz w:val="21"/>
                <w:szCs w:val="21"/>
                <w:highlight w:val="none"/>
                <w:lang w:eastAsia="zh-CN"/>
              </w:rPr>
              <w:t>.</w:t>
            </w:r>
            <w:r>
              <w:rPr>
                <w:rFonts w:hint="default" w:ascii="Times New Roman" w:hAnsi="Times New Roman" w:eastAsia="仿宋_GB2312" w:cs="Times New Roman"/>
                <w:sz w:val="21"/>
                <w:szCs w:val="21"/>
                <w:highlight w:val="none"/>
                <w:lang w:val="en-US" w:eastAsia="zh-CN"/>
              </w:rPr>
              <w:t>4</w:t>
            </w:r>
          </w:p>
        </w:tc>
        <w:tc>
          <w:tcPr>
            <w:tcW w:w="721" w:type="pct"/>
            <w:tcBorders>
              <w:top w:val="nil"/>
              <w:left w:val="nil"/>
              <w:bottom w:val="single" w:color="000000" w:sz="8" w:space="0"/>
              <w:right w:val="single" w:color="000000" w:sz="8" w:space="0"/>
            </w:tcBorders>
            <w:noWrap w:val="0"/>
            <w:vAlign w:val="center"/>
          </w:tcPr>
          <w:p>
            <w:pPr>
              <w:pageBreakBefore w:val="0"/>
              <w:widowControl/>
              <w:kinsoku/>
              <w:wordWrap/>
              <w:bidi w:val="0"/>
              <w:jc w:val="center"/>
              <w:textAlignment w:val="center"/>
              <w:rPr>
                <w:rFonts w:hint="default" w:ascii="Times New Roman" w:hAnsi="Times New Roman" w:eastAsia="仿宋_GB2312" w:cs="Times New Roman"/>
                <w:color w:val="000000"/>
                <w:kern w:val="0"/>
                <w:sz w:val="21"/>
                <w:szCs w:val="21"/>
                <w:highlight w:val="none"/>
                <w:lang w:val="en-US" w:eastAsia="zh-CN" w:bidi="ar"/>
              </w:rPr>
            </w:pPr>
          </w:p>
        </w:tc>
        <w:tc>
          <w:tcPr>
            <w:tcW w:w="876" w:type="pct"/>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sz w:val="21"/>
                <w:szCs w:val="21"/>
                <w:highlight w:val="none"/>
                <w:lang w:val="en-US" w:eastAsia="zh-CN"/>
              </w:rPr>
              <w:t xml:space="preserve">43.59 </w:t>
            </w:r>
          </w:p>
        </w:tc>
      </w:tr>
      <w:tr>
        <w:tblPrEx>
          <w:tblCellMar>
            <w:top w:w="0" w:type="dxa"/>
            <w:left w:w="108" w:type="dxa"/>
            <w:bottom w:w="0" w:type="dxa"/>
            <w:right w:w="108" w:type="dxa"/>
          </w:tblCellMar>
        </w:tblPrEx>
        <w:trPr>
          <w:trHeight w:val="397" w:hRule="atLeast"/>
          <w:jc w:val="center"/>
        </w:trPr>
        <w:tc>
          <w:tcPr>
            <w:tcW w:w="588" w:type="pct"/>
            <w:tcBorders>
              <w:top w:val="nil"/>
              <w:left w:val="single" w:color="000000" w:sz="8" w:space="0"/>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三</w:t>
            </w:r>
          </w:p>
        </w:tc>
        <w:tc>
          <w:tcPr>
            <w:tcW w:w="1242" w:type="pct"/>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企业利润</w:t>
            </w:r>
          </w:p>
        </w:tc>
        <w:tc>
          <w:tcPr>
            <w:tcW w:w="811" w:type="pct"/>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w:t>
            </w:r>
          </w:p>
        </w:tc>
        <w:tc>
          <w:tcPr>
            <w:tcW w:w="759" w:type="pct"/>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sz w:val="21"/>
                <w:szCs w:val="21"/>
                <w:highlight w:val="none"/>
              </w:rPr>
              <w:t>7</w:t>
            </w:r>
          </w:p>
        </w:tc>
        <w:tc>
          <w:tcPr>
            <w:tcW w:w="721" w:type="pct"/>
            <w:tcBorders>
              <w:top w:val="nil"/>
              <w:left w:val="nil"/>
              <w:bottom w:val="single" w:color="000000" w:sz="8" w:space="0"/>
              <w:right w:val="single" w:color="000000" w:sz="8" w:space="0"/>
            </w:tcBorders>
            <w:noWrap w:val="0"/>
            <w:vAlign w:val="center"/>
          </w:tcPr>
          <w:p>
            <w:pPr>
              <w:pageBreakBefore w:val="0"/>
              <w:widowControl/>
              <w:kinsoku/>
              <w:wordWrap/>
              <w:bidi w:val="0"/>
              <w:jc w:val="center"/>
              <w:textAlignment w:val="center"/>
              <w:rPr>
                <w:rFonts w:hint="default" w:ascii="Times New Roman" w:hAnsi="Times New Roman" w:eastAsia="仿宋_GB2312" w:cs="Times New Roman"/>
                <w:color w:val="000000"/>
                <w:kern w:val="0"/>
                <w:sz w:val="21"/>
                <w:szCs w:val="21"/>
                <w:highlight w:val="none"/>
                <w:lang w:val="en-US" w:eastAsia="zh-CN" w:bidi="ar"/>
              </w:rPr>
            </w:pPr>
          </w:p>
        </w:tc>
        <w:tc>
          <w:tcPr>
            <w:tcW w:w="876" w:type="pct"/>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sz w:val="21"/>
                <w:szCs w:val="21"/>
                <w:highlight w:val="none"/>
                <w:lang w:val="en-US" w:eastAsia="zh-CN"/>
              </w:rPr>
              <w:t xml:space="preserve">72.40 </w:t>
            </w:r>
          </w:p>
        </w:tc>
      </w:tr>
      <w:tr>
        <w:tblPrEx>
          <w:tblCellMar>
            <w:top w:w="0" w:type="dxa"/>
            <w:left w:w="108" w:type="dxa"/>
            <w:bottom w:w="0" w:type="dxa"/>
            <w:right w:w="108" w:type="dxa"/>
          </w:tblCellMar>
        </w:tblPrEx>
        <w:trPr>
          <w:trHeight w:val="397" w:hRule="atLeast"/>
          <w:jc w:val="center"/>
        </w:trPr>
        <w:tc>
          <w:tcPr>
            <w:tcW w:w="588" w:type="pct"/>
            <w:tcBorders>
              <w:top w:val="nil"/>
              <w:left w:val="single" w:color="000000" w:sz="8" w:space="0"/>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四</w:t>
            </w:r>
          </w:p>
        </w:tc>
        <w:tc>
          <w:tcPr>
            <w:tcW w:w="1242" w:type="pct"/>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材料价差</w:t>
            </w:r>
          </w:p>
        </w:tc>
        <w:tc>
          <w:tcPr>
            <w:tcW w:w="811" w:type="pct"/>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p>
        </w:tc>
        <w:tc>
          <w:tcPr>
            <w:tcW w:w="759" w:type="pct"/>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p>
        </w:tc>
        <w:tc>
          <w:tcPr>
            <w:tcW w:w="721" w:type="pct"/>
            <w:tcBorders>
              <w:top w:val="nil"/>
              <w:left w:val="nil"/>
              <w:bottom w:val="single" w:color="000000" w:sz="8" w:space="0"/>
              <w:right w:val="single" w:color="000000" w:sz="8" w:space="0"/>
            </w:tcBorders>
            <w:noWrap w:val="0"/>
            <w:vAlign w:val="center"/>
          </w:tcPr>
          <w:p>
            <w:pPr>
              <w:pageBreakBefore w:val="0"/>
              <w:widowControl/>
              <w:kinsoku/>
              <w:wordWrap/>
              <w:bidi w:val="0"/>
              <w:jc w:val="center"/>
              <w:textAlignment w:val="center"/>
              <w:rPr>
                <w:rFonts w:hint="default" w:ascii="Times New Roman" w:hAnsi="Times New Roman" w:eastAsia="仿宋_GB2312" w:cs="Times New Roman"/>
                <w:color w:val="000000"/>
                <w:kern w:val="0"/>
                <w:sz w:val="21"/>
                <w:szCs w:val="21"/>
                <w:highlight w:val="none"/>
                <w:lang w:val="en-US" w:eastAsia="zh-CN" w:bidi="ar"/>
              </w:rPr>
            </w:pPr>
          </w:p>
        </w:tc>
        <w:tc>
          <w:tcPr>
            <w:tcW w:w="876" w:type="pct"/>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sz w:val="21"/>
                <w:szCs w:val="21"/>
                <w:highlight w:val="none"/>
                <w:lang w:val="en-US" w:eastAsia="zh-CN"/>
              </w:rPr>
              <w:t xml:space="preserve">168.80 </w:t>
            </w:r>
          </w:p>
        </w:tc>
      </w:tr>
      <w:tr>
        <w:tblPrEx>
          <w:tblCellMar>
            <w:top w:w="0" w:type="dxa"/>
            <w:left w:w="108" w:type="dxa"/>
            <w:bottom w:w="0" w:type="dxa"/>
            <w:right w:w="108" w:type="dxa"/>
          </w:tblCellMar>
        </w:tblPrEx>
        <w:trPr>
          <w:trHeight w:val="397" w:hRule="atLeast"/>
          <w:jc w:val="center"/>
        </w:trPr>
        <w:tc>
          <w:tcPr>
            <w:tcW w:w="588" w:type="pct"/>
            <w:tcBorders>
              <w:top w:val="nil"/>
              <w:left w:val="single" w:color="000000" w:sz="8" w:space="0"/>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p>
        </w:tc>
        <w:tc>
          <w:tcPr>
            <w:tcW w:w="1242" w:type="pct"/>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柴油</w:t>
            </w:r>
          </w:p>
        </w:tc>
        <w:tc>
          <w:tcPr>
            <w:tcW w:w="811" w:type="pct"/>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kg</w:t>
            </w:r>
          </w:p>
        </w:tc>
        <w:tc>
          <w:tcPr>
            <w:tcW w:w="759" w:type="pct"/>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sz w:val="21"/>
                <w:szCs w:val="21"/>
                <w:highlight w:val="none"/>
              </w:rPr>
              <w:t>40</w:t>
            </w:r>
          </w:p>
        </w:tc>
        <w:tc>
          <w:tcPr>
            <w:tcW w:w="721" w:type="pct"/>
            <w:tcBorders>
              <w:top w:val="nil"/>
              <w:left w:val="nil"/>
              <w:bottom w:val="single" w:color="000000" w:sz="8" w:space="0"/>
              <w:right w:val="single" w:color="000000" w:sz="8" w:space="0"/>
            </w:tcBorders>
            <w:noWrap w:val="0"/>
            <w:vAlign w:val="center"/>
          </w:tcPr>
          <w:p>
            <w:pPr>
              <w:pageBreakBefore w:val="0"/>
              <w:widowControl/>
              <w:kinsoku/>
              <w:wordWrap/>
              <w:bidi w:val="0"/>
              <w:jc w:val="center"/>
              <w:textAlignment w:val="center"/>
              <w:rPr>
                <w:rFonts w:hint="default" w:ascii="Times New Roman" w:hAnsi="Times New Roman" w:eastAsia="仿宋_GB2312" w:cs="Times New Roman"/>
                <w:color w:val="000000"/>
                <w:kern w:val="0"/>
                <w:sz w:val="21"/>
                <w:szCs w:val="21"/>
                <w:highlight w:val="none"/>
                <w:lang w:val="en-US" w:eastAsia="zh-CN" w:bidi="ar"/>
              </w:rPr>
            </w:pPr>
            <w:r>
              <w:rPr>
                <w:rFonts w:hint="default" w:ascii="Times New Roman" w:hAnsi="Times New Roman" w:eastAsia="仿宋_GB2312" w:cs="Times New Roman"/>
                <w:color w:val="000000"/>
                <w:kern w:val="0"/>
                <w:sz w:val="21"/>
                <w:szCs w:val="21"/>
                <w:highlight w:val="none"/>
                <w:lang w:val="en-US" w:eastAsia="zh-CN" w:bidi="ar"/>
              </w:rPr>
              <w:t>2.30</w:t>
            </w:r>
          </w:p>
        </w:tc>
        <w:tc>
          <w:tcPr>
            <w:tcW w:w="876" w:type="pct"/>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sz w:val="21"/>
                <w:szCs w:val="21"/>
                <w:highlight w:val="none"/>
                <w:lang w:val="en-US" w:eastAsia="zh-CN"/>
              </w:rPr>
              <w:t xml:space="preserve">168.80 </w:t>
            </w:r>
          </w:p>
        </w:tc>
      </w:tr>
      <w:tr>
        <w:tblPrEx>
          <w:tblCellMar>
            <w:top w:w="0" w:type="dxa"/>
            <w:left w:w="108" w:type="dxa"/>
            <w:bottom w:w="0" w:type="dxa"/>
            <w:right w:w="108" w:type="dxa"/>
          </w:tblCellMar>
        </w:tblPrEx>
        <w:trPr>
          <w:trHeight w:val="397" w:hRule="atLeast"/>
          <w:jc w:val="center"/>
        </w:trPr>
        <w:tc>
          <w:tcPr>
            <w:tcW w:w="588" w:type="pct"/>
            <w:tcBorders>
              <w:top w:val="nil"/>
              <w:left w:val="single" w:color="000000" w:sz="8" w:space="0"/>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五</w:t>
            </w:r>
          </w:p>
        </w:tc>
        <w:tc>
          <w:tcPr>
            <w:tcW w:w="1242" w:type="pct"/>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税金</w:t>
            </w:r>
          </w:p>
        </w:tc>
        <w:tc>
          <w:tcPr>
            <w:tcW w:w="811" w:type="pct"/>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w:t>
            </w:r>
          </w:p>
        </w:tc>
        <w:tc>
          <w:tcPr>
            <w:tcW w:w="759" w:type="pct"/>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sz w:val="21"/>
                <w:szCs w:val="21"/>
                <w:highlight w:val="none"/>
              </w:rPr>
              <w:t>9</w:t>
            </w:r>
          </w:p>
        </w:tc>
        <w:tc>
          <w:tcPr>
            <w:tcW w:w="721" w:type="pct"/>
            <w:tcBorders>
              <w:top w:val="nil"/>
              <w:left w:val="nil"/>
              <w:bottom w:val="single" w:color="000000" w:sz="8" w:space="0"/>
              <w:right w:val="single" w:color="000000" w:sz="8" w:space="0"/>
            </w:tcBorders>
            <w:noWrap w:val="0"/>
            <w:vAlign w:val="center"/>
          </w:tcPr>
          <w:p>
            <w:pPr>
              <w:pageBreakBefore w:val="0"/>
              <w:widowControl/>
              <w:kinsoku/>
              <w:wordWrap/>
              <w:bidi w:val="0"/>
              <w:jc w:val="center"/>
              <w:textAlignment w:val="center"/>
              <w:rPr>
                <w:rFonts w:hint="default" w:ascii="Times New Roman" w:hAnsi="Times New Roman" w:eastAsia="仿宋_GB2312" w:cs="Times New Roman"/>
                <w:color w:val="000000"/>
                <w:kern w:val="0"/>
                <w:sz w:val="21"/>
                <w:szCs w:val="21"/>
                <w:highlight w:val="none"/>
                <w:lang w:val="en-US" w:eastAsia="zh-CN" w:bidi="ar"/>
              </w:rPr>
            </w:pPr>
          </w:p>
        </w:tc>
        <w:tc>
          <w:tcPr>
            <w:tcW w:w="876" w:type="pct"/>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sz w:val="21"/>
                <w:szCs w:val="21"/>
                <w:highlight w:val="none"/>
                <w:lang w:val="en-US" w:eastAsia="zh-CN"/>
              </w:rPr>
              <w:t xml:space="preserve">114.80 </w:t>
            </w:r>
          </w:p>
        </w:tc>
      </w:tr>
      <w:tr>
        <w:tblPrEx>
          <w:tblCellMar>
            <w:top w:w="0" w:type="dxa"/>
            <w:left w:w="108" w:type="dxa"/>
            <w:bottom w:w="0" w:type="dxa"/>
            <w:right w:w="108" w:type="dxa"/>
          </w:tblCellMar>
        </w:tblPrEx>
        <w:trPr>
          <w:trHeight w:val="397" w:hRule="atLeast"/>
          <w:jc w:val="center"/>
        </w:trPr>
        <w:tc>
          <w:tcPr>
            <w:tcW w:w="588" w:type="pct"/>
            <w:tcBorders>
              <w:top w:val="nil"/>
              <w:left w:val="single" w:color="000000" w:sz="8" w:space="0"/>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小计</w:t>
            </w:r>
          </w:p>
        </w:tc>
        <w:tc>
          <w:tcPr>
            <w:tcW w:w="1242" w:type="pct"/>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p>
        </w:tc>
        <w:tc>
          <w:tcPr>
            <w:tcW w:w="811" w:type="pct"/>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p>
        </w:tc>
        <w:tc>
          <w:tcPr>
            <w:tcW w:w="759" w:type="pct"/>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p>
        </w:tc>
        <w:tc>
          <w:tcPr>
            <w:tcW w:w="721" w:type="pct"/>
            <w:tcBorders>
              <w:top w:val="nil"/>
              <w:left w:val="nil"/>
              <w:bottom w:val="single" w:color="000000" w:sz="8" w:space="0"/>
              <w:right w:val="single" w:color="000000" w:sz="8" w:space="0"/>
            </w:tcBorders>
            <w:noWrap w:val="0"/>
            <w:vAlign w:val="center"/>
          </w:tcPr>
          <w:p>
            <w:pPr>
              <w:pageBreakBefore w:val="0"/>
              <w:widowControl/>
              <w:kinsoku/>
              <w:wordWrap/>
              <w:bidi w:val="0"/>
              <w:jc w:val="center"/>
              <w:textAlignment w:val="center"/>
              <w:rPr>
                <w:rFonts w:hint="default" w:ascii="Times New Roman" w:hAnsi="Times New Roman" w:eastAsia="仿宋_GB2312" w:cs="Times New Roman"/>
                <w:color w:val="000000"/>
                <w:kern w:val="0"/>
                <w:sz w:val="21"/>
                <w:szCs w:val="21"/>
                <w:highlight w:val="none"/>
                <w:lang w:val="en-US" w:eastAsia="zh-CN" w:bidi="ar"/>
              </w:rPr>
            </w:pPr>
          </w:p>
        </w:tc>
        <w:tc>
          <w:tcPr>
            <w:tcW w:w="876" w:type="pct"/>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sz w:val="21"/>
                <w:szCs w:val="21"/>
                <w:highlight w:val="none"/>
                <w:lang w:val="en-US" w:eastAsia="zh-CN"/>
              </w:rPr>
              <w:t xml:space="preserve">1390.32 </w:t>
            </w:r>
          </w:p>
        </w:tc>
      </w:tr>
      <w:tr>
        <w:tblPrEx>
          <w:tblCellMar>
            <w:top w:w="0" w:type="dxa"/>
            <w:left w:w="108" w:type="dxa"/>
            <w:bottom w:w="0" w:type="dxa"/>
            <w:right w:w="108" w:type="dxa"/>
          </w:tblCellMar>
        </w:tblPrEx>
        <w:trPr>
          <w:trHeight w:val="397" w:hRule="atLeast"/>
          <w:jc w:val="center"/>
        </w:trPr>
        <w:tc>
          <w:tcPr>
            <w:tcW w:w="588" w:type="pct"/>
            <w:tcBorders>
              <w:top w:val="nil"/>
              <w:left w:val="single" w:color="000000" w:sz="8" w:space="0"/>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六</w:t>
            </w:r>
          </w:p>
        </w:tc>
        <w:tc>
          <w:tcPr>
            <w:tcW w:w="1242" w:type="pct"/>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投资估算扩大</w:t>
            </w:r>
          </w:p>
        </w:tc>
        <w:tc>
          <w:tcPr>
            <w:tcW w:w="811" w:type="pct"/>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w:t>
            </w:r>
          </w:p>
        </w:tc>
        <w:tc>
          <w:tcPr>
            <w:tcW w:w="759" w:type="pct"/>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sz w:val="21"/>
                <w:szCs w:val="21"/>
                <w:highlight w:val="none"/>
              </w:rPr>
              <w:t>10</w:t>
            </w:r>
          </w:p>
        </w:tc>
        <w:tc>
          <w:tcPr>
            <w:tcW w:w="721" w:type="pct"/>
            <w:tcBorders>
              <w:top w:val="nil"/>
              <w:left w:val="nil"/>
              <w:bottom w:val="single" w:color="000000" w:sz="8" w:space="0"/>
              <w:right w:val="single" w:color="000000" w:sz="8" w:space="0"/>
            </w:tcBorders>
            <w:noWrap w:val="0"/>
            <w:vAlign w:val="center"/>
          </w:tcPr>
          <w:p>
            <w:pPr>
              <w:pageBreakBefore w:val="0"/>
              <w:widowControl/>
              <w:kinsoku/>
              <w:wordWrap/>
              <w:bidi w:val="0"/>
              <w:jc w:val="center"/>
              <w:textAlignment w:val="center"/>
              <w:rPr>
                <w:rFonts w:hint="default" w:ascii="Times New Roman" w:hAnsi="Times New Roman" w:eastAsia="仿宋_GB2312" w:cs="Times New Roman"/>
                <w:color w:val="000000"/>
                <w:kern w:val="0"/>
                <w:sz w:val="21"/>
                <w:szCs w:val="21"/>
                <w:highlight w:val="none"/>
                <w:lang w:val="en-US" w:eastAsia="zh-CN" w:bidi="ar"/>
              </w:rPr>
            </w:pPr>
          </w:p>
        </w:tc>
        <w:tc>
          <w:tcPr>
            <w:tcW w:w="876" w:type="pct"/>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sz w:val="21"/>
                <w:szCs w:val="21"/>
                <w:highlight w:val="none"/>
                <w:lang w:val="en-US" w:eastAsia="zh-CN"/>
              </w:rPr>
              <w:t xml:space="preserve">139.03 </w:t>
            </w:r>
          </w:p>
        </w:tc>
      </w:tr>
      <w:tr>
        <w:tblPrEx>
          <w:tblCellMar>
            <w:top w:w="0" w:type="dxa"/>
            <w:left w:w="108" w:type="dxa"/>
            <w:bottom w:w="0" w:type="dxa"/>
            <w:right w:w="108" w:type="dxa"/>
          </w:tblCellMar>
        </w:tblPrEx>
        <w:trPr>
          <w:trHeight w:val="397" w:hRule="atLeast"/>
          <w:jc w:val="center"/>
        </w:trPr>
        <w:tc>
          <w:tcPr>
            <w:tcW w:w="1830" w:type="pct"/>
            <w:gridSpan w:val="2"/>
            <w:tcBorders>
              <w:top w:val="single" w:color="000000" w:sz="8" w:space="0"/>
              <w:left w:val="single" w:color="000000" w:sz="8" w:space="0"/>
              <w:bottom w:val="single" w:color="000000" w:sz="8" w:space="0"/>
              <w:right w:val="single" w:color="000000" w:sz="8" w:space="0"/>
            </w:tcBorders>
            <w:shd w:val="clear" w:color="000000" w:fill="FFFFFF"/>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合计</w:t>
            </w:r>
          </w:p>
        </w:tc>
        <w:tc>
          <w:tcPr>
            <w:tcW w:w="811" w:type="pct"/>
            <w:tcBorders>
              <w:top w:val="nil"/>
              <w:left w:val="nil"/>
              <w:bottom w:val="single" w:color="000000" w:sz="8" w:space="0"/>
              <w:right w:val="single" w:color="000000" w:sz="8" w:space="0"/>
            </w:tcBorders>
            <w:shd w:val="clear" w:color="000000" w:fill="FFFFFF"/>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p>
        </w:tc>
        <w:tc>
          <w:tcPr>
            <w:tcW w:w="759" w:type="pct"/>
            <w:tcBorders>
              <w:top w:val="nil"/>
              <w:left w:val="nil"/>
              <w:bottom w:val="single" w:color="000000" w:sz="8" w:space="0"/>
              <w:right w:val="single" w:color="000000" w:sz="8" w:space="0"/>
            </w:tcBorders>
            <w:shd w:val="clear" w:color="000000" w:fill="FFFFFF"/>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p>
        </w:tc>
        <w:tc>
          <w:tcPr>
            <w:tcW w:w="721" w:type="pct"/>
            <w:tcBorders>
              <w:top w:val="nil"/>
              <w:left w:val="nil"/>
              <w:bottom w:val="single" w:color="000000" w:sz="8" w:space="0"/>
              <w:right w:val="single" w:color="000000" w:sz="8" w:space="0"/>
            </w:tcBorders>
            <w:shd w:val="clear" w:color="000000" w:fill="FFFFFF"/>
            <w:noWrap w:val="0"/>
            <w:vAlign w:val="center"/>
          </w:tcPr>
          <w:p>
            <w:pPr>
              <w:pageBreakBefore w:val="0"/>
              <w:kinsoku/>
              <w:wordWrap/>
              <w:bidi w:val="0"/>
              <w:jc w:val="center"/>
              <w:rPr>
                <w:rFonts w:hint="default" w:ascii="Times New Roman" w:hAnsi="Times New Roman" w:eastAsia="仿宋_GB2312" w:cs="Times New Roman"/>
                <w:sz w:val="21"/>
                <w:szCs w:val="21"/>
                <w:highlight w:val="none"/>
              </w:rPr>
            </w:pPr>
          </w:p>
        </w:tc>
        <w:tc>
          <w:tcPr>
            <w:tcW w:w="876" w:type="pct"/>
            <w:tcBorders>
              <w:top w:val="nil"/>
              <w:left w:val="nil"/>
              <w:bottom w:val="single" w:color="000000" w:sz="8" w:space="0"/>
              <w:right w:val="single" w:color="000000" w:sz="8" w:space="0"/>
            </w:tcBorders>
            <w:noWrap w:val="0"/>
            <w:vAlign w:val="center"/>
          </w:tcPr>
          <w:p>
            <w:pPr>
              <w:pageBreakBefore w:val="0"/>
              <w:kinsoku/>
              <w:wordWrap/>
              <w:bidi w:val="0"/>
              <w:jc w:val="center"/>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sz w:val="21"/>
                <w:szCs w:val="21"/>
                <w:highlight w:val="none"/>
                <w:lang w:val="en-US" w:eastAsia="zh-CN"/>
              </w:rPr>
              <w:t xml:space="preserve">1529.35 </w:t>
            </w:r>
          </w:p>
        </w:tc>
      </w:tr>
    </w:tbl>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val="0"/>
          <w:sz w:val="24"/>
          <w:highlight w:val="none"/>
        </w:rPr>
      </w:pPr>
      <w:r>
        <w:rPr>
          <w:rFonts w:hint="default" w:ascii="Times New Roman" w:hAnsi="Times New Roman" w:eastAsia="微软雅黑" w:cs="Times New Roman"/>
          <w:b w:val="0"/>
          <w:bCs w:val="0"/>
          <w:sz w:val="24"/>
          <w:highlight w:val="none"/>
        </w:rPr>
        <w:t>附表3.2  编织袋土砌筑单价分析表</w:t>
      </w:r>
    </w:p>
    <w:tbl>
      <w:tblPr>
        <w:tblStyle w:val="556"/>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1247"/>
        <w:gridCol w:w="1529"/>
        <w:gridCol w:w="1382"/>
        <w:gridCol w:w="1382"/>
        <w:gridCol w:w="1382"/>
        <w:gridCol w:w="140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000" w:type="pct"/>
            <w:gridSpan w:val="6"/>
            <w:vAlign w:val="center"/>
          </w:tcPr>
          <w:p>
            <w:pPr>
              <w:pStyle w:val="56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5"/>
                <w:sz w:val="21"/>
                <w:szCs w:val="21"/>
              </w:rPr>
              <w:t>定额编号：03053</w:t>
            </w:r>
            <w:r>
              <w:rPr>
                <w:rFonts w:hint="default" w:ascii="Times New Roman" w:hAnsi="Times New Roman" w:eastAsia="仿宋_GB2312" w:cs="Times New Roman"/>
                <w:spacing w:val="1"/>
                <w:sz w:val="21"/>
                <w:szCs w:val="21"/>
              </w:rPr>
              <w:t xml:space="preserve">       </w:t>
            </w:r>
            <w:r>
              <w:rPr>
                <w:rFonts w:hint="default" w:ascii="Times New Roman" w:hAnsi="Times New Roman" w:eastAsia="仿宋_GB2312" w:cs="Times New Roman"/>
                <w:sz w:val="21"/>
                <w:szCs w:val="21"/>
              </w:rPr>
              <w:t xml:space="preserve">                                            </w:t>
            </w:r>
            <w:r>
              <w:rPr>
                <w:rFonts w:hint="default" w:ascii="Times New Roman" w:hAnsi="Times New Roman" w:eastAsia="仿宋_GB2312" w:cs="Times New Roman"/>
                <w:spacing w:val="5"/>
                <w:sz w:val="21"/>
                <w:szCs w:val="21"/>
              </w:rPr>
              <w:t>定额单位：100m</w:t>
            </w:r>
            <w:r>
              <w:rPr>
                <w:rFonts w:hint="default" w:ascii="Times New Roman" w:hAnsi="Times New Roman" w:eastAsia="仿宋_GB2312" w:cs="Times New Roman"/>
                <w:spacing w:val="5"/>
                <w:position w:val="6"/>
                <w:sz w:val="21"/>
                <w:szCs w:val="21"/>
              </w:rPr>
              <w:t>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000" w:type="pct"/>
            <w:gridSpan w:val="6"/>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8"/>
                <w:sz w:val="21"/>
                <w:szCs w:val="21"/>
              </w:rPr>
              <w:t>工作内容：装土、封包、堆筑。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74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4"/>
                <w:sz w:val="21"/>
                <w:szCs w:val="21"/>
              </w:rPr>
              <w:t>编号</w:t>
            </w:r>
          </w:p>
        </w:tc>
        <w:tc>
          <w:tcPr>
            <w:tcW w:w="917"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8"/>
                <w:sz w:val="21"/>
                <w:szCs w:val="21"/>
              </w:rPr>
              <w:t>名称及规格</w:t>
            </w:r>
          </w:p>
        </w:tc>
        <w:tc>
          <w:tcPr>
            <w:tcW w:w="83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2"/>
                <w:sz w:val="21"/>
                <w:szCs w:val="21"/>
              </w:rPr>
              <w:t>单位</w:t>
            </w:r>
          </w:p>
        </w:tc>
        <w:tc>
          <w:tcPr>
            <w:tcW w:w="83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2"/>
                <w:sz w:val="21"/>
                <w:szCs w:val="21"/>
              </w:rPr>
              <w:t>数量</w:t>
            </w:r>
          </w:p>
        </w:tc>
        <w:tc>
          <w:tcPr>
            <w:tcW w:w="83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6"/>
                <w:sz w:val="21"/>
                <w:szCs w:val="21"/>
              </w:rPr>
              <w:t>单价（元）</w:t>
            </w:r>
          </w:p>
        </w:tc>
        <w:tc>
          <w:tcPr>
            <w:tcW w:w="84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6"/>
                <w:sz w:val="21"/>
                <w:szCs w:val="21"/>
              </w:rPr>
              <w:t>小计（元）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74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position w:val="-3"/>
                <w:sz w:val="21"/>
                <w:szCs w:val="21"/>
              </w:rPr>
              <w:t>一</w:t>
            </w:r>
          </w:p>
        </w:tc>
        <w:tc>
          <w:tcPr>
            <w:tcW w:w="917"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6"/>
                <w:sz w:val="21"/>
                <w:szCs w:val="21"/>
              </w:rPr>
              <w:t>直接工程费</w:t>
            </w:r>
          </w:p>
        </w:tc>
        <w:tc>
          <w:tcPr>
            <w:tcW w:w="83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p>
        </w:tc>
        <w:tc>
          <w:tcPr>
            <w:tcW w:w="83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p>
        </w:tc>
        <w:tc>
          <w:tcPr>
            <w:tcW w:w="83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p>
        </w:tc>
        <w:tc>
          <w:tcPr>
            <w:tcW w:w="841" w:type="pct"/>
            <w:vAlign w:val="center"/>
          </w:tcPr>
          <w:p>
            <w:pPr>
              <w:pStyle w:val="56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4"/>
                <w:sz w:val="21"/>
                <w:szCs w:val="21"/>
              </w:rPr>
              <w:t>40922.42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74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3"/>
                <w:sz w:val="21"/>
                <w:szCs w:val="21"/>
              </w:rPr>
              <w:t>（</w:t>
            </w:r>
            <w:r>
              <w:rPr>
                <w:rFonts w:hint="default" w:ascii="Times New Roman" w:hAnsi="Times New Roman" w:eastAsia="仿宋_GB2312" w:cs="Times New Roman"/>
                <w:spacing w:val="-49"/>
                <w:sz w:val="21"/>
                <w:szCs w:val="21"/>
              </w:rPr>
              <w:t xml:space="preserve"> </w:t>
            </w:r>
            <w:r>
              <w:rPr>
                <w:rFonts w:hint="default" w:ascii="Times New Roman" w:hAnsi="Times New Roman" w:eastAsia="仿宋_GB2312" w:cs="Times New Roman"/>
                <w:spacing w:val="-3"/>
                <w:sz w:val="21"/>
                <w:szCs w:val="21"/>
              </w:rPr>
              <w:t>一）</w:t>
            </w:r>
          </w:p>
        </w:tc>
        <w:tc>
          <w:tcPr>
            <w:tcW w:w="917"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4"/>
                <w:sz w:val="21"/>
                <w:szCs w:val="21"/>
              </w:rPr>
              <w:t>直接费</w:t>
            </w:r>
          </w:p>
        </w:tc>
        <w:tc>
          <w:tcPr>
            <w:tcW w:w="83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p>
        </w:tc>
        <w:tc>
          <w:tcPr>
            <w:tcW w:w="83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p>
        </w:tc>
        <w:tc>
          <w:tcPr>
            <w:tcW w:w="83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p>
        </w:tc>
        <w:tc>
          <w:tcPr>
            <w:tcW w:w="841" w:type="pct"/>
            <w:vAlign w:val="center"/>
          </w:tcPr>
          <w:p>
            <w:pPr>
              <w:pStyle w:val="56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4"/>
                <w:sz w:val="21"/>
                <w:szCs w:val="21"/>
              </w:rPr>
              <w:t>26573.00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749" w:type="pct"/>
            <w:vAlign w:val="center"/>
          </w:tcPr>
          <w:p>
            <w:pPr>
              <w:pStyle w:val="56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1</w:t>
            </w:r>
          </w:p>
        </w:tc>
        <w:tc>
          <w:tcPr>
            <w:tcW w:w="917"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6"/>
                <w:sz w:val="21"/>
                <w:szCs w:val="21"/>
              </w:rPr>
              <w:t>人工费</w:t>
            </w:r>
          </w:p>
        </w:tc>
        <w:tc>
          <w:tcPr>
            <w:tcW w:w="83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2"/>
                <w:sz w:val="21"/>
                <w:szCs w:val="21"/>
              </w:rPr>
              <w:t>工时</w:t>
            </w:r>
          </w:p>
        </w:tc>
        <w:tc>
          <w:tcPr>
            <w:tcW w:w="830" w:type="pct"/>
            <w:vAlign w:val="center"/>
          </w:tcPr>
          <w:p>
            <w:pPr>
              <w:pStyle w:val="56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1"/>
                <w:sz w:val="21"/>
                <w:szCs w:val="21"/>
              </w:rPr>
              <w:t>1162</w:t>
            </w:r>
          </w:p>
        </w:tc>
        <w:tc>
          <w:tcPr>
            <w:tcW w:w="830" w:type="pct"/>
            <w:vAlign w:val="center"/>
          </w:tcPr>
          <w:p>
            <w:pPr>
              <w:pStyle w:val="56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2"/>
                <w:sz w:val="21"/>
                <w:szCs w:val="21"/>
              </w:rPr>
              <w:t>20</w:t>
            </w:r>
          </w:p>
        </w:tc>
        <w:tc>
          <w:tcPr>
            <w:tcW w:w="841" w:type="pct"/>
            <w:vAlign w:val="center"/>
          </w:tcPr>
          <w:p>
            <w:pPr>
              <w:pStyle w:val="56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4"/>
                <w:sz w:val="21"/>
                <w:szCs w:val="21"/>
              </w:rPr>
              <w:t>23240.00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749" w:type="pct"/>
            <w:vAlign w:val="center"/>
          </w:tcPr>
          <w:p>
            <w:pPr>
              <w:pStyle w:val="56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2</w:t>
            </w:r>
          </w:p>
        </w:tc>
        <w:tc>
          <w:tcPr>
            <w:tcW w:w="917"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6"/>
                <w:sz w:val="21"/>
                <w:szCs w:val="21"/>
              </w:rPr>
              <w:t>材料费</w:t>
            </w:r>
          </w:p>
        </w:tc>
        <w:tc>
          <w:tcPr>
            <w:tcW w:w="83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p>
        </w:tc>
        <w:tc>
          <w:tcPr>
            <w:tcW w:w="83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p>
        </w:tc>
        <w:tc>
          <w:tcPr>
            <w:tcW w:w="83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p>
        </w:tc>
        <w:tc>
          <w:tcPr>
            <w:tcW w:w="841" w:type="pct"/>
            <w:vAlign w:val="center"/>
          </w:tcPr>
          <w:p>
            <w:pPr>
              <w:pStyle w:val="56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3"/>
                <w:sz w:val="21"/>
                <w:szCs w:val="21"/>
              </w:rPr>
              <w:t>3333.00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74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p>
        </w:tc>
        <w:tc>
          <w:tcPr>
            <w:tcW w:w="917"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6"/>
                <w:sz w:val="21"/>
                <w:szCs w:val="21"/>
              </w:rPr>
              <w:t>编织袋</w:t>
            </w:r>
          </w:p>
        </w:tc>
        <w:tc>
          <w:tcPr>
            <w:tcW w:w="83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个</w:t>
            </w:r>
          </w:p>
        </w:tc>
        <w:tc>
          <w:tcPr>
            <w:tcW w:w="830" w:type="pct"/>
            <w:vAlign w:val="center"/>
          </w:tcPr>
          <w:p>
            <w:pPr>
              <w:pStyle w:val="56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3"/>
                <w:sz w:val="21"/>
                <w:szCs w:val="21"/>
              </w:rPr>
              <w:t>3300</w:t>
            </w:r>
          </w:p>
        </w:tc>
        <w:tc>
          <w:tcPr>
            <w:tcW w:w="830" w:type="pct"/>
            <w:vAlign w:val="center"/>
          </w:tcPr>
          <w:p>
            <w:pPr>
              <w:pStyle w:val="56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1</w:t>
            </w:r>
          </w:p>
        </w:tc>
        <w:tc>
          <w:tcPr>
            <w:tcW w:w="841" w:type="pct"/>
            <w:vAlign w:val="center"/>
          </w:tcPr>
          <w:p>
            <w:pPr>
              <w:pStyle w:val="56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3"/>
                <w:sz w:val="21"/>
                <w:szCs w:val="21"/>
              </w:rPr>
              <w:t>3300.00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74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p>
        </w:tc>
        <w:tc>
          <w:tcPr>
            <w:tcW w:w="917"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8"/>
                <w:sz w:val="21"/>
                <w:szCs w:val="21"/>
              </w:rPr>
              <w:t>其他材料费</w:t>
            </w:r>
          </w:p>
        </w:tc>
        <w:tc>
          <w:tcPr>
            <w:tcW w:w="830" w:type="pct"/>
            <w:vAlign w:val="center"/>
          </w:tcPr>
          <w:p>
            <w:pPr>
              <w:pStyle w:val="56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position w:val="2"/>
                <w:sz w:val="21"/>
                <w:szCs w:val="21"/>
              </w:rPr>
              <w:t>%</w:t>
            </w:r>
          </w:p>
        </w:tc>
        <w:tc>
          <w:tcPr>
            <w:tcW w:w="830" w:type="pct"/>
            <w:vAlign w:val="center"/>
          </w:tcPr>
          <w:p>
            <w:pPr>
              <w:pStyle w:val="56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1</w:t>
            </w:r>
          </w:p>
        </w:tc>
        <w:tc>
          <w:tcPr>
            <w:tcW w:w="83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p>
        </w:tc>
        <w:tc>
          <w:tcPr>
            <w:tcW w:w="841" w:type="pct"/>
            <w:vAlign w:val="center"/>
          </w:tcPr>
          <w:p>
            <w:pPr>
              <w:pStyle w:val="56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3"/>
                <w:sz w:val="21"/>
                <w:szCs w:val="21"/>
              </w:rPr>
              <w:t>33.00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74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2"/>
                <w:sz w:val="21"/>
                <w:szCs w:val="21"/>
              </w:rPr>
              <w:t>（</w:t>
            </w:r>
            <w:r>
              <w:rPr>
                <w:rFonts w:hint="default" w:ascii="Times New Roman" w:hAnsi="Times New Roman" w:eastAsia="仿宋_GB2312" w:cs="Times New Roman"/>
                <w:spacing w:val="-52"/>
                <w:sz w:val="21"/>
                <w:szCs w:val="21"/>
              </w:rPr>
              <w:t xml:space="preserve"> </w:t>
            </w:r>
            <w:r>
              <w:rPr>
                <w:rFonts w:hint="default" w:ascii="Times New Roman" w:hAnsi="Times New Roman" w:eastAsia="仿宋_GB2312" w:cs="Times New Roman"/>
                <w:spacing w:val="-2"/>
                <w:sz w:val="21"/>
                <w:szCs w:val="21"/>
              </w:rPr>
              <w:t>二）</w:t>
            </w:r>
          </w:p>
        </w:tc>
        <w:tc>
          <w:tcPr>
            <w:tcW w:w="917"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8"/>
                <w:sz w:val="21"/>
                <w:szCs w:val="21"/>
              </w:rPr>
              <w:t>其他直接费</w:t>
            </w:r>
          </w:p>
        </w:tc>
        <w:tc>
          <w:tcPr>
            <w:tcW w:w="830" w:type="pct"/>
            <w:vAlign w:val="center"/>
          </w:tcPr>
          <w:p>
            <w:pPr>
              <w:pStyle w:val="56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position w:val="2"/>
                <w:sz w:val="21"/>
                <w:szCs w:val="21"/>
              </w:rPr>
              <w:t>%</w:t>
            </w:r>
          </w:p>
        </w:tc>
        <w:tc>
          <w:tcPr>
            <w:tcW w:w="830" w:type="pct"/>
            <w:vAlign w:val="center"/>
          </w:tcPr>
          <w:p>
            <w:pPr>
              <w:pStyle w:val="56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1"/>
                <w:sz w:val="21"/>
                <w:szCs w:val="21"/>
              </w:rPr>
              <w:t>4</w:t>
            </w:r>
          </w:p>
        </w:tc>
        <w:tc>
          <w:tcPr>
            <w:tcW w:w="83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p>
        </w:tc>
        <w:tc>
          <w:tcPr>
            <w:tcW w:w="841" w:type="pct"/>
            <w:vAlign w:val="center"/>
          </w:tcPr>
          <w:p>
            <w:pPr>
              <w:pStyle w:val="56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1"/>
                <w:sz w:val="21"/>
                <w:szCs w:val="21"/>
              </w:rPr>
              <w:t>1062.92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749" w:type="pct"/>
            <w:vAlign w:val="center"/>
          </w:tcPr>
          <w:p>
            <w:pPr>
              <w:pStyle w:val="56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2"/>
                <w:position w:val="3"/>
                <w:sz w:val="21"/>
                <w:szCs w:val="21"/>
              </w:rPr>
              <w:t>(三)</w:t>
            </w:r>
          </w:p>
        </w:tc>
        <w:tc>
          <w:tcPr>
            <w:tcW w:w="917"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5"/>
                <w:sz w:val="21"/>
                <w:szCs w:val="21"/>
              </w:rPr>
              <w:t>现场经费</w:t>
            </w:r>
          </w:p>
        </w:tc>
        <w:tc>
          <w:tcPr>
            <w:tcW w:w="830" w:type="pct"/>
            <w:vAlign w:val="center"/>
          </w:tcPr>
          <w:p>
            <w:pPr>
              <w:pStyle w:val="56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position w:val="2"/>
                <w:sz w:val="21"/>
                <w:szCs w:val="21"/>
              </w:rPr>
              <w:t>%</w:t>
            </w:r>
          </w:p>
        </w:tc>
        <w:tc>
          <w:tcPr>
            <w:tcW w:w="830" w:type="pct"/>
            <w:vAlign w:val="center"/>
          </w:tcPr>
          <w:p>
            <w:pPr>
              <w:pStyle w:val="56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5</w:t>
            </w:r>
          </w:p>
        </w:tc>
        <w:tc>
          <w:tcPr>
            <w:tcW w:w="83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p>
        </w:tc>
        <w:tc>
          <w:tcPr>
            <w:tcW w:w="841" w:type="pct"/>
            <w:vAlign w:val="center"/>
          </w:tcPr>
          <w:p>
            <w:pPr>
              <w:pStyle w:val="56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1"/>
                <w:sz w:val="21"/>
                <w:szCs w:val="21"/>
              </w:rPr>
              <w:t>13286.50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74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二</w:t>
            </w:r>
          </w:p>
        </w:tc>
        <w:tc>
          <w:tcPr>
            <w:tcW w:w="917"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1"/>
                <w:sz w:val="21"/>
                <w:szCs w:val="21"/>
              </w:rPr>
              <w:t>间接费</w:t>
            </w:r>
          </w:p>
        </w:tc>
        <w:tc>
          <w:tcPr>
            <w:tcW w:w="830" w:type="pct"/>
            <w:vAlign w:val="center"/>
          </w:tcPr>
          <w:p>
            <w:pPr>
              <w:pStyle w:val="56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position w:val="2"/>
                <w:sz w:val="21"/>
                <w:szCs w:val="21"/>
              </w:rPr>
              <w:t>%</w:t>
            </w:r>
          </w:p>
        </w:tc>
        <w:tc>
          <w:tcPr>
            <w:tcW w:w="830" w:type="pct"/>
            <w:vAlign w:val="center"/>
          </w:tcPr>
          <w:p>
            <w:pPr>
              <w:pStyle w:val="56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3"/>
                <w:sz w:val="21"/>
                <w:szCs w:val="21"/>
              </w:rPr>
              <w:t>4.4</w:t>
            </w:r>
          </w:p>
        </w:tc>
        <w:tc>
          <w:tcPr>
            <w:tcW w:w="83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p>
        </w:tc>
        <w:tc>
          <w:tcPr>
            <w:tcW w:w="841" w:type="pct"/>
            <w:vAlign w:val="center"/>
          </w:tcPr>
          <w:p>
            <w:pPr>
              <w:pStyle w:val="56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1"/>
                <w:sz w:val="21"/>
                <w:szCs w:val="21"/>
              </w:rPr>
              <w:t>1800.59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74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三</w:t>
            </w:r>
          </w:p>
        </w:tc>
        <w:tc>
          <w:tcPr>
            <w:tcW w:w="917"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6"/>
                <w:sz w:val="21"/>
                <w:szCs w:val="21"/>
              </w:rPr>
              <w:t>企业利润</w:t>
            </w:r>
          </w:p>
        </w:tc>
        <w:tc>
          <w:tcPr>
            <w:tcW w:w="830" w:type="pct"/>
            <w:vAlign w:val="center"/>
          </w:tcPr>
          <w:p>
            <w:pPr>
              <w:pStyle w:val="56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position w:val="2"/>
                <w:sz w:val="21"/>
                <w:szCs w:val="21"/>
              </w:rPr>
              <w:t>%</w:t>
            </w:r>
          </w:p>
        </w:tc>
        <w:tc>
          <w:tcPr>
            <w:tcW w:w="830" w:type="pct"/>
            <w:vAlign w:val="center"/>
          </w:tcPr>
          <w:p>
            <w:pPr>
              <w:pStyle w:val="56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7</w:t>
            </w:r>
          </w:p>
        </w:tc>
        <w:tc>
          <w:tcPr>
            <w:tcW w:w="83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p>
        </w:tc>
        <w:tc>
          <w:tcPr>
            <w:tcW w:w="841" w:type="pct"/>
            <w:vAlign w:val="center"/>
          </w:tcPr>
          <w:p>
            <w:pPr>
              <w:pStyle w:val="56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1"/>
                <w:sz w:val="21"/>
                <w:szCs w:val="21"/>
              </w:rPr>
              <w:t>1879.81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74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四</w:t>
            </w:r>
          </w:p>
        </w:tc>
        <w:tc>
          <w:tcPr>
            <w:tcW w:w="917"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5"/>
                <w:sz w:val="21"/>
                <w:szCs w:val="21"/>
              </w:rPr>
              <w:t>税金</w:t>
            </w:r>
          </w:p>
        </w:tc>
        <w:tc>
          <w:tcPr>
            <w:tcW w:w="83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16"/>
                <w:sz w:val="21"/>
                <w:szCs w:val="21"/>
              </w:rPr>
              <w:t>%</w:t>
            </w:r>
          </w:p>
        </w:tc>
        <w:tc>
          <w:tcPr>
            <w:tcW w:w="830" w:type="pct"/>
            <w:vAlign w:val="center"/>
          </w:tcPr>
          <w:p>
            <w:pPr>
              <w:pStyle w:val="56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9</w:t>
            </w:r>
          </w:p>
        </w:tc>
        <w:tc>
          <w:tcPr>
            <w:tcW w:w="83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p>
        </w:tc>
        <w:tc>
          <w:tcPr>
            <w:tcW w:w="841" w:type="pct"/>
            <w:vAlign w:val="center"/>
          </w:tcPr>
          <w:p>
            <w:pPr>
              <w:pStyle w:val="56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4"/>
                <w:sz w:val="21"/>
                <w:szCs w:val="21"/>
              </w:rPr>
              <w:t>4014.25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74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3"/>
                <w:sz w:val="21"/>
                <w:szCs w:val="21"/>
              </w:rPr>
              <w:t>小计</w:t>
            </w:r>
          </w:p>
        </w:tc>
        <w:tc>
          <w:tcPr>
            <w:tcW w:w="917"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p>
        </w:tc>
        <w:tc>
          <w:tcPr>
            <w:tcW w:w="83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p>
        </w:tc>
        <w:tc>
          <w:tcPr>
            <w:tcW w:w="83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p>
        </w:tc>
        <w:tc>
          <w:tcPr>
            <w:tcW w:w="83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p>
        </w:tc>
        <w:tc>
          <w:tcPr>
            <w:tcW w:w="841" w:type="pct"/>
            <w:vAlign w:val="center"/>
          </w:tcPr>
          <w:p>
            <w:pPr>
              <w:pStyle w:val="56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4"/>
                <w:sz w:val="21"/>
                <w:szCs w:val="21"/>
              </w:rPr>
              <w:t>48617.07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74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五</w:t>
            </w:r>
          </w:p>
        </w:tc>
        <w:tc>
          <w:tcPr>
            <w:tcW w:w="917"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7"/>
                <w:sz w:val="21"/>
                <w:szCs w:val="21"/>
              </w:rPr>
              <w:t>投资估算扩大</w:t>
            </w:r>
          </w:p>
        </w:tc>
        <w:tc>
          <w:tcPr>
            <w:tcW w:w="830" w:type="pct"/>
            <w:vAlign w:val="center"/>
          </w:tcPr>
          <w:p>
            <w:pPr>
              <w:pStyle w:val="56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position w:val="2"/>
                <w:sz w:val="21"/>
                <w:szCs w:val="21"/>
              </w:rPr>
              <w:t>%</w:t>
            </w:r>
          </w:p>
        </w:tc>
        <w:tc>
          <w:tcPr>
            <w:tcW w:w="830" w:type="pct"/>
            <w:vAlign w:val="center"/>
          </w:tcPr>
          <w:p>
            <w:pPr>
              <w:pStyle w:val="56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8"/>
                <w:sz w:val="21"/>
                <w:szCs w:val="21"/>
              </w:rPr>
              <w:t>10</w:t>
            </w:r>
          </w:p>
        </w:tc>
        <w:tc>
          <w:tcPr>
            <w:tcW w:w="83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p>
        </w:tc>
        <w:tc>
          <w:tcPr>
            <w:tcW w:w="841" w:type="pct"/>
            <w:vAlign w:val="center"/>
          </w:tcPr>
          <w:p>
            <w:pPr>
              <w:pStyle w:val="56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4"/>
                <w:sz w:val="21"/>
                <w:szCs w:val="21"/>
              </w:rPr>
              <w:t>4861.71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1667"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1"/>
                <w:sz w:val="21"/>
                <w:szCs w:val="21"/>
              </w:rPr>
              <w:t>合</w:t>
            </w:r>
            <w:r>
              <w:rPr>
                <w:rFonts w:hint="default" w:ascii="Times New Roman" w:hAnsi="Times New Roman" w:eastAsia="仿宋_GB2312" w:cs="Times New Roman"/>
                <w:spacing w:val="18"/>
                <w:sz w:val="21"/>
                <w:szCs w:val="21"/>
              </w:rPr>
              <w:t xml:space="preserve"> </w:t>
            </w:r>
            <w:r>
              <w:rPr>
                <w:rFonts w:hint="default" w:ascii="Times New Roman" w:hAnsi="Times New Roman" w:eastAsia="仿宋_GB2312" w:cs="Times New Roman"/>
                <w:spacing w:val="-1"/>
                <w:sz w:val="21"/>
                <w:szCs w:val="21"/>
              </w:rPr>
              <w:t>计</w:t>
            </w:r>
          </w:p>
        </w:tc>
        <w:tc>
          <w:tcPr>
            <w:tcW w:w="83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p>
        </w:tc>
        <w:tc>
          <w:tcPr>
            <w:tcW w:w="83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p>
        </w:tc>
        <w:tc>
          <w:tcPr>
            <w:tcW w:w="83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p>
        </w:tc>
        <w:tc>
          <w:tcPr>
            <w:tcW w:w="841" w:type="pct"/>
            <w:vAlign w:val="center"/>
          </w:tcPr>
          <w:p>
            <w:pPr>
              <w:pStyle w:val="56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3"/>
                <w:sz w:val="21"/>
                <w:szCs w:val="21"/>
              </w:rPr>
              <w:t>53478.78</w:t>
            </w:r>
          </w:p>
        </w:tc>
      </w:tr>
    </w:tbl>
    <w:p>
      <w:pPr>
        <w:keepNext w:val="0"/>
        <w:keepLines w:val="0"/>
        <w:pageBreakBefore w:val="0"/>
        <w:widowControl w:val="0"/>
        <w:kinsoku/>
        <w:wordWrap/>
        <w:overflowPunct/>
        <w:topLinePunct w:val="0"/>
        <w:autoSpaceDE/>
        <w:autoSpaceDN/>
        <w:bidi w:val="0"/>
        <w:adjustRightInd/>
        <w:snapToGrid/>
        <w:spacing w:line="360" w:lineRule="auto"/>
        <w:jc w:val="center"/>
        <w:textAlignment w:val="auto"/>
      </w:pPr>
      <w:r>
        <w:rPr>
          <w:rFonts w:hint="default" w:ascii="Times New Roman" w:hAnsi="Times New Roman" w:eastAsia="微软雅黑" w:cs="Times New Roman"/>
          <w:b w:val="0"/>
          <w:bCs w:val="0"/>
          <w:sz w:val="24"/>
          <w:highlight w:val="none"/>
        </w:rPr>
        <w:t>附表3.3  编织袋土拆除单价分析表</w:t>
      </w:r>
    </w:p>
    <w:tbl>
      <w:tblPr>
        <w:tblStyle w:val="556"/>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1195"/>
        <w:gridCol w:w="1580"/>
        <w:gridCol w:w="1384"/>
        <w:gridCol w:w="1384"/>
        <w:gridCol w:w="1384"/>
        <w:gridCol w:w="139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000" w:type="pct"/>
            <w:gridSpan w:val="6"/>
            <w:vAlign w:val="center"/>
          </w:tcPr>
          <w:p>
            <w:pPr>
              <w:pStyle w:val="56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5"/>
                <w:sz w:val="21"/>
                <w:szCs w:val="21"/>
              </w:rPr>
              <w:t>定额编号：03054</w:t>
            </w:r>
            <w:r>
              <w:rPr>
                <w:rFonts w:hint="default" w:ascii="Times New Roman" w:hAnsi="Times New Roman" w:eastAsia="仿宋_GB2312" w:cs="Times New Roman"/>
                <w:spacing w:val="1"/>
                <w:sz w:val="21"/>
                <w:szCs w:val="21"/>
              </w:rPr>
              <w:t xml:space="preserve">      </w:t>
            </w:r>
            <w:r>
              <w:rPr>
                <w:rFonts w:hint="default" w:ascii="Times New Roman" w:hAnsi="Times New Roman" w:eastAsia="仿宋_GB2312" w:cs="Times New Roman"/>
                <w:sz w:val="21"/>
                <w:szCs w:val="21"/>
              </w:rPr>
              <w:t xml:space="preserve">                                             </w:t>
            </w:r>
            <w:r>
              <w:rPr>
                <w:rFonts w:hint="default" w:ascii="Times New Roman" w:hAnsi="Times New Roman" w:eastAsia="仿宋_GB2312" w:cs="Times New Roman"/>
                <w:spacing w:val="5"/>
                <w:sz w:val="21"/>
                <w:szCs w:val="21"/>
              </w:rPr>
              <w:t>定额单位：100m</w:t>
            </w:r>
            <w:r>
              <w:rPr>
                <w:rFonts w:hint="default" w:ascii="Times New Roman" w:hAnsi="Times New Roman" w:eastAsia="仿宋_GB2312" w:cs="Times New Roman"/>
                <w:spacing w:val="5"/>
                <w:position w:val="6"/>
                <w:sz w:val="21"/>
                <w:szCs w:val="21"/>
              </w:rPr>
              <w:t>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000" w:type="pct"/>
            <w:gridSpan w:val="6"/>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7"/>
                <w:sz w:val="21"/>
                <w:szCs w:val="21"/>
              </w:rPr>
              <w:t>工作内容：拆除、清理。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71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4"/>
                <w:sz w:val="21"/>
                <w:szCs w:val="21"/>
              </w:rPr>
              <w:t>编号</w:t>
            </w:r>
          </w:p>
        </w:tc>
        <w:tc>
          <w:tcPr>
            <w:tcW w:w="94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8"/>
                <w:sz w:val="21"/>
                <w:szCs w:val="21"/>
              </w:rPr>
              <w:t>名称及规格</w:t>
            </w:r>
          </w:p>
        </w:tc>
        <w:tc>
          <w:tcPr>
            <w:tcW w:w="83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2"/>
                <w:sz w:val="21"/>
                <w:szCs w:val="21"/>
              </w:rPr>
              <w:t>单位</w:t>
            </w:r>
          </w:p>
        </w:tc>
        <w:tc>
          <w:tcPr>
            <w:tcW w:w="83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2"/>
                <w:sz w:val="21"/>
                <w:szCs w:val="21"/>
              </w:rPr>
              <w:t>数量</w:t>
            </w:r>
          </w:p>
        </w:tc>
        <w:tc>
          <w:tcPr>
            <w:tcW w:w="83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6"/>
                <w:sz w:val="21"/>
                <w:szCs w:val="21"/>
              </w:rPr>
              <w:t>单价（元）</w:t>
            </w:r>
          </w:p>
        </w:tc>
        <w:tc>
          <w:tcPr>
            <w:tcW w:w="83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6"/>
                <w:sz w:val="21"/>
                <w:szCs w:val="21"/>
              </w:rPr>
              <w:t>小计（元）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71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position w:val="-3"/>
                <w:sz w:val="21"/>
                <w:szCs w:val="21"/>
              </w:rPr>
              <w:t>一</w:t>
            </w:r>
          </w:p>
        </w:tc>
        <w:tc>
          <w:tcPr>
            <w:tcW w:w="94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6"/>
                <w:sz w:val="21"/>
                <w:szCs w:val="21"/>
              </w:rPr>
              <w:t>直接工程费</w:t>
            </w:r>
          </w:p>
        </w:tc>
        <w:tc>
          <w:tcPr>
            <w:tcW w:w="83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p>
        </w:tc>
        <w:tc>
          <w:tcPr>
            <w:tcW w:w="83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p>
        </w:tc>
        <w:tc>
          <w:tcPr>
            <w:tcW w:w="83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p>
        </w:tc>
        <w:tc>
          <w:tcPr>
            <w:tcW w:w="838" w:type="pct"/>
            <w:vAlign w:val="center"/>
          </w:tcPr>
          <w:p>
            <w:pPr>
              <w:pStyle w:val="56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3"/>
                <w:sz w:val="21"/>
                <w:szCs w:val="21"/>
              </w:rPr>
              <w:t>3772.27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71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3"/>
                <w:sz w:val="21"/>
                <w:szCs w:val="21"/>
              </w:rPr>
              <w:t>（</w:t>
            </w:r>
            <w:r>
              <w:rPr>
                <w:rFonts w:hint="default" w:ascii="Times New Roman" w:hAnsi="Times New Roman" w:eastAsia="仿宋_GB2312" w:cs="Times New Roman"/>
                <w:spacing w:val="-49"/>
                <w:sz w:val="21"/>
                <w:szCs w:val="21"/>
              </w:rPr>
              <w:t xml:space="preserve"> </w:t>
            </w:r>
            <w:r>
              <w:rPr>
                <w:rFonts w:hint="default" w:ascii="Times New Roman" w:hAnsi="Times New Roman" w:eastAsia="仿宋_GB2312" w:cs="Times New Roman"/>
                <w:spacing w:val="-3"/>
                <w:sz w:val="21"/>
                <w:szCs w:val="21"/>
              </w:rPr>
              <w:t>一）</w:t>
            </w:r>
          </w:p>
        </w:tc>
        <w:tc>
          <w:tcPr>
            <w:tcW w:w="94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4"/>
                <w:sz w:val="21"/>
                <w:szCs w:val="21"/>
              </w:rPr>
              <w:t>直接费</w:t>
            </w:r>
          </w:p>
        </w:tc>
        <w:tc>
          <w:tcPr>
            <w:tcW w:w="83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p>
        </w:tc>
        <w:tc>
          <w:tcPr>
            <w:tcW w:w="83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p>
        </w:tc>
        <w:tc>
          <w:tcPr>
            <w:tcW w:w="83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p>
        </w:tc>
        <w:tc>
          <w:tcPr>
            <w:tcW w:w="838" w:type="pct"/>
            <w:vAlign w:val="center"/>
          </w:tcPr>
          <w:p>
            <w:pPr>
              <w:pStyle w:val="56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3"/>
                <w:sz w:val="21"/>
                <w:szCs w:val="21"/>
              </w:rPr>
              <w:t>3460.80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718" w:type="pct"/>
            <w:vAlign w:val="center"/>
          </w:tcPr>
          <w:p>
            <w:pPr>
              <w:pStyle w:val="56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1</w:t>
            </w:r>
          </w:p>
        </w:tc>
        <w:tc>
          <w:tcPr>
            <w:tcW w:w="94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6"/>
                <w:sz w:val="21"/>
                <w:szCs w:val="21"/>
              </w:rPr>
              <w:t>人工费</w:t>
            </w:r>
          </w:p>
        </w:tc>
        <w:tc>
          <w:tcPr>
            <w:tcW w:w="83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2"/>
                <w:sz w:val="21"/>
                <w:szCs w:val="21"/>
              </w:rPr>
              <w:t>工时</w:t>
            </w:r>
          </w:p>
        </w:tc>
        <w:tc>
          <w:tcPr>
            <w:tcW w:w="831" w:type="pct"/>
            <w:vAlign w:val="center"/>
          </w:tcPr>
          <w:p>
            <w:pPr>
              <w:pStyle w:val="56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3"/>
                <w:sz w:val="21"/>
                <w:szCs w:val="21"/>
              </w:rPr>
              <w:t>168</w:t>
            </w:r>
          </w:p>
        </w:tc>
        <w:tc>
          <w:tcPr>
            <w:tcW w:w="831" w:type="pct"/>
            <w:vAlign w:val="center"/>
          </w:tcPr>
          <w:p>
            <w:pPr>
              <w:pStyle w:val="56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2"/>
                <w:sz w:val="21"/>
                <w:szCs w:val="21"/>
              </w:rPr>
              <w:t>20</w:t>
            </w:r>
          </w:p>
        </w:tc>
        <w:tc>
          <w:tcPr>
            <w:tcW w:w="838" w:type="pct"/>
            <w:vAlign w:val="center"/>
          </w:tcPr>
          <w:p>
            <w:pPr>
              <w:pStyle w:val="56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3"/>
                <w:sz w:val="21"/>
                <w:szCs w:val="21"/>
              </w:rPr>
              <w:t>3360.00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718" w:type="pct"/>
            <w:vAlign w:val="center"/>
          </w:tcPr>
          <w:p>
            <w:pPr>
              <w:pStyle w:val="56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2</w:t>
            </w:r>
          </w:p>
        </w:tc>
        <w:tc>
          <w:tcPr>
            <w:tcW w:w="94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6"/>
                <w:sz w:val="21"/>
                <w:szCs w:val="21"/>
              </w:rPr>
              <w:t>材料费</w:t>
            </w:r>
          </w:p>
        </w:tc>
        <w:tc>
          <w:tcPr>
            <w:tcW w:w="83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p>
        </w:tc>
        <w:tc>
          <w:tcPr>
            <w:tcW w:w="83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p>
        </w:tc>
        <w:tc>
          <w:tcPr>
            <w:tcW w:w="83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p>
        </w:tc>
        <w:tc>
          <w:tcPr>
            <w:tcW w:w="838" w:type="pct"/>
            <w:vAlign w:val="center"/>
          </w:tcPr>
          <w:p>
            <w:pPr>
              <w:pStyle w:val="56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100.80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71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p>
        </w:tc>
        <w:tc>
          <w:tcPr>
            <w:tcW w:w="94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8"/>
                <w:sz w:val="21"/>
                <w:szCs w:val="21"/>
              </w:rPr>
              <w:t>零星材料费</w:t>
            </w:r>
          </w:p>
        </w:tc>
        <w:tc>
          <w:tcPr>
            <w:tcW w:w="831" w:type="pct"/>
            <w:vAlign w:val="center"/>
          </w:tcPr>
          <w:p>
            <w:pPr>
              <w:pStyle w:val="56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position w:val="2"/>
                <w:sz w:val="21"/>
                <w:szCs w:val="21"/>
              </w:rPr>
              <w:t>%</w:t>
            </w:r>
          </w:p>
        </w:tc>
        <w:tc>
          <w:tcPr>
            <w:tcW w:w="831" w:type="pct"/>
            <w:vAlign w:val="center"/>
          </w:tcPr>
          <w:p>
            <w:pPr>
              <w:pStyle w:val="56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3</w:t>
            </w:r>
          </w:p>
        </w:tc>
        <w:tc>
          <w:tcPr>
            <w:tcW w:w="83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p>
        </w:tc>
        <w:tc>
          <w:tcPr>
            <w:tcW w:w="838" w:type="pct"/>
            <w:vAlign w:val="center"/>
          </w:tcPr>
          <w:p>
            <w:pPr>
              <w:pStyle w:val="56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100.80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71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2"/>
                <w:sz w:val="21"/>
                <w:szCs w:val="21"/>
              </w:rPr>
              <w:t>（</w:t>
            </w:r>
            <w:r>
              <w:rPr>
                <w:rFonts w:hint="default" w:ascii="Times New Roman" w:hAnsi="Times New Roman" w:eastAsia="仿宋_GB2312" w:cs="Times New Roman"/>
                <w:spacing w:val="-52"/>
                <w:sz w:val="21"/>
                <w:szCs w:val="21"/>
              </w:rPr>
              <w:t xml:space="preserve"> </w:t>
            </w:r>
            <w:r>
              <w:rPr>
                <w:rFonts w:hint="default" w:ascii="Times New Roman" w:hAnsi="Times New Roman" w:eastAsia="仿宋_GB2312" w:cs="Times New Roman"/>
                <w:spacing w:val="-2"/>
                <w:sz w:val="21"/>
                <w:szCs w:val="21"/>
              </w:rPr>
              <w:t>二）</w:t>
            </w:r>
          </w:p>
        </w:tc>
        <w:tc>
          <w:tcPr>
            <w:tcW w:w="94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8"/>
                <w:sz w:val="21"/>
                <w:szCs w:val="21"/>
              </w:rPr>
              <w:t>其他直接费</w:t>
            </w:r>
          </w:p>
        </w:tc>
        <w:tc>
          <w:tcPr>
            <w:tcW w:w="831" w:type="pct"/>
            <w:vAlign w:val="center"/>
          </w:tcPr>
          <w:p>
            <w:pPr>
              <w:pStyle w:val="56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position w:val="2"/>
                <w:sz w:val="21"/>
                <w:szCs w:val="21"/>
              </w:rPr>
              <w:t>%</w:t>
            </w:r>
          </w:p>
        </w:tc>
        <w:tc>
          <w:tcPr>
            <w:tcW w:w="831" w:type="pct"/>
            <w:vAlign w:val="center"/>
          </w:tcPr>
          <w:p>
            <w:pPr>
              <w:pStyle w:val="56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1"/>
                <w:sz w:val="21"/>
                <w:szCs w:val="21"/>
              </w:rPr>
              <w:t>4</w:t>
            </w:r>
          </w:p>
        </w:tc>
        <w:tc>
          <w:tcPr>
            <w:tcW w:w="83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p>
        </w:tc>
        <w:tc>
          <w:tcPr>
            <w:tcW w:w="838" w:type="pct"/>
            <w:vAlign w:val="center"/>
          </w:tcPr>
          <w:p>
            <w:pPr>
              <w:pStyle w:val="56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138.43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718" w:type="pct"/>
            <w:vAlign w:val="center"/>
          </w:tcPr>
          <w:p>
            <w:pPr>
              <w:pStyle w:val="56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2"/>
                <w:position w:val="3"/>
                <w:sz w:val="21"/>
                <w:szCs w:val="21"/>
              </w:rPr>
              <w:t>(三)</w:t>
            </w:r>
          </w:p>
        </w:tc>
        <w:tc>
          <w:tcPr>
            <w:tcW w:w="94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5"/>
                <w:sz w:val="21"/>
                <w:szCs w:val="21"/>
              </w:rPr>
              <w:t>现场经费</w:t>
            </w:r>
          </w:p>
        </w:tc>
        <w:tc>
          <w:tcPr>
            <w:tcW w:w="831" w:type="pct"/>
            <w:vAlign w:val="center"/>
          </w:tcPr>
          <w:p>
            <w:pPr>
              <w:pStyle w:val="56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position w:val="2"/>
                <w:sz w:val="21"/>
                <w:szCs w:val="21"/>
              </w:rPr>
              <w:t>%</w:t>
            </w:r>
          </w:p>
        </w:tc>
        <w:tc>
          <w:tcPr>
            <w:tcW w:w="831" w:type="pct"/>
            <w:vAlign w:val="center"/>
          </w:tcPr>
          <w:p>
            <w:pPr>
              <w:pStyle w:val="56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5</w:t>
            </w:r>
          </w:p>
        </w:tc>
        <w:tc>
          <w:tcPr>
            <w:tcW w:w="83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p>
        </w:tc>
        <w:tc>
          <w:tcPr>
            <w:tcW w:w="838" w:type="pct"/>
            <w:vAlign w:val="center"/>
          </w:tcPr>
          <w:p>
            <w:pPr>
              <w:pStyle w:val="56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173.04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71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二</w:t>
            </w:r>
          </w:p>
        </w:tc>
        <w:tc>
          <w:tcPr>
            <w:tcW w:w="94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1"/>
                <w:sz w:val="21"/>
                <w:szCs w:val="21"/>
              </w:rPr>
              <w:t>间接费</w:t>
            </w:r>
          </w:p>
        </w:tc>
        <w:tc>
          <w:tcPr>
            <w:tcW w:w="831" w:type="pct"/>
            <w:vAlign w:val="center"/>
          </w:tcPr>
          <w:p>
            <w:pPr>
              <w:pStyle w:val="56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position w:val="2"/>
                <w:sz w:val="21"/>
                <w:szCs w:val="21"/>
              </w:rPr>
              <w:t>%</w:t>
            </w:r>
          </w:p>
        </w:tc>
        <w:tc>
          <w:tcPr>
            <w:tcW w:w="831" w:type="pct"/>
            <w:vAlign w:val="center"/>
          </w:tcPr>
          <w:p>
            <w:pPr>
              <w:pStyle w:val="56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3"/>
                <w:sz w:val="21"/>
                <w:szCs w:val="21"/>
              </w:rPr>
              <w:t>4.4</w:t>
            </w:r>
          </w:p>
        </w:tc>
        <w:tc>
          <w:tcPr>
            <w:tcW w:w="83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p>
        </w:tc>
        <w:tc>
          <w:tcPr>
            <w:tcW w:w="838" w:type="pct"/>
            <w:vAlign w:val="center"/>
          </w:tcPr>
          <w:p>
            <w:pPr>
              <w:pStyle w:val="56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165.98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71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position w:val="1"/>
                <w:sz w:val="21"/>
                <w:szCs w:val="21"/>
              </w:rPr>
              <w:t>三</w:t>
            </w:r>
          </w:p>
        </w:tc>
        <w:tc>
          <w:tcPr>
            <w:tcW w:w="94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6"/>
                <w:sz w:val="21"/>
                <w:szCs w:val="21"/>
              </w:rPr>
              <w:t>企业利润</w:t>
            </w:r>
          </w:p>
        </w:tc>
        <w:tc>
          <w:tcPr>
            <w:tcW w:w="831" w:type="pct"/>
            <w:vAlign w:val="center"/>
          </w:tcPr>
          <w:p>
            <w:pPr>
              <w:pStyle w:val="56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position w:val="2"/>
                <w:sz w:val="21"/>
                <w:szCs w:val="21"/>
              </w:rPr>
              <w:t>%</w:t>
            </w:r>
          </w:p>
        </w:tc>
        <w:tc>
          <w:tcPr>
            <w:tcW w:w="831" w:type="pct"/>
            <w:vAlign w:val="center"/>
          </w:tcPr>
          <w:p>
            <w:pPr>
              <w:pStyle w:val="56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7</w:t>
            </w:r>
          </w:p>
        </w:tc>
        <w:tc>
          <w:tcPr>
            <w:tcW w:w="83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p>
        </w:tc>
        <w:tc>
          <w:tcPr>
            <w:tcW w:w="838" w:type="pct"/>
            <w:vAlign w:val="center"/>
          </w:tcPr>
          <w:p>
            <w:pPr>
              <w:pStyle w:val="56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3"/>
                <w:sz w:val="21"/>
                <w:szCs w:val="21"/>
              </w:rPr>
              <w:t>275.68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71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四</w:t>
            </w:r>
          </w:p>
        </w:tc>
        <w:tc>
          <w:tcPr>
            <w:tcW w:w="94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5"/>
                <w:sz w:val="21"/>
                <w:szCs w:val="21"/>
              </w:rPr>
              <w:t>税金</w:t>
            </w:r>
          </w:p>
        </w:tc>
        <w:tc>
          <w:tcPr>
            <w:tcW w:w="83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16"/>
                <w:position w:val="1"/>
                <w:sz w:val="21"/>
                <w:szCs w:val="21"/>
              </w:rPr>
              <w:t>%</w:t>
            </w:r>
          </w:p>
        </w:tc>
        <w:tc>
          <w:tcPr>
            <w:tcW w:w="831" w:type="pct"/>
            <w:vAlign w:val="center"/>
          </w:tcPr>
          <w:p>
            <w:pPr>
              <w:pStyle w:val="56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9</w:t>
            </w:r>
          </w:p>
        </w:tc>
        <w:tc>
          <w:tcPr>
            <w:tcW w:w="83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p>
        </w:tc>
        <w:tc>
          <w:tcPr>
            <w:tcW w:w="838" w:type="pct"/>
            <w:vAlign w:val="center"/>
          </w:tcPr>
          <w:p>
            <w:pPr>
              <w:pStyle w:val="56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3"/>
                <w:sz w:val="21"/>
                <w:szCs w:val="21"/>
              </w:rPr>
              <w:t>379.25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71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3"/>
                <w:sz w:val="21"/>
                <w:szCs w:val="21"/>
              </w:rPr>
              <w:t>小计</w:t>
            </w:r>
          </w:p>
        </w:tc>
        <w:tc>
          <w:tcPr>
            <w:tcW w:w="94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p>
        </w:tc>
        <w:tc>
          <w:tcPr>
            <w:tcW w:w="83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p>
        </w:tc>
        <w:tc>
          <w:tcPr>
            <w:tcW w:w="83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p>
        </w:tc>
        <w:tc>
          <w:tcPr>
            <w:tcW w:w="83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p>
        </w:tc>
        <w:tc>
          <w:tcPr>
            <w:tcW w:w="838" w:type="pct"/>
            <w:vAlign w:val="center"/>
          </w:tcPr>
          <w:p>
            <w:pPr>
              <w:pStyle w:val="56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4"/>
                <w:sz w:val="21"/>
                <w:szCs w:val="21"/>
              </w:rPr>
              <w:t>4593.18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71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五</w:t>
            </w:r>
          </w:p>
        </w:tc>
        <w:tc>
          <w:tcPr>
            <w:tcW w:w="94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7"/>
                <w:sz w:val="21"/>
                <w:szCs w:val="21"/>
              </w:rPr>
              <w:t>投资估算扩大</w:t>
            </w:r>
          </w:p>
        </w:tc>
        <w:tc>
          <w:tcPr>
            <w:tcW w:w="831" w:type="pct"/>
            <w:vAlign w:val="center"/>
          </w:tcPr>
          <w:p>
            <w:pPr>
              <w:pStyle w:val="56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position w:val="2"/>
                <w:sz w:val="21"/>
                <w:szCs w:val="21"/>
              </w:rPr>
              <w:t>%</w:t>
            </w:r>
          </w:p>
        </w:tc>
        <w:tc>
          <w:tcPr>
            <w:tcW w:w="831" w:type="pct"/>
            <w:vAlign w:val="center"/>
          </w:tcPr>
          <w:p>
            <w:pPr>
              <w:pStyle w:val="56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8"/>
                <w:sz w:val="21"/>
                <w:szCs w:val="21"/>
              </w:rPr>
              <w:t>10</w:t>
            </w:r>
          </w:p>
        </w:tc>
        <w:tc>
          <w:tcPr>
            <w:tcW w:w="83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p>
        </w:tc>
        <w:tc>
          <w:tcPr>
            <w:tcW w:w="838" w:type="pct"/>
            <w:vAlign w:val="center"/>
          </w:tcPr>
          <w:p>
            <w:pPr>
              <w:pStyle w:val="56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3"/>
                <w:sz w:val="21"/>
                <w:szCs w:val="21"/>
              </w:rPr>
              <w:t>459.32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1667"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1"/>
                <w:sz w:val="21"/>
                <w:szCs w:val="21"/>
              </w:rPr>
              <w:t>合</w:t>
            </w:r>
            <w:r>
              <w:rPr>
                <w:rFonts w:hint="default" w:ascii="Times New Roman" w:hAnsi="Times New Roman" w:eastAsia="仿宋_GB2312" w:cs="Times New Roman"/>
                <w:spacing w:val="18"/>
                <w:sz w:val="21"/>
                <w:szCs w:val="21"/>
              </w:rPr>
              <w:t xml:space="preserve"> </w:t>
            </w:r>
            <w:r>
              <w:rPr>
                <w:rFonts w:hint="default" w:ascii="Times New Roman" w:hAnsi="Times New Roman" w:eastAsia="仿宋_GB2312" w:cs="Times New Roman"/>
                <w:spacing w:val="-1"/>
                <w:sz w:val="21"/>
                <w:szCs w:val="21"/>
              </w:rPr>
              <w:t>计</w:t>
            </w:r>
          </w:p>
        </w:tc>
        <w:tc>
          <w:tcPr>
            <w:tcW w:w="83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p>
        </w:tc>
        <w:tc>
          <w:tcPr>
            <w:tcW w:w="83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p>
        </w:tc>
        <w:tc>
          <w:tcPr>
            <w:tcW w:w="83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p>
        </w:tc>
        <w:tc>
          <w:tcPr>
            <w:tcW w:w="838" w:type="pct"/>
            <w:vAlign w:val="center"/>
          </w:tcPr>
          <w:p>
            <w:pPr>
              <w:pStyle w:val="56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3"/>
                <w:sz w:val="21"/>
                <w:szCs w:val="21"/>
              </w:rPr>
              <w:t>5052.50</w:t>
            </w:r>
          </w:p>
        </w:tc>
      </w:tr>
    </w:tbl>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val="0"/>
          <w:sz w:val="24"/>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val="0"/>
          <w:sz w:val="24"/>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val="0"/>
          <w:sz w:val="24"/>
          <w:highlight w:val="none"/>
        </w:rPr>
      </w:pPr>
    </w:p>
    <w:p>
      <w:pPr>
        <w:pageBreakBefore w:val="0"/>
        <w:kinsoku/>
        <w:wordWrap/>
        <w:bidi w:val="0"/>
        <w:jc w:val="center"/>
        <w:rPr>
          <w:rFonts w:hint="default" w:ascii="Times New Roman" w:hAnsi="Times New Roman" w:cs="Times New Roman"/>
          <w:highlight w:val="none"/>
        </w:rPr>
      </w:pPr>
      <w:r>
        <w:rPr>
          <w:rFonts w:hint="default" w:ascii="Times New Roman" w:hAnsi="Times New Roman" w:cs="Times New Roman"/>
          <w:highlight w:val="none"/>
        </w:rPr>
        <w:br w:type="page"/>
      </w:r>
    </w:p>
    <w:p>
      <w:pPr>
        <w:pageBreakBefore w:val="0"/>
        <w:kinsoku/>
        <w:wordWrap/>
        <w:bidi w:val="0"/>
        <w:spacing w:before="38"/>
        <w:ind w:right="1"/>
        <w:jc w:val="both"/>
        <w:rPr>
          <w:rFonts w:hint="eastAsia" w:cs="Times New Roman"/>
          <w:b/>
          <w:sz w:val="36"/>
          <w:szCs w:val="36"/>
          <w:highlight w:val="none"/>
          <w:lang w:val="en-US" w:eastAsia="zh-CN"/>
        </w:rPr>
      </w:pPr>
    </w:p>
    <w:p>
      <w:pPr>
        <w:pageBreakBefore w:val="0"/>
        <w:kinsoku/>
        <w:wordWrap/>
        <w:bidi w:val="0"/>
        <w:spacing w:before="38"/>
        <w:ind w:right="1"/>
        <w:jc w:val="center"/>
        <w:rPr>
          <w:rFonts w:hint="eastAsia" w:cs="Times New Roman"/>
          <w:b/>
          <w:sz w:val="36"/>
          <w:szCs w:val="36"/>
          <w:highlight w:val="none"/>
          <w:lang w:val="en-US" w:eastAsia="zh-CN"/>
        </w:rPr>
      </w:pPr>
      <w:r>
        <w:rPr>
          <w:rFonts w:hint="eastAsia" w:cs="Times New Roman"/>
          <w:b/>
          <w:sz w:val="36"/>
          <w:szCs w:val="36"/>
          <w:highlight w:val="none"/>
          <w:lang w:val="en-US" w:eastAsia="zh-CN"/>
        </w:rPr>
        <w:t>长春国际物流经济开发区新兴建材产业园区</w:t>
      </w:r>
    </w:p>
    <w:p>
      <w:pPr>
        <w:pageBreakBefore w:val="0"/>
        <w:kinsoku/>
        <w:wordWrap/>
        <w:bidi w:val="0"/>
        <w:spacing w:before="38"/>
        <w:ind w:right="1"/>
        <w:jc w:val="center"/>
        <w:rPr>
          <w:rFonts w:hint="default" w:ascii="Times New Roman" w:hAnsi="Times New Roman" w:eastAsia="宋体" w:cs="Times New Roman"/>
          <w:b/>
          <w:sz w:val="36"/>
          <w:szCs w:val="36"/>
          <w:highlight w:val="none"/>
          <w:lang w:eastAsia="zh-CN"/>
        </w:rPr>
      </w:pPr>
      <w:r>
        <w:rPr>
          <w:rFonts w:hint="eastAsia" w:cs="Times New Roman"/>
          <w:b/>
          <w:sz w:val="36"/>
          <w:szCs w:val="36"/>
          <w:highlight w:val="none"/>
          <w:lang w:val="en-US" w:eastAsia="zh-CN"/>
        </w:rPr>
        <w:t>建设</w:t>
      </w:r>
      <w:r>
        <w:rPr>
          <w:rFonts w:hint="eastAsia" w:cs="Times New Roman"/>
          <w:b/>
          <w:sz w:val="36"/>
          <w:szCs w:val="36"/>
          <w:highlight w:val="none"/>
          <w:lang w:eastAsia="zh-CN"/>
        </w:rPr>
        <w:t>项目（</w:t>
      </w:r>
      <w:r>
        <w:rPr>
          <w:rFonts w:hint="eastAsia" w:cs="Times New Roman"/>
          <w:b/>
          <w:sz w:val="36"/>
          <w:szCs w:val="36"/>
          <w:highlight w:val="none"/>
          <w:lang w:val="en-US" w:eastAsia="zh-CN"/>
        </w:rPr>
        <w:t>B地块补充</w:t>
      </w:r>
      <w:r>
        <w:rPr>
          <w:rFonts w:hint="eastAsia" w:cs="Times New Roman"/>
          <w:b/>
          <w:sz w:val="36"/>
          <w:szCs w:val="36"/>
          <w:highlight w:val="none"/>
          <w:lang w:eastAsia="zh-CN"/>
        </w:rPr>
        <w:t>）</w:t>
      </w:r>
    </w:p>
    <w:p>
      <w:pPr>
        <w:pStyle w:val="35"/>
        <w:pageBreakBefore w:val="0"/>
        <w:kinsoku/>
        <w:wordWrap/>
        <w:bidi w:val="0"/>
        <w:spacing w:before="7"/>
        <w:rPr>
          <w:rFonts w:hint="default" w:ascii="Times New Roman" w:hAnsi="Times New Roman" w:cs="Times New Roman"/>
          <w:b/>
          <w:sz w:val="38"/>
          <w:highlight w:val="none"/>
        </w:rPr>
      </w:pPr>
    </w:p>
    <w:p>
      <w:pPr>
        <w:pageBreakBefore w:val="0"/>
        <w:kinsoku/>
        <w:wordWrap/>
        <w:bidi w:val="0"/>
        <w:ind w:left="209" w:right="12"/>
        <w:jc w:val="center"/>
        <w:rPr>
          <w:rFonts w:hint="default" w:ascii="Times New Roman" w:hAnsi="Times New Roman" w:eastAsia="黑体" w:cs="Times New Roman"/>
          <w:b/>
          <w:sz w:val="72"/>
          <w:szCs w:val="72"/>
          <w:highlight w:val="none"/>
        </w:rPr>
      </w:pPr>
      <w:r>
        <w:rPr>
          <w:rFonts w:hint="default" w:ascii="Times New Roman" w:hAnsi="Times New Roman" w:eastAsia="黑体" w:cs="Times New Roman"/>
          <w:b/>
          <w:sz w:val="72"/>
          <w:szCs w:val="72"/>
          <w:highlight w:val="none"/>
        </w:rPr>
        <w:t>水土保持方案报告书</w:t>
      </w:r>
    </w:p>
    <w:p>
      <w:pPr>
        <w:pStyle w:val="152"/>
        <w:pageBreakBefore w:val="0"/>
        <w:kinsoku/>
        <w:wordWrap/>
        <w:bidi w:val="0"/>
        <w:rPr>
          <w:rFonts w:hint="default" w:ascii="Times New Roman" w:hAnsi="Times New Roman" w:cs="Times New Roman"/>
          <w:highlight w:val="none"/>
        </w:rPr>
      </w:pPr>
    </w:p>
    <w:p>
      <w:pPr>
        <w:pStyle w:val="35"/>
        <w:pageBreakBefore w:val="0"/>
        <w:kinsoku/>
        <w:wordWrap/>
        <w:bidi w:val="0"/>
        <w:jc w:val="center"/>
        <w:rPr>
          <w:rFonts w:hint="default" w:ascii="Times New Roman" w:hAnsi="Times New Roman" w:cs="Times New Roman"/>
          <w:b/>
          <w:sz w:val="44"/>
          <w:szCs w:val="44"/>
          <w:highlight w:val="none"/>
        </w:rPr>
      </w:pPr>
      <w:r>
        <w:rPr>
          <w:rFonts w:hint="default" w:ascii="Times New Roman" w:hAnsi="Times New Roman" w:cs="Times New Roman"/>
          <w:b/>
          <w:sz w:val="44"/>
          <w:szCs w:val="44"/>
          <w:highlight w:val="none"/>
        </w:rPr>
        <w:t>附件</w:t>
      </w:r>
    </w:p>
    <w:p>
      <w:pPr>
        <w:pStyle w:val="35"/>
        <w:pageBreakBefore w:val="0"/>
        <w:kinsoku/>
        <w:wordWrap/>
        <w:bidi w:val="0"/>
        <w:rPr>
          <w:rFonts w:hint="default" w:ascii="Times New Roman" w:hAnsi="Times New Roman" w:cs="Times New Roman"/>
          <w:b/>
          <w:sz w:val="44"/>
          <w:highlight w:val="none"/>
        </w:rPr>
      </w:pPr>
    </w:p>
    <w:p>
      <w:pPr>
        <w:pStyle w:val="35"/>
        <w:pageBreakBefore w:val="0"/>
        <w:kinsoku/>
        <w:wordWrap/>
        <w:bidi w:val="0"/>
        <w:rPr>
          <w:rFonts w:hint="default" w:ascii="Times New Roman" w:hAnsi="Times New Roman" w:cs="Times New Roman"/>
          <w:b/>
          <w:sz w:val="44"/>
          <w:highlight w:val="none"/>
        </w:rPr>
      </w:pPr>
    </w:p>
    <w:p>
      <w:pPr>
        <w:pStyle w:val="35"/>
        <w:pageBreakBefore w:val="0"/>
        <w:kinsoku/>
        <w:wordWrap/>
        <w:bidi w:val="0"/>
        <w:rPr>
          <w:rFonts w:hint="default" w:ascii="Times New Roman" w:hAnsi="Times New Roman" w:cs="Times New Roman"/>
          <w:b/>
          <w:sz w:val="44"/>
          <w:highlight w:val="none"/>
        </w:rPr>
      </w:pPr>
    </w:p>
    <w:p>
      <w:pPr>
        <w:pStyle w:val="35"/>
        <w:pageBreakBefore w:val="0"/>
        <w:kinsoku/>
        <w:wordWrap/>
        <w:bidi w:val="0"/>
        <w:rPr>
          <w:rFonts w:hint="default" w:ascii="Times New Roman" w:hAnsi="Times New Roman" w:cs="Times New Roman"/>
          <w:b/>
          <w:sz w:val="44"/>
          <w:highlight w:val="none"/>
        </w:rPr>
      </w:pPr>
    </w:p>
    <w:p>
      <w:pPr>
        <w:pStyle w:val="35"/>
        <w:pageBreakBefore w:val="0"/>
        <w:kinsoku/>
        <w:wordWrap/>
        <w:bidi w:val="0"/>
        <w:rPr>
          <w:rFonts w:hint="default" w:ascii="Times New Roman" w:hAnsi="Times New Roman" w:cs="Times New Roman"/>
          <w:b/>
          <w:sz w:val="44"/>
          <w:highlight w:val="none"/>
        </w:rPr>
      </w:pPr>
    </w:p>
    <w:p>
      <w:pPr>
        <w:pStyle w:val="35"/>
        <w:pageBreakBefore w:val="0"/>
        <w:kinsoku/>
        <w:wordWrap/>
        <w:bidi w:val="0"/>
        <w:rPr>
          <w:rFonts w:hint="default" w:ascii="Times New Roman" w:hAnsi="Times New Roman" w:cs="Times New Roman"/>
          <w:b/>
          <w:sz w:val="44"/>
          <w:highlight w:val="none"/>
        </w:rPr>
      </w:pPr>
    </w:p>
    <w:p>
      <w:pPr>
        <w:pStyle w:val="35"/>
        <w:pageBreakBefore w:val="0"/>
        <w:kinsoku/>
        <w:wordWrap/>
        <w:bidi w:val="0"/>
        <w:rPr>
          <w:rFonts w:hint="default" w:ascii="Times New Roman" w:hAnsi="Times New Roman" w:cs="Times New Roman"/>
          <w:b/>
          <w:sz w:val="44"/>
          <w:highlight w:val="none"/>
        </w:rPr>
      </w:pPr>
    </w:p>
    <w:p>
      <w:pPr>
        <w:pStyle w:val="35"/>
        <w:pageBreakBefore w:val="0"/>
        <w:kinsoku/>
        <w:wordWrap/>
        <w:bidi w:val="0"/>
        <w:rPr>
          <w:rFonts w:hint="default" w:ascii="Times New Roman" w:hAnsi="Times New Roman" w:cs="Times New Roman"/>
          <w:b/>
          <w:sz w:val="44"/>
          <w:highlight w:val="none"/>
        </w:rPr>
      </w:pPr>
    </w:p>
    <w:p>
      <w:pPr>
        <w:pStyle w:val="35"/>
        <w:pageBreakBefore w:val="0"/>
        <w:kinsoku/>
        <w:wordWrap/>
        <w:bidi w:val="0"/>
        <w:rPr>
          <w:rFonts w:hint="default" w:ascii="Times New Roman" w:hAnsi="Times New Roman" w:cs="Times New Roman"/>
          <w:b/>
          <w:sz w:val="44"/>
          <w:highlight w:val="none"/>
        </w:rPr>
      </w:pPr>
    </w:p>
    <w:p>
      <w:pPr>
        <w:pStyle w:val="35"/>
        <w:pageBreakBefore w:val="0"/>
        <w:kinsoku/>
        <w:wordWrap/>
        <w:bidi w:val="0"/>
        <w:rPr>
          <w:rFonts w:hint="default" w:ascii="Times New Roman" w:hAnsi="Times New Roman" w:cs="Times New Roman"/>
          <w:b/>
          <w:sz w:val="44"/>
          <w:highlight w:val="none"/>
        </w:rPr>
      </w:pPr>
    </w:p>
    <w:p>
      <w:pPr>
        <w:pStyle w:val="35"/>
        <w:pageBreakBefore w:val="0"/>
        <w:kinsoku/>
        <w:wordWrap/>
        <w:bidi w:val="0"/>
        <w:rPr>
          <w:rFonts w:hint="default" w:ascii="Times New Roman" w:hAnsi="Times New Roman" w:cs="Times New Roman"/>
          <w:b/>
          <w:sz w:val="44"/>
          <w:highlight w:val="none"/>
        </w:rPr>
      </w:pPr>
    </w:p>
    <w:p>
      <w:pPr>
        <w:pStyle w:val="35"/>
        <w:pageBreakBefore w:val="0"/>
        <w:kinsoku/>
        <w:wordWrap/>
        <w:bidi w:val="0"/>
        <w:rPr>
          <w:rFonts w:hint="default" w:ascii="Times New Roman" w:hAnsi="Times New Roman" w:cs="Times New Roman"/>
          <w:b/>
          <w:sz w:val="44"/>
          <w:highlight w:val="none"/>
        </w:rPr>
      </w:pPr>
    </w:p>
    <w:p>
      <w:pPr>
        <w:pStyle w:val="35"/>
        <w:pageBreakBefore w:val="0"/>
        <w:kinsoku/>
        <w:wordWrap/>
        <w:bidi w:val="0"/>
        <w:spacing w:before="2"/>
        <w:rPr>
          <w:rFonts w:hint="default" w:ascii="Times New Roman" w:hAnsi="Times New Roman" w:cs="Times New Roman"/>
          <w:b/>
          <w:sz w:val="36"/>
          <w:highlight w:val="none"/>
        </w:rPr>
      </w:pPr>
    </w:p>
    <w:p>
      <w:pPr>
        <w:pageBreakBefore w:val="0"/>
        <w:kinsoku/>
        <w:wordWrap/>
        <w:bidi w:val="0"/>
        <w:ind w:left="1349"/>
        <w:jc w:val="left"/>
        <w:rPr>
          <w:rFonts w:hint="default" w:ascii="Times New Roman" w:hAnsi="Times New Roman" w:eastAsia="宋体" w:cs="Times New Roman"/>
          <w:sz w:val="32"/>
          <w:highlight w:val="none"/>
          <w:lang w:eastAsia="zh-CN"/>
        </w:rPr>
      </w:pPr>
      <w:r>
        <w:rPr>
          <w:rFonts w:hint="default" w:ascii="Times New Roman" w:hAnsi="Times New Roman" w:cs="Times New Roman"/>
          <w:sz w:val="32"/>
          <w:highlight w:val="none"/>
        </w:rPr>
        <w:t>建设单位：</w:t>
      </w:r>
      <w:r>
        <w:rPr>
          <w:rFonts w:hint="default" w:ascii="Times New Roman" w:hAnsi="Times New Roman" w:cs="Times New Roman"/>
          <w:sz w:val="32"/>
          <w:highlight w:val="none"/>
          <w:lang w:eastAsia="zh-CN"/>
        </w:rPr>
        <w:t>长春市瑞通投资有限公司</w:t>
      </w:r>
    </w:p>
    <w:p>
      <w:pPr>
        <w:pageBreakBefore w:val="0"/>
        <w:tabs>
          <w:tab w:val="left" w:pos="5288"/>
        </w:tabs>
        <w:kinsoku/>
        <w:wordWrap/>
        <w:bidi w:val="0"/>
        <w:spacing w:before="214" w:line="604" w:lineRule="auto"/>
        <w:ind w:left="3128" w:right="228" w:hanging="1779"/>
        <w:jc w:val="left"/>
        <w:rPr>
          <w:rFonts w:hint="default" w:ascii="Times New Roman" w:hAnsi="Times New Roman" w:cs="Times New Roman"/>
          <w:sz w:val="32"/>
          <w:highlight w:val="none"/>
          <w:lang w:eastAsia="zh-CN"/>
        </w:rPr>
      </w:pPr>
      <w:r>
        <w:rPr>
          <w:rFonts w:hint="default" w:ascii="Times New Roman" w:hAnsi="Times New Roman" w:cs="Times New Roman"/>
          <w:sz w:val="32"/>
          <w:highlight w:val="none"/>
        </w:rPr>
        <w:t>编制单位：</w:t>
      </w:r>
      <w:r>
        <w:rPr>
          <w:rFonts w:hint="eastAsia" w:cs="Times New Roman"/>
          <w:sz w:val="32"/>
          <w:highlight w:val="none"/>
          <w:lang w:eastAsia="zh-CN"/>
        </w:rPr>
        <w:t>吉林省晟元工程咨询有限公司</w:t>
      </w:r>
    </w:p>
    <w:p>
      <w:pPr>
        <w:pStyle w:val="87"/>
        <w:rPr>
          <w:rFonts w:hint="default" w:ascii="Times New Roman" w:hAnsi="Times New Roman" w:cs="Times New Roman"/>
          <w:sz w:val="32"/>
          <w:highlight w:val="none"/>
          <w:lang w:eastAsia="zh-CN"/>
        </w:rPr>
      </w:pPr>
    </w:p>
    <w:p>
      <w:pPr>
        <w:rPr>
          <w:rFonts w:hint="default" w:ascii="Times New Roman" w:hAnsi="Times New Roman" w:cs="Times New Roman"/>
          <w:sz w:val="32"/>
          <w:highlight w:val="none"/>
          <w:lang w:eastAsia="zh-CN"/>
        </w:rPr>
      </w:pPr>
    </w:p>
    <w:p>
      <w:pPr>
        <w:pStyle w:val="87"/>
        <w:rPr>
          <w:rFonts w:hint="default" w:ascii="Times New Roman" w:hAnsi="Times New Roman" w:cs="Times New Roman"/>
          <w:lang w:eastAsia="zh-CN"/>
        </w:rPr>
        <w:sectPr>
          <w:headerReference r:id="rId34" w:type="default"/>
          <w:footerReference r:id="rId35" w:type="default"/>
          <w:pgSz w:w="11910" w:h="16850"/>
          <w:pgMar w:top="1440" w:right="1800" w:bottom="1440" w:left="1800" w:header="720" w:footer="720" w:gutter="0"/>
          <w:pgBorders>
            <w:top w:val="none" w:sz="0" w:space="0"/>
            <w:left w:val="none" w:sz="0" w:space="0"/>
            <w:bottom w:val="none" w:sz="0" w:space="0"/>
            <w:right w:val="none" w:sz="0" w:space="0"/>
          </w:pgBorders>
          <w:pgNumType w:fmt="decimal"/>
          <w:cols w:space="720" w:num="1"/>
        </w:sect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b/>
          <w:bCs/>
          <w:sz w:val="28"/>
          <w:szCs w:val="28"/>
          <w:highlight w:val="none"/>
          <w:lang w:val="en-US" w:eastAsia="zh-CN"/>
        </w:rPr>
      </w:pPr>
      <w:r>
        <w:rPr>
          <w:rFonts w:hint="default" w:ascii="Times New Roman" w:hAnsi="Times New Roman" w:eastAsia="仿宋_GB2312" w:cs="Times New Roman"/>
          <w:b/>
          <w:bCs/>
          <w:sz w:val="28"/>
          <w:szCs w:val="28"/>
          <w:highlight w:val="none"/>
          <w:lang w:val="en-US" w:eastAsia="zh-CN"/>
        </w:rPr>
        <w:t>附件1：项目委托书</w:t>
      </w:r>
    </w:p>
    <w:p>
      <w:pPr>
        <w:pageBreakBefore w:val="0"/>
        <w:kinsoku/>
        <w:wordWrap/>
        <w:bidi w:val="0"/>
        <w:spacing w:before="130" w:line="219" w:lineRule="auto"/>
        <w:ind w:left="1980"/>
        <w:rPr>
          <w:rFonts w:hint="default" w:ascii="Times New Roman" w:hAnsi="Times New Roman" w:eastAsia="宋体" w:cs="Times New Roman"/>
          <w:sz w:val="40"/>
          <w:szCs w:val="40"/>
        </w:rPr>
      </w:pPr>
      <w:r>
        <w:rPr>
          <w:rFonts w:hint="default" w:ascii="Times New Roman" w:hAnsi="Times New Roman" w:eastAsia="宋体" w:cs="Times New Roman"/>
          <w:spacing w:val="-1"/>
          <w:sz w:val="40"/>
          <w:szCs w:val="40"/>
          <w14:textOutline w14:w="7282" w14:cap="sq" w14:cmpd="sng">
            <w14:solidFill>
              <w14:srgbClr w14:val="000000"/>
            </w14:solidFill>
            <w14:prstDash w14:val="solid"/>
            <w14:bevel/>
          </w14:textOutline>
        </w:rPr>
        <w:t>水土保持方</w:t>
      </w:r>
      <w:r>
        <w:rPr>
          <w:rFonts w:hint="default" w:ascii="Times New Roman" w:hAnsi="Times New Roman" w:eastAsia="宋体" w:cs="Times New Roman"/>
          <w:sz w:val="40"/>
          <w:szCs w:val="40"/>
          <w14:textOutline w14:w="7282" w14:cap="sq" w14:cmpd="sng">
            <w14:solidFill>
              <w14:srgbClr w14:val="000000"/>
            </w14:solidFill>
            <w14:prstDash w14:val="solid"/>
            <w14:bevel/>
          </w14:textOutline>
        </w:rPr>
        <w:t>案编制委托书</w:t>
      </w:r>
    </w:p>
    <w:p>
      <w:pPr>
        <w:pageBreakBefore w:val="0"/>
        <w:kinsoku/>
        <w:wordWrap/>
        <w:bidi w:val="0"/>
        <w:spacing w:line="475" w:lineRule="auto"/>
        <w:rPr>
          <w:rFonts w:hint="default" w:ascii="Times New Roman" w:hAnsi="Times New Roman" w:cs="Times New Roman"/>
          <w:sz w:val="21"/>
        </w:rPr>
      </w:pPr>
    </w:p>
    <w:p>
      <w:pPr>
        <w:keepNext w:val="0"/>
        <w:keepLines w:val="0"/>
        <w:pageBreakBefore w:val="0"/>
        <w:widowControl/>
        <w:kinsoku/>
        <w:wordWrap/>
        <w:overflowPunct/>
        <w:topLinePunct w:val="0"/>
        <w:autoSpaceDE w:val="0"/>
        <w:autoSpaceDN w:val="0"/>
        <w:bidi w:val="0"/>
        <w:adjustRightInd w:val="0"/>
        <w:snapToGrid w:val="0"/>
        <w:spacing w:line="360" w:lineRule="auto"/>
        <w:jc w:val="both"/>
        <w:textAlignment w:val="baseline"/>
        <w:rPr>
          <w:rFonts w:hint="default" w:ascii="Times New Roman" w:hAnsi="Times New Roman" w:eastAsia="宋体" w:cs="Times New Roman"/>
          <w:sz w:val="28"/>
          <w:szCs w:val="28"/>
        </w:rPr>
      </w:pPr>
      <w:r>
        <w:rPr>
          <w:rFonts w:hint="eastAsia" w:cs="Times New Roman"/>
          <w:sz w:val="28"/>
          <w:szCs w:val="28"/>
          <w:lang w:val="en-US" w:eastAsia="zh-CN"/>
        </w:rPr>
        <w:t>吉林省晟元工程咨询有限公司</w:t>
      </w:r>
      <w:r>
        <w:rPr>
          <w:rFonts w:hint="default" w:ascii="Times New Roman" w:hAnsi="Times New Roman" w:eastAsia="宋体" w:cs="Times New Roman"/>
          <w:sz w:val="28"/>
          <w:szCs w:val="28"/>
        </w:rPr>
        <w:t>：</w:t>
      </w:r>
    </w:p>
    <w:p>
      <w:pPr>
        <w:keepNext w:val="0"/>
        <w:keepLines w:val="0"/>
        <w:pageBreakBefore w:val="0"/>
        <w:widowControl/>
        <w:kinsoku/>
        <w:wordWrap/>
        <w:overflowPunct/>
        <w:topLinePunct w:val="0"/>
        <w:autoSpaceDE w:val="0"/>
        <w:autoSpaceDN w:val="0"/>
        <w:bidi w:val="0"/>
        <w:adjustRightInd w:val="0"/>
        <w:snapToGrid w:val="0"/>
        <w:spacing w:line="360" w:lineRule="auto"/>
        <w:ind w:firstLine="560" w:firstLineChars="200"/>
        <w:jc w:val="both"/>
        <w:textAlignment w:val="baseline"/>
        <w:rPr>
          <w:rFonts w:hint="default" w:ascii="Times New Roman" w:hAnsi="Times New Roman" w:eastAsia="宋体" w:cs="Times New Roman"/>
          <w:sz w:val="28"/>
          <w:szCs w:val="28"/>
        </w:rPr>
      </w:pPr>
      <w:r>
        <w:rPr>
          <w:rFonts w:hint="default" w:ascii="Times New Roman" w:hAnsi="Times New Roman" w:eastAsia="宋体" w:cs="Times New Roman"/>
          <w:sz w:val="28"/>
          <w:szCs w:val="28"/>
        </w:rPr>
        <w:t>根据《中华人民共和国水土保持法》及其有关法规关于生产建设项目必须编报水土保持方案的规定，今特委托贵单位编制《</w:t>
      </w:r>
      <w:r>
        <w:rPr>
          <w:rFonts w:hint="default" w:ascii="Times New Roman" w:hAnsi="Times New Roman" w:eastAsia="宋体" w:cs="Times New Roman"/>
          <w:sz w:val="28"/>
          <w:szCs w:val="28"/>
          <w:lang w:val="en-US" w:eastAsia="zh-CN"/>
        </w:rPr>
        <w:t>长春国际物流经济开发区新兴建材产业园区建设</w:t>
      </w:r>
      <w:r>
        <w:rPr>
          <w:rFonts w:hint="eastAsia" w:cs="Times New Roman"/>
          <w:sz w:val="28"/>
          <w:szCs w:val="28"/>
          <w:lang w:eastAsia="zh-CN"/>
        </w:rPr>
        <w:t>项目</w:t>
      </w:r>
      <w:r>
        <w:rPr>
          <w:rFonts w:hint="default" w:ascii="Times New Roman" w:hAnsi="Times New Roman" w:eastAsia="宋体" w:cs="Times New Roman"/>
          <w:sz w:val="28"/>
          <w:szCs w:val="28"/>
        </w:rPr>
        <w:t>水土保持方案报告书》。</w:t>
      </w:r>
    </w:p>
    <w:p>
      <w:pPr>
        <w:keepNext w:val="0"/>
        <w:keepLines w:val="0"/>
        <w:pageBreakBefore w:val="0"/>
        <w:widowControl/>
        <w:kinsoku/>
        <w:wordWrap/>
        <w:overflowPunct/>
        <w:topLinePunct w:val="0"/>
        <w:autoSpaceDE w:val="0"/>
        <w:autoSpaceDN w:val="0"/>
        <w:bidi w:val="0"/>
        <w:adjustRightInd w:val="0"/>
        <w:snapToGrid w:val="0"/>
        <w:spacing w:line="360" w:lineRule="auto"/>
        <w:ind w:firstLine="560" w:firstLineChars="200"/>
        <w:jc w:val="both"/>
        <w:textAlignment w:val="baseline"/>
        <w:rPr>
          <w:rFonts w:hint="default" w:ascii="Times New Roman" w:hAnsi="Times New Roman" w:eastAsia="宋体" w:cs="Times New Roman"/>
          <w:sz w:val="28"/>
          <w:szCs w:val="28"/>
        </w:rPr>
      </w:pPr>
      <w:r>
        <w:rPr>
          <w:rFonts w:hint="default" w:ascii="Times New Roman" w:hAnsi="Times New Roman" w:eastAsia="宋体" w:cs="Times New Roman"/>
          <w:sz w:val="28"/>
          <w:szCs w:val="28"/>
        </w:rPr>
        <w:t>具体要求如下：</w:t>
      </w:r>
    </w:p>
    <w:p>
      <w:pPr>
        <w:keepNext w:val="0"/>
        <w:keepLines w:val="0"/>
        <w:pageBreakBefore w:val="0"/>
        <w:widowControl/>
        <w:kinsoku/>
        <w:wordWrap/>
        <w:overflowPunct/>
        <w:topLinePunct w:val="0"/>
        <w:autoSpaceDE w:val="0"/>
        <w:autoSpaceDN w:val="0"/>
        <w:bidi w:val="0"/>
        <w:adjustRightInd w:val="0"/>
        <w:snapToGrid w:val="0"/>
        <w:spacing w:line="360" w:lineRule="auto"/>
        <w:ind w:firstLine="560" w:firstLineChars="200"/>
        <w:jc w:val="both"/>
        <w:textAlignment w:val="baseline"/>
        <w:rPr>
          <w:rFonts w:hint="default" w:ascii="Times New Roman" w:hAnsi="Times New Roman" w:eastAsia="宋体" w:cs="Times New Roman"/>
          <w:sz w:val="28"/>
          <w:szCs w:val="28"/>
        </w:rPr>
      </w:pPr>
      <w:r>
        <w:rPr>
          <w:rFonts w:hint="default" w:ascii="Times New Roman" w:hAnsi="Times New Roman" w:eastAsia="宋体" w:cs="Times New Roman"/>
          <w:sz w:val="28"/>
          <w:szCs w:val="28"/>
        </w:rPr>
        <w:t>1、报告书内容应满足《生产建设项目水土保持技术标准》</w:t>
      </w:r>
      <w:r>
        <w:rPr>
          <w:rFonts w:hint="default" w:ascii="Times New Roman" w:hAnsi="Times New Roman" w:cs="Times New Roman"/>
          <w:sz w:val="28"/>
          <w:szCs w:val="28"/>
          <w:lang w:eastAsia="zh-CN"/>
        </w:rPr>
        <w:t>（</w:t>
      </w:r>
      <w:r>
        <w:rPr>
          <w:rFonts w:hint="default" w:ascii="Times New Roman" w:hAnsi="Times New Roman" w:eastAsia="宋体" w:cs="Times New Roman"/>
          <w:sz w:val="28"/>
          <w:szCs w:val="28"/>
        </w:rPr>
        <w:t>GB50433-2018</w:t>
      </w:r>
      <w:r>
        <w:rPr>
          <w:rFonts w:hint="default" w:ascii="Times New Roman" w:hAnsi="Times New Roman" w:cs="Times New Roman"/>
          <w:sz w:val="28"/>
          <w:szCs w:val="28"/>
          <w:lang w:eastAsia="zh-CN"/>
        </w:rPr>
        <w:t>）</w:t>
      </w:r>
      <w:r>
        <w:rPr>
          <w:rFonts w:hint="default" w:ascii="Times New Roman" w:hAnsi="Times New Roman" w:eastAsia="宋体" w:cs="Times New Roman"/>
          <w:sz w:val="28"/>
          <w:szCs w:val="28"/>
        </w:rPr>
        <w:t>的要求，并达到与之相适应的水土保持设计深度；</w:t>
      </w:r>
    </w:p>
    <w:p>
      <w:pPr>
        <w:keepNext w:val="0"/>
        <w:keepLines w:val="0"/>
        <w:pageBreakBefore w:val="0"/>
        <w:widowControl/>
        <w:kinsoku/>
        <w:wordWrap/>
        <w:overflowPunct/>
        <w:topLinePunct w:val="0"/>
        <w:autoSpaceDE w:val="0"/>
        <w:autoSpaceDN w:val="0"/>
        <w:bidi w:val="0"/>
        <w:adjustRightInd w:val="0"/>
        <w:snapToGrid w:val="0"/>
        <w:spacing w:line="360" w:lineRule="auto"/>
        <w:ind w:firstLine="560" w:firstLineChars="200"/>
        <w:jc w:val="both"/>
        <w:textAlignment w:val="baseline"/>
        <w:rPr>
          <w:rFonts w:hint="default" w:ascii="Times New Roman" w:hAnsi="Times New Roman" w:eastAsia="宋体" w:cs="Times New Roman"/>
          <w:sz w:val="28"/>
          <w:szCs w:val="28"/>
        </w:rPr>
      </w:pPr>
      <w:r>
        <w:rPr>
          <w:rFonts w:hint="default" w:ascii="Times New Roman" w:hAnsi="Times New Roman" w:eastAsia="宋体" w:cs="Times New Roman"/>
          <w:sz w:val="28"/>
          <w:szCs w:val="28"/>
        </w:rPr>
        <w:t>2、方案应根据《生产建设项目水土保持技术标准》进行科学合理的编制；</w:t>
      </w:r>
    </w:p>
    <w:p>
      <w:pPr>
        <w:keepNext w:val="0"/>
        <w:keepLines w:val="0"/>
        <w:pageBreakBefore w:val="0"/>
        <w:widowControl/>
        <w:kinsoku/>
        <w:wordWrap/>
        <w:overflowPunct/>
        <w:topLinePunct w:val="0"/>
        <w:autoSpaceDE w:val="0"/>
        <w:autoSpaceDN w:val="0"/>
        <w:bidi w:val="0"/>
        <w:adjustRightInd w:val="0"/>
        <w:snapToGrid w:val="0"/>
        <w:spacing w:line="360" w:lineRule="auto"/>
        <w:ind w:firstLine="560" w:firstLineChars="200"/>
        <w:jc w:val="both"/>
        <w:textAlignment w:val="baseline"/>
        <w:rPr>
          <w:rFonts w:hint="default" w:ascii="Times New Roman" w:hAnsi="Times New Roman" w:eastAsia="宋体" w:cs="Times New Roman"/>
          <w:sz w:val="28"/>
          <w:szCs w:val="28"/>
        </w:rPr>
      </w:pPr>
      <w:r>
        <w:rPr>
          <w:rFonts w:hint="default" w:ascii="Times New Roman" w:hAnsi="Times New Roman" w:eastAsia="宋体" w:cs="Times New Roman"/>
          <w:sz w:val="28"/>
          <w:szCs w:val="28"/>
        </w:rPr>
        <w:t>3、方案应做到设计合理、措施完善，并能有效起到防治水土流失和改善生态环境的要求。</w:t>
      </w:r>
    </w:p>
    <w:p>
      <w:pPr>
        <w:keepNext w:val="0"/>
        <w:keepLines w:val="0"/>
        <w:pageBreakBefore w:val="0"/>
        <w:widowControl/>
        <w:kinsoku/>
        <w:wordWrap/>
        <w:overflowPunct/>
        <w:topLinePunct w:val="0"/>
        <w:autoSpaceDE w:val="0"/>
        <w:autoSpaceDN w:val="0"/>
        <w:bidi w:val="0"/>
        <w:adjustRightInd w:val="0"/>
        <w:snapToGrid w:val="0"/>
        <w:spacing w:line="360" w:lineRule="auto"/>
        <w:ind w:firstLine="560" w:firstLineChars="200"/>
        <w:jc w:val="both"/>
        <w:textAlignment w:val="baseline"/>
        <w:rPr>
          <w:rFonts w:hint="default" w:ascii="Times New Roman" w:hAnsi="Times New Roman" w:eastAsia="宋体" w:cs="Times New Roman"/>
          <w:sz w:val="28"/>
          <w:szCs w:val="28"/>
        </w:rPr>
      </w:pPr>
      <w:r>
        <w:rPr>
          <w:rFonts w:hint="default" w:ascii="Times New Roman" w:hAnsi="Times New Roman" w:eastAsia="宋体" w:cs="Times New Roman"/>
          <w:sz w:val="28"/>
          <w:szCs w:val="28"/>
        </w:rPr>
        <w:t>望贵单位接到此委托书后，及时组织技术人员开展工作，如期完成此项工作。</w:t>
      </w:r>
    </w:p>
    <w:p>
      <w:pPr>
        <w:keepNext w:val="0"/>
        <w:keepLines w:val="0"/>
        <w:pageBreakBefore w:val="0"/>
        <w:widowControl/>
        <w:kinsoku/>
        <w:wordWrap/>
        <w:overflowPunct/>
        <w:topLinePunct w:val="0"/>
        <w:autoSpaceDE w:val="0"/>
        <w:autoSpaceDN w:val="0"/>
        <w:bidi w:val="0"/>
        <w:adjustRightInd w:val="0"/>
        <w:snapToGrid w:val="0"/>
        <w:spacing w:line="360" w:lineRule="auto"/>
        <w:ind w:firstLine="560" w:firstLineChars="200"/>
        <w:jc w:val="both"/>
        <w:textAlignment w:val="baseline"/>
        <w:rPr>
          <w:rFonts w:hint="default" w:ascii="Times New Roman" w:hAnsi="Times New Roman" w:eastAsia="宋体" w:cs="Times New Roman"/>
          <w:sz w:val="28"/>
          <w:szCs w:val="28"/>
        </w:rPr>
      </w:pPr>
    </w:p>
    <w:p>
      <w:pPr>
        <w:keepNext w:val="0"/>
        <w:keepLines w:val="0"/>
        <w:pageBreakBefore w:val="0"/>
        <w:widowControl/>
        <w:kinsoku/>
        <w:wordWrap/>
        <w:overflowPunct/>
        <w:topLinePunct w:val="0"/>
        <w:autoSpaceDE w:val="0"/>
        <w:autoSpaceDN w:val="0"/>
        <w:bidi w:val="0"/>
        <w:adjustRightInd w:val="0"/>
        <w:snapToGrid w:val="0"/>
        <w:spacing w:line="360" w:lineRule="auto"/>
        <w:ind w:firstLine="560" w:firstLineChars="200"/>
        <w:jc w:val="both"/>
        <w:textAlignment w:val="baseline"/>
        <w:rPr>
          <w:rFonts w:hint="default" w:ascii="Times New Roman" w:hAnsi="Times New Roman" w:eastAsia="宋体" w:cs="Times New Roman"/>
          <w:sz w:val="28"/>
          <w:szCs w:val="28"/>
        </w:rPr>
      </w:pPr>
    </w:p>
    <w:p>
      <w:pPr>
        <w:keepNext w:val="0"/>
        <w:keepLines w:val="0"/>
        <w:pageBreakBefore w:val="0"/>
        <w:widowControl/>
        <w:kinsoku/>
        <w:wordWrap/>
        <w:overflowPunct/>
        <w:topLinePunct w:val="0"/>
        <w:autoSpaceDE w:val="0"/>
        <w:autoSpaceDN w:val="0"/>
        <w:bidi w:val="0"/>
        <w:adjustRightInd w:val="0"/>
        <w:snapToGrid w:val="0"/>
        <w:spacing w:line="360" w:lineRule="auto"/>
        <w:ind w:firstLine="560" w:firstLineChars="200"/>
        <w:jc w:val="both"/>
        <w:textAlignment w:val="baseline"/>
        <w:rPr>
          <w:rFonts w:hint="default" w:ascii="Times New Roman" w:hAnsi="Times New Roman" w:eastAsia="宋体" w:cs="Times New Roman"/>
          <w:sz w:val="28"/>
          <w:szCs w:val="28"/>
        </w:rPr>
      </w:pPr>
    </w:p>
    <w:p>
      <w:pPr>
        <w:keepNext w:val="0"/>
        <w:keepLines w:val="0"/>
        <w:pageBreakBefore w:val="0"/>
        <w:widowControl/>
        <w:kinsoku/>
        <w:wordWrap/>
        <w:overflowPunct/>
        <w:topLinePunct w:val="0"/>
        <w:autoSpaceDE w:val="0"/>
        <w:autoSpaceDN w:val="0"/>
        <w:bidi w:val="0"/>
        <w:adjustRightInd w:val="0"/>
        <w:snapToGrid w:val="0"/>
        <w:spacing w:line="360" w:lineRule="auto"/>
        <w:ind w:firstLine="560" w:firstLineChars="200"/>
        <w:jc w:val="both"/>
        <w:textAlignment w:val="baseline"/>
        <w:rPr>
          <w:rFonts w:hint="default" w:ascii="Times New Roman" w:hAnsi="Times New Roman" w:eastAsia="宋体" w:cs="Times New Roman"/>
          <w:sz w:val="28"/>
          <w:szCs w:val="28"/>
        </w:rPr>
      </w:pPr>
    </w:p>
    <w:p>
      <w:pPr>
        <w:keepNext w:val="0"/>
        <w:keepLines w:val="0"/>
        <w:pageBreakBefore w:val="0"/>
        <w:widowControl/>
        <w:kinsoku/>
        <w:wordWrap/>
        <w:overflowPunct/>
        <w:topLinePunct w:val="0"/>
        <w:autoSpaceDE w:val="0"/>
        <w:autoSpaceDN w:val="0"/>
        <w:bidi w:val="0"/>
        <w:adjustRightInd w:val="0"/>
        <w:snapToGrid w:val="0"/>
        <w:spacing w:line="360" w:lineRule="auto"/>
        <w:ind w:firstLine="560" w:firstLineChars="200"/>
        <w:jc w:val="right"/>
        <w:textAlignment w:val="baseline"/>
        <w:rPr>
          <w:rFonts w:hint="default" w:ascii="Times New Roman" w:hAnsi="Times New Roman" w:eastAsia="宋体" w:cs="Times New Roman"/>
          <w:sz w:val="28"/>
          <w:szCs w:val="28"/>
        </w:rPr>
      </w:pPr>
      <w:r>
        <w:rPr>
          <w:rFonts w:hint="default" w:ascii="Times New Roman" w:hAnsi="Times New Roman" w:eastAsia="宋体" w:cs="Times New Roman"/>
          <w:sz w:val="28"/>
          <w:szCs w:val="28"/>
        </w:rPr>
        <w:t>委托方</w:t>
      </w:r>
      <w:r>
        <w:rPr>
          <w:rFonts w:hint="default" w:ascii="Times New Roman" w:hAnsi="Times New Roman" w:eastAsia="宋体" w:cs="Times New Roman"/>
          <w:sz w:val="28"/>
          <w:szCs w:val="28"/>
          <w:lang w:eastAsia="zh-CN"/>
        </w:rPr>
        <w:t>（</w:t>
      </w:r>
      <w:r>
        <w:rPr>
          <w:rFonts w:hint="default" w:ascii="Times New Roman" w:hAnsi="Times New Roman" w:eastAsia="宋体" w:cs="Times New Roman"/>
          <w:sz w:val="28"/>
          <w:szCs w:val="28"/>
        </w:rPr>
        <w:t>盖章</w:t>
      </w:r>
      <w:r>
        <w:rPr>
          <w:rFonts w:hint="default" w:ascii="Times New Roman" w:hAnsi="Times New Roman" w:eastAsia="宋体" w:cs="Times New Roman"/>
          <w:sz w:val="28"/>
          <w:szCs w:val="28"/>
          <w:lang w:eastAsia="zh-CN"/>
        </w:rPr>
        <w:t>）：</w:t>
      </w:r>
      <w:r>
        <w:rPr>
          <w:rFonts w:hint="default" w:ascii="Times New Roman" w:hAnsi="Times New Roman" w:eastAsia="宋体" w:cs="Times New Roman"/>
          <w:sz w:val="28"/>
          <w:szCs w:val="28"/>
        </w:rPr>
        <w:t>长春市瑞通投资有限公司</w:t>
      </w:r>
    </w:p>
    <w:p>
      <w:pPr>
        <w:keepNext w:val="0"/>
        <w:keepLines w:val="0"/>
        <w:pageBreakBefore w:val="0"/>
        <w:widowControl/>
        <w:kinsoku/>
        <w:wordWrap/>
        <w:overflowPunct/>
        <w:topLinePunct w:val="0"/>
        <w:autoSpaceDE w:val="0"/>
        <w:autoSpaceDN w:val="0"/>
        <w:bidi w:val="0"/>
        <w:adjustRightInd w:val="0"/>
        <w:snapToGrid w:val="0"/>
        <w:spacing w:line="360" w:lineRule="auto"/>
        <w:ind w:firstLine="560" w:firstLineChars="200"/>
        <w:jc w:val="both"/>
        <w:textAlignment w:val="baseline"/>
        <w:rPr>
          <w:rFonts w:hint="default" w:ascii="Times New Roman" w:hAnsi="Times New Roman" w:eastAsia="宋体" w:cs="Times New Roman"/>
          <w:sz w:val="28"/>
          <w:szCs w:val="28"/>
        </w:rPr>
      </w:pPr>
    </w:p>
    <w:p>
      <w:pPr>
        <w:keepNext w:val="0"/>
        <w:keepLines w:val="0"/>
        <w:pageBreakBefore w:val="0"/>
        <w:widowControl/>
        <w:kinsoku/>
        <w:wordWrap/>
        <w:overflowPunct/>
        <w:topLinePunct w:val="0"/>
        <w:autoSpaceDE w:val="0"/>
        <w:autoSpaceDN w:val="0"/>
        <w:bidi w:val="0"/>
        <w:adjustRightInd w:val="0"/>
        <w:snapToGrid w:val="0"/>
        <w:spacing w:line="360" w:lineRule="auto"/>
        <w:ind w:firstLine="5040" w:firstLineChars="1800"/>
        <w:jc w:val="both"/>
        <w:textAlignment w:val="baseline"/>
        <w:rPr>
          <w:rFonts w:hint="default" w:ascii="Times New Roman" w:hAnsi="Times New Roman" w:eastAsia="宋体" w:cs="Times New Roman"/>
          <w:sz w:val="28"/>
          <w:szCs w:val="28"/>
        </w:rPr>
      </w:pPr>
      <w:r>
        <w:rPr>
          <w:rFonts w:hint="eastAsia" w:cs="Times New Roman"/>
          <w:sz w:val="28"/>
          <w:szCs w:val="28"/>
          <w:lang w:eastAsia="zh-CN"/>
        </w:rPr>
        <w:t>2023年5月</w:t>
      </w:r>
      <w:r>
        <w:rPr>
          <w:rFonts w:hint="default" w:ascii="Times New Roman" w:hAnsi="Times New Roman" w:eastAsia="宋体" w:cs="Times New Roman"/>
          <w:sz w:val="28"/>
          <w:szCs w:val="28"/>
          <w:lang w:val="en-US" w:eastAsia="zh-CN"/>
        </w:rPr>
        <w:t>5</w:t>
      </w:r>
      <w:r>
        <w:rPr>
          <w:rFonts w:hint="default" w:ascii="Times New Roman" w:hAnsi="Times New Roman" w:eastAsia="宋体" w:cs="Times New Roman"/>
          <w:sz w:val="28"/>
          <w:szCs w:val="28"/>
        </w:rPr>
        <w:t>日</w:t>
      </w:r>
    </w:p>
    <w:p>
      <w:pPr>
        <w:pStyle w:val="153"/>
        <w:pageBreakBefore w:val="0"/>
        <w:kinsoku/>
        <w:wordWrap/>
        <w:bidi w:val="0"/>
        <w:ind w:left="0" w:leftChars="0" w:firstLine="0" w:firstLineChars="0"/>
        <w:rPr>
          <w:rFonts w:hint="default" w:ascii="Times New Roman" w:hAnsi="Times New Roman" w:eastAsia="仿宋_GB2312" w:cs="Times New Roman"/>
          <w:b/>
          <w:bCs/>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b/>
          <w:bCs/>
          <w:sz w:val="28"/>
          <w:szCs w:val="28"/>
          <w:highlight w:val="none"/>
          <w:lang w:val="en-US" w:eastAsia="zh-CN"/>
        </w:rPr>
        <w:sectPr>
          <w:headerReference r:id="rId36" w:type="default"/>
          <w:headerReference r:id="rId37" w:type="even"/>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b/>
          <w:bCs/>
          <w:sz w:val="28"/>
          <w:szCs w:val="28"/>
          <w:highlight w:val="none"/>
          <w:lang w:val="en-US" w:eastAsia="zh-CN"/>
        </w:rPr>
      </w:pPr>
      <w:r>
        <w:rPr>
          <w:rFonts w:hint="default" w:ascii="Times New Roman" w:hAnsi="Times New Roman" w:eastAsia="仿宋_GB2312" w:cs="Times New Roman"/>
          <w:b/>
          <w:bCs/>
          <w:sz w:val="28"/>
          <w:szCs w:val="28"/>
          <w:highlight w:val="none"/>
          <w:lang w:val="en-US" w:eastAsia="zh-CN"/>
        </w:rPr>
        <w:t>附件2：《关于长春</w:t>
      </w:r>
      <w:r>
        <w:rPr>
          <w:rFonts w:hint="eastAsia" w:ascii="Times New Roman" w:hAnsi="Times New Roman" w:eastAsia="仿宋_GB2312" w:cs="Times New Roman"/>
          <w:b/>
          <w:bCs/>
          <w:sz w:val="28"/>
          <w:szCs w:val="28"/>
          <w:highlight w:val="none"/>
          <w:lang w:val="en-US" w:eastAsia="zh-CN"/>
        </w:rPr>
        <w:t>国际物流</w:t>
      </w:r>
      <w:r>
        <w:rPr>
          <w:rFonts w:hint="default" w:ascii="Times New Roman" w:hAnsi="Times New Roman" w:eastAsia="仿宋_GB2312" w:cs="Times New Roman"/>
          <w:b/>
          <w:bCs/>
          <w:sz w:val="28"/>
          <w:szCs w:val="28"/>
          <w:highlight w:val="none"/>
          <w:lang w:val="en-US" w:eastAsia="zh-CN"/>
        </w:rPr>
        <w:t>经济开发区新兴建材产业园区建设项目可行性研究报告的批复》（长二发改〔2021〕93号）</w:t>
      </w:r>
    </w:p>
    <w:p>
      <w:pPr>
        <w:pStyle w:val="15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eastAsia="仿宋_GB2312" w:cs="Times New Roman"/>
          <w:b/>
          <w:bCs/>
          <w:sz w:val="28"/>
          <w:szCs w:val="28"/>
          <w:highlight w:val="none"/>
          <w:lang w:eastAsia="zh-CN"/>
        </w:rPr>
      </w:pPr>
      <w:r>
        <w:rPr>
          <w:rFonts w:hint="default" w:ascii="Times New Roman" w:hAnsi="Times New Roman" w:eastAsia="仿宋_GB2312" w:cs="Times New Roman"/>
          <w:b/>
          <w:bCs/>
          <w:sz w:val="28"/>
          <w:szCs w:val="28"/>
          <w:highlight w:val="none"/>
          <w:lang w:eastAsia="zh-CN"/>
        </w:rPr>
        <w:drawing>
          <wp:inline distT="0" distB="0" distL="114300" distR="114300">
            <wp:extent cx="6186170" cy="7710170"/>
            <wp:effectExtent l="0" t="0" r="5080" b="5080"/>
            <wp:docPr id="10" name="图片 10" descr="新兴建材产业园可研报告的批复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新兴建材产业园可研报告的批复_00"/>
                    <pic:cNvPicPr>
                      <a:picLocks noChangeAspect="1"/>
                    </pic:cNvPicPr>
                  </pic:nvPicPr>
                  <pic:blipFill>
                    <a:blip r:embed="rId55"/>
                    <a:srcRect t="11963"/>
                    <a:stretch>
                      <a:fillRect/>
                    </a:stretch>
                  </pic:blipFill>
                  <pic:spPr>
                    <a:xfrm>
                      <a:off x="0" y="0"/>
                      <a:ext cx="6186170" cy="7710170"/>
                    </a:xfrm>
                    <a:prstGeom prst="rect">
                      <a:avLst/>
                    </a:prstGeom>
                  </pic:spPr>
                </pic:pic>
              </a:graphicData>
            </a:graphic>
          </wp:inline>
        </w:drawing>
      </w:r>
    </w:p>
    <w:p>
      <w:pPr>
        <w:pStyle w:val="15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eastAsia="仿宋_GB2312" w:cs="Times New Roman"/>
          <w:b/>
          <w:bCs/>
          <w:sz w:val="28"/>
          <w:szCs w:val="28"/>
          <w:highlight w:val="none"/>
          <w:lang w:eastAsia="zh-CN"/>
        </w:rPr>
      </w:pPr>
      <w:r>
        <w:rPr>
          <w:rFonts w:hint="default" w:ascii="Times New Roman" w:hAnsi="Times New Roman" w:eastAsia="仿宋_GB2312" w:cs="Times New Roman"/>
          <w:b/>
          <w:bCs/>
          <w:sz w:val="28"/>
          <w:szCs w:val="28"/>
          <w:highlight w:val="none"/>
          <w:lang w:eastAsia="zh-CN"/>
        </w:rPr>
        <w:drawing>
          <wp:inline distT="0" distB="0" distL="114300" distR="114300">
            <wp:extent cx="6186170" cy="8757920"/>
            <wp:effectExtent l="0" t="0" r="5080" b="5080"/>
            <wp:docPr id="11" name="图片 11" descr="新兴建材产业园可研报告的批复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新兴建材产业园可研报告的批复_01"/>
                    <pic:cNvPicPr>
                      <a:picLocks noChangeAspect="1"/>
                    </pic:cNvPicPr>
                  </pic:nvPicPr>
                  <pic:blipFill>
                    <a:blip r:embed="rId56"/>
                    <a:stretch>
                      <a:fillRect/>
                    </a:stretch>
                  </pic:blipFill>
                  <pic:spPr>
                    <a:xfrm>
                      <a:off x="0" y="0"/>
                      <a:ext cx="6186170" cy="8757920"/>
                    </a:xfrm>
                    <a:prstGeom prst="rect">
                      <a:avLst/>
                    </a:prstGeom>
                  </pic:spPr>
                </pic:pic>
              </a:graphicData>
            </a:graphic>
          </wp:inline>
        </w:drawing>
      </w:r>
      <w:r>
        <w:rPr>
          <w:rFonts w:hint="default" w:ascii="Times New Roman" w:hAnsi="Times New Roman" w:eastAsia="仿宋_GB2312" w:cs="Times New Roman"/>
          <w:b/>
          <w:bCs/>
          <w:sz w:val="28"/>
          <w:szCs w:val="28"/>
          <w:highlight w:val="none"/>
          <w:lang w:eastAsia="zh-CN"/>
        </w:rPr>
        <w:drawing>
          <wp:inline distT="0" distB="0" distL="114300" distR="114300">
            <wp:extent cx="6186170" cy="8757920"/>
            <wp:effectExtent l="0" t="0" r="5080" b="5080"/>
            <wp:docPr id="12" name="图片 12" descr="新兴建材产业园可研报告的批复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新兴建材产业园可研报告的批复_02"/>
                    <pic:cNvPicPr>
                      <a:picLocks noChangeAspect="1"/>
                    </pic:cNvPicPr>
                  </pic:nvPicPr>
                  <pic:blipFill>
                    <a:blip r:embed="rId57"/>
                    <a:stretch>
                      <a:fillRect/>
                    </a:stretch>
                  </pic:blipFill>
                  <pic:spPr>
                    <a:xfrm>
                      <a:off x="0" y="0"/>
                      <a:ext cx="6186170" cy="87579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仿宋_GB2312" w:cs="Times New Roman"/>
          <w:b/>
          <w:bCs/>
          <w:sz w:val="28"/>
          <w:szCs w:val="28"/>
          <w:highlight w:val="none"/>
          <w:lang w:val="en-US" w:eastAsia="zh-CN"/>
        </w:rPr>
      </w:pPr>
      <w:r>
        <w:rPr>
          <w:rFonts w:hint="eastAsia" w:ascii="Times New Roman" w:hAnsi="Times New Roman" w:eastAsia="仿宋_GB2312" w:cs="Times New Roman"/>
          <w:b/>
          <w:bCs/>
          <w:sz w:val="28"/>
          <w:szCs w:val="28"/>
          <w:highlight w:val="none"/>
          <w:lang w:val="en-US" w:eastAsia="zh-CN"/>
        </w:rPr>
        <w:t>附件3：《</w:t>
      </w:r>
      <w:r>
        <w:rPr>
          <w:rFonts w:hint="default" w:ascii="Times New Roman" w:hAnsi="Times New Roman" w:eastAsia="仿宋_GB2312" w:cs="Times New Roman"/>
          <w:b/>
          <w:bCs/>
          <w:sz w:val="28"/>
          <w:szCs w:val="28"/>
          <w:highlight w:val="none"/>
          <w:lang w:val="en-US" w:eastAsia="zh-CN"/>
        </w:rPr>
        <w:t>吉林省水利厅关于对长春国际物流经济开发区新兴建材产业园区建设项目水土保持方案编制报批有关情况的意见</w:t>
      </w:r>
      <w:r>
        <w:rPr>
          <w:rFonts w:hint="eastAsia" w:ascii="Times New Roman" w:hAnsi="Times New Roman" w:eastAsia="仿宋_GB2312" w:cs="Times New Roman"/>
          <w:b/>
          <w:bCs/>
          <w:sz w:val="28"/>
          <w:szCs w:val="28"/>
          <w:highlight w:val="none"/>
          <w:lang w:val="en-US" w:eastAsia="zh-CN"/>
        </w:rPr>
        <w:t>》</w:t>
      </w:r>
    </w:p>
    <w:p>
      <w:pPr>
        <w:pStyle w:val="15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_GB2312" w:cs="Times New Roman"/>
          <w:b/>
          <w:bCs/>
          <w:sz w:val="28"/>
          <w:szCs w:val="28"/>
          <w:highlight w:val="none"/>
          <w:lang w:eastAsia="zh-CN"/>
        </w:rPr>
      </w:pPr>
      <w:r>
        <w:rPr>
          <w:rFonts w:hint="default" w:ascii="Times New Roman" w:hAnsi="Times New Roman" w:eastAsia="仿宋_GB2312" w:cs="Times New Roman"/>
          <w:b/>
          <w:bCs/>
          <w:sz w:val="28"/>
          <w:szCs w:val="28"/>
          <w:highlight w:val="none"/>
          <w:lang w:eastAsia="zh-CN"/>
        </w:rPr>
        <w:drawing>
          <wp:inline distT="0" distB="0" distL="114300" distR="114300">
            <wp:extent cx="5624830" cy="7959725"/>
            <wp:effectExtent l="0" t="0" r="13970" b="3175"/>
            <wp:docPr id="3" name="图片 3" descr="20221223省水利厅回复意见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221223省水利厅回复意见_00"/>
                    <pic:cNvPicPr>
                      <a:picLocks noChangeAspect="1"/>
                    </pic:cNvPicPr>
                  </pic:nvPicPr>
                  <pic:blipFill>
                    <a:blip r:embed="rId58"/>
                    <a:stretch>
                      <a:fillRect/>
                    </a:stretch>
                  </pic:blipFill>
                  <pic:spPr>
                    <a:xfrm>
                      <a:off x="0" y="0"/>
                      <a:ext cx="5624830" cy="7959725"/>
                    </a:xfrm>
                    <a:prstGeom prst="rect">
                      <a:avLst/>
                    </a:prstGeom>
                  </pic:spPr>
                </pic:pic>
              </a:graphicData>
            </a:graphic>
          </wp:inline>
        </w:drawing>
      </w:r>
    </w:p>
    <w:p>
      <w:pPr>
        <w:pStyle w:val="15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eastAsia="仿宋_GB2312" w:cs="Times New Roman"/>
          <w:b/>
          <w:bCs/>
          <w:sz w:val="28"/>
          <w:szCs w:val="28"/>
          <w:highlight w:val="none"/>
          <w:lang w:eastAsia="zh-CN"/>
        </w:rPr>
      </w:pPr>
      <w:r>
        <w:rPr>
          <w:rFonts w:hint="default" w:ascii="Times New Roman" w:hAnsi="Times New Roman" w:eastAsia="仿宋_GB2312" w:cs="Times New Roman"/>
          <w:b/>
          <w:bCs/>
          <w:sz w:val="28"/>
          <w:szCs w:val="28"/>
          <w:highlight w:val="none"/>
          <w:lang w:eastAsia="zh-CN"/>
        </w:rPr>
        <w:drawing>
          <wp:inline distT="0" distB="0" distL="114300" distR="114300">
            <wp:extent cx="6182360" cy="8747760"/>
            <wp:effectExtent l="0" t="0" r="8890" b="15240"/>
            <wp:docPr id="4" name="图片 4" descr="20221223省水利厅回复意见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221223省水利厅回复意见_01"/>
                    <pic:cNvPicPr>
                      <a:picLocks noChangeAspect="1"/>
                    </pic:cNvPicPr>
                  </pic:nvPicPr>
                  <pic:blipFill>
                    <a:blip r:embed="rId59"/>
                    <a:stretch>
                      <a:fillRect/>
                    </a:stretch>
                  </pic:blipFill>
                  <pic:spPr>
                    <a:xfrm>
                      <a:off x="0" y="0"/>
                      <a:ext cx="6182360" cy="8747760"/>
                    </a:xfrm>
                    <a:prstGeom prst="rect">
                      <a:avLst/>
                    </a:prstGeom>
                  </pic:spPr>
                </pic:pic>
              </a:graphicData>
            </a:graphic>
          </wp:inline>
        </w:drawing>
      </w:r>
    </w:p>
    <w:p>
      <w:pPr>
        <w:pStyle w:val="15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eastAsia="仿宋_GB2312" w:cs="Times New Roman"/>
          <w:b/>
          <w:bCs/>
          <w:sz w:val="28"/>
          <w:szCs w:val="28"/>
          <w:highlight w:val="none"/>
          <w:lang w:eastAsia="zh-CN"/>
        </w:rPr>
      </w:pPr>
      <w:r>
        <w:rPr>
          <w:rFonts w:hint="default" w:ascii="Times New Roman" w:hAnsi="Times New Roman" w:eastAsia="仿宋_GB2312" w:cs="Times New Roman"/>
          <w:b/>
          <w:bCs/>
          <w:sz w:val="28"/>
          <w:szCs w:val="28"/>
          <w:highlight w:val="none"/>
          <w:lang w:eastAsia="zh-CN"/>
        </w:rPr>
        <w:drawing>
          <wp:inline distT="0" distB="0" distL="114300" distR="114300">
            <wp:extent cx="6182360" cy="8747760"/>
            <wp:effectExtent l="0" t="0" r="8890" b="15240"/>
            <wp:docPr id="5" name="图片 5" descr="20221223省水利厅回复意见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0221223省水利厅回复意见_02"/>
                    <pic:cNvPicPr>
                      <a:picLocks noChangeAspect="1"/>
                    </pic:cNvPicPr>
                  </pic:nvPicPr>
                  <pic:blipFill>
                    <a:blip r:embed="rId60"/>
                    <a:stretch>
                      <a:fillRect/>
                    </a:stretch>
                  </pic:blipFill>
                  <pic:spPr>
                    <a:xfrm>
                      <a:off x="0" y="0"/>
                      <a:ext cx="6182360" cy="87477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b/>
          <w:bCs/>
          <w:sz w:val="28"/>
          <w:szCs w:val="28"/>
          <w:highlight w:val="none"/>
          <w:lang w:val="en-US" w:eastAsia="zh-CN"/>
        </w:rPr>
      </w:pPr>
      <w:r>
        <w:rPr>
          <w:rFonts w:hint="eastAsia" w:ascii="Times New Roman" w:hAnsi="Times New Roman" w:eastAsia="仿宋_GB2312" w:cs="Times New Roman"/>
          <w:b/>
          <w:bCs/>
          <w:sz w:val="28"/>
          <w:szCs w:val="28"/>
          <w:highlight w:val="none"/>
          <w:lang w:val="en-US" w:eastAsia="zh-CN"/>
        </w:rPr>
        <w:t>附件4：《长春国际物流经济开发区新兴建材产业园区建设项目水士保持行政许可承诺书》（长水许可</w:t>
      </w:r>
      <w:r>
        <w:rPr>
          <w:rFonts w:hint="default" w:ascii="Times New Roman" w:hAnsi="Times New Roman" w:eastAsia="仿宋_GB2312" w:cs="Times New Roman"/>
          <w:b/>
          <w:bCs/>
          <w:sz w:val="28"/>
          <w:szCs w:val="28"/>
          <w:highlight w:val="none"/>
          <w:lang w:val="en-US" w:eastAsia="zh-CN"/>
        </w:rPr>
        <w:t>〔202</w:t>
      </w:r>
      <w:r>
        <w:rPr>
          <w:rFonts w:hint="eastAsia" w:ascii="Times New Roman" w:hAnsi="Times New Roman" w:eastAsia="仿宋_GB2312" w:cs="Times New Roman"/>
          <w:b/>
          <w:bCs/>
          <w:sz w:val="28"/>
          <w:szCs w:val="28"/>
          <w:highlight w:val="none"/>
          <w:lang w:val="en-US" w:eastAsia="zh-CN"/>
        </w:rPr>
        <w:t>3</w:t>
      </w:r>
      <w:r>
        <w:rPr>
          <w:rFonts w:hint="default" w:ascii="Times New Roman" w:hAnsi="Times New Roman" w:eastAsia="仿宋_GB2312" w:cs="Times New Roman"/>
          <w:b/>
          <w:bCs/>
          <w:sz w:val="28"/>
          <w:szCs w:val="28"/>
          <w:highlight w:val="none"/>
          <w:lang w:val="en-US" w:eastAsia="zh-CN"/>
        </w:rPr>
        <w:t>〕</w:t>
      </w:r>
      <w:r>
        <w:rPr>
          <w:rFonts w:hint="eastAsia" w:ascii="Times New Roman" w:hAnsi="Times New Roman" w:eastAsia="仿宋_GB2312" w:cs="Times New Roman"/>
          <w:b/>
          <w:bCs/>
          <w:sz w:val="28"/>
          <w:szCs w:val="28"/>
          <w:highlight w:val="none"/>
          <w:lang w:val="en-US" w:eastAsia="zh-CN"/>
        </w:rPr>
        <w:t>18号）</w:t>
      </w:r>
    </w:p>
    <w:p>
      <w:pPr>
        <w:pStyle w:val="15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_GB2312" w:cs="Times New Roman"/>
          <w:b/>
          <w:bCs/>
          <w:sz w:val="28"/>
          <w:szCs w:val="28"/>
          <w:highlight w:val="none"/>
          <w:lang w:eastAsia="zh-CN"/>
        </w:rPr>
      </w:pPr>
      <w:r>
        <w:rPr>
          <w:rFonts w:hint="default" w:ascii="Times New Roman" w:hAnsi="Times New Roman" w:eastAsia="仿宋_GB2312" w:cs="Times New Roman"/>
          <w:b/>
          <w:bCs/>
          <w:sz w:val="28"/>
          <w:szCs w:val="28"/>
          <w:highlight w:val="none"/>
          <w:lang w:eastAsia="zh-CN"/>
        </w:rPr>
        <w:drawing>
          <wp:inline distT="0" distB="0" distL="114300" distR="114300">
            <wp:extent cx="5994400" cy="7973695"/>
            <wp:effectExtent l="0" t="0" r="0" b="0"/>
            <wp:docPr id="2" name="图片 2" descr="长春国际物流经济开发区新兴建材产业园区建设项目水士保持行政许可承诺书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长春国际物流经济开发区新兴建材产业园区建设项目水士保持行政许可承诺书_00"/>
                    <pic:cNvPicPr>
                      <a:picLocks noChangeAspect="1"/>
                    </pic:cNvPicPr>
                  </pic:nvPicPr>
                  <pic:blipFill>
                    <a:blip r:embed="rId61"/>
                    <a:srcRect t="3976" b="1992"/>
                    <a:stretch>
                      <a:fillRect/>
                    </a:stretch>
                  </pic:blipFill>
                  <pic:spPr>
                    <a:xfrm>
                      <a:off x="0" y="0"/>
                      <a:ext cx="5994400" cy="7973695"/>
                    </a:xfrm>
                    <a:prstGeom prst="rect">
                      <a:avLst/>
                    </a:prstGeom>
                  </pic:spPr>
                </pic:pic>
              </a:graphicData>
            </a:graphic>
          </wp:inline>
        </w:drawing>
      </w:r>
    </w:p>
    <w:p>
      <w:pPr>
        <w:pStyle w:val="15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eastAsia="仿宋_GB2312" w:cs="Times New Roman"/>
          <w:b/>
          <w:bCs/>
          <w:sz w:val="28"/>
          <w:szCs w:val="28"/>
          <w:highlight w:val="none"/>
          <w:lang w:eastAsia="zh-CN"/>
        </w:rPr>
      </w:pPr>
      <w:r>
        <w:rPr>
          <w:rFonts w:hint="default" w:ascii="Times New Roman" w:hAnsi="Times New Roman" w:eastAsia="仿宋_GB2312" w:cs="Times New Roman"/>
          <w:b/>
          <w:bCs/>
          <w:sz w:val="28"/>
          <w:szCs w:val="28"/>
          <w:highlight w:val="none"/>
          <w:lang w:eastAsia="zh-CN"/>
        </w:rPr>
        <w:drawing>
          <wp:inline distT="0" distB="0" distL="114300" distR="114300">
            <wp:extent cx="6186805" cy="8751570"/>
            <wp:effectExtent l="0" t="0" r="4445" b="11430"/>
            <wp:docPr id="8" name="图片 8" descr="长春国际物流经济开发区新兴建材产业园区建设项目水士保持行政许可承诺书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长春国际物流经济开发区新兴建材产业园区建设项目水士保持行政许可承诺书_01"/>
                    <pic:cNvPicPr>
                      <a:picLocks noChangeAspect="1"/>
                    </pic:cNvPicPr>
                  </pic:nvPicPr>
                  <pic:blipFill>
                    <a:blip r:embed="rId62"/>
                    <a:stretch>
                      <a:fillRect/>
                    </a:stretch>
                  </pic:blipFill>
                  <pic:spPr>
                    <a:xfrm>
                      <a:off x="0" y="0"/>
                      <a:ext cx="6186805" cy="8751570"/>
                    </a:xfrm>
                    <a:prstGeom prst="rect">
                      <a:avLst/>
                    </a:prstGeom>
                  </pic:spPr>
                </pic:pic>
              </a:graphicData>
            </a:graphic>
          </wp:inline>
        </w:drawing>
      </w:r>
      <w:r>
        <w:rPr>
          <w:rFonts w:hint="default" w:ascii="Times New Roman" w:hAnsi="Times New Roman" w:eastAsia="仿宋_GB2312" w:cs="Times New Roman"/>
          <w:b/>
          <w:bCs/>
          <w:sz w:val="28"/>
          <w:szCs w:val="28"/>
          <w:highlight w:val="none"/>
          <w:lang w:eastAsia="zh-CN"/>
        </w:rPr>
        <w:drawing>
          <wp:inline distT="0" distB="0" distL="114300" distR="114300">
            <wp:extent cx="6186805" cy="8751570"/>
            <wp:effectExtent l="0" t="0" r="4445" b="11430"/>
            <wp:docPr id="16" name="图片 16" descr="长春国际物流经济开发区新兴建材产业园区建设项目水士保持行政许可承诺书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长春国际物流经济开发区新兴建材产业园区建设项目水士保持行政许可承诺书_02"/>
                    <pic:cNvPicPr>
                      <a:picLocks noChangeAspect="1"/>
                    </pic:cNvPicPr>
                  </pic:nvPicPr>
                  <pic:blipFill>
                    <a:blip r:embed="rId63"/>
                    <a:stretch>
                      <a:fillRect/>
                    </a:stretch>
                  </pic:blipFill>
                  <pic:spPr>
                    <a:xfrm>
                      <a:off x="0" y="0"/>
                      <a:ext cx="6186805" cy="8751570"/>
                    </a:xfrm>
                    <a:prstGeom prst="rect">
                      <a:avLst/>
                    </a:prstGeom>
                  </pic:spPr>
                </pic:pic>
              </a:graphicData>
            </a:graphic>
          </wp:inline>
        </w:drawing>
      </w:r>
    </w:p>
    <w:p>
      <w:pPr>
        <w:pStyle w:val="15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eastAsia="仿宋_GB2312" w:cs="Times New Roman"/>
          <w:b/>
          <w:bCs/>
          <w:sz w:val="28"/>
          <w:szCs w:val="28"/>
          <w:highlight w:val="none"/>
          <w:lang w:eastAsia="zh-CN"/>
        </w:rPr>
        <w:sectPr>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15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cs="Times New Roman"/>
          <w:highlight w:val="none"/>
        </w:rPr>
      </w:pPr>
    </w:p>
    <w:p>
      <w:pPr>
        <w:pStyle w:val="35"/>
        <w:keepNext w:val="0"/>
        <w:keepLines w:val="0"/>
        <w:pageBreakBefore w:val="0"/>
        <w:widowControl w:val="0"/>
        <w:kinsoku/>
        <w:wordWrap/>
        <w:overflowPunct/>
        <w:topLinePunct w:val="0"/>
        <w:bidi w:val="0"/>
        <w:adjustRightInd/>
        <w:snapToGrid/>
        <w:ind w:left="0" w:right="0"/>
        <w:jc w:val="center"/>
        <w:textAlignment w:val="auto"/>
        <w:rPr>
          <w:rFonts w:hint="default" w:ascii="Times New Roman" w:hAnsi="Times New Roman" w:cs="Times New Roman"/>
          <w:sz w:val="20"/>
          <w:highlight w:val="none"/>
        </w:rPr>
      </w:pPr>
    </w:p>
    <w:p>
      <w:pPr>
        <w:pStyle w:val="35"/>
        <w:keepNext w:val="0"/>
        <w:keepLines w:val="0"/>
        <w:pageBreakBefore w:val="0"/>
        <w:widowControl w:val="0"/>
        <w:kinsoku/>
        <w:wordWrap/>
        <w:overflowPunct/>
        <w:topLinePunct w:val="0"/>
        <w:bidi w:val="0"/>
        <w:adjustRightInd/>
        <w:snapToGrid/>
        <w:spacing w:before="1"/>
        <w:ind w:left="0" w:right="0"/>
        <w:jc w:val="center"/>
        <w:textAlignment w:val="auto"/>
        <w:rPr>
          <w:rFonts w:hint="default" w:ascii="Times New Roman" w:hAnsi="Times New Roman" w:cs="Times New Roman"/>
          <w:sz w:val="25"/>
          <w:highlight w:val="none"/>
        </w:rPr>
      </w:pPr>
    </w:p>
    <w:p>
      <w:pPr>
        <w:keepNext w:val="0"/>
        <w:keepLines w:val="0"/>
        <w:pageBreakBefore w:val="0"/>
        <w:widowControl w:val="0"/>
        <w:kinsoku/>
        <w:wordWrap/>
        <w:overflowPunct/>
        <w:topLinePunct w:val="0"/>
        <w:bidi w:val="0"/>
        <w:adjustRightInd/>
        <w:snapToGrid/>
        <w:spacing w:before="38"/>
        <w:ind w:left="0" w:right="0"/>
        <w:jc w:val="center"/>
        <w:textAlignment w:val="auto"/>
        <w:rPr>
          <w:rFonts w:hint="eastAsia" w:cs="Times New Roman"/>
          <w:b/>
          <w:sz w:val="36"/>
          <w:szCs w:val="36"/>
          <w:highlight w:val="none"/>
          <w:lang w:eastAsia="zh-CN"/>
        </w:rPr>
      </w:pPr>
      <w:r>
        <w:rPr>
          <w:rFonts w:hint="eastAsia" w:cs="Times New Roman"/>
          <w:b/>
          <w:sz w:val="36"/>
          <w:szCs w:val="36"/>
          <w:highlight w:val="none"/>
          <w:lang w:val="en-US" w:eastAsia="zh-CN"/>
        </w:rPr>
        <w:t>长春国际物流经济开发区新兴建材产业园区建设</w:t>
      </w:r>
      <w:r>
        <w:rPr>
          <w:rFonts w:hint="eastAsia" w:cs="Times New Roman"/>
          <w:b/>
          <w:sz w:val="36"/>
          <w:szCs w:val="36"/>
          <w:highlight w:val="none"/>
          <w:lang w:eastAsia="zh-CN"/>
        </w:rPr>
        <w:t>项目</w:t>
      </w:r>
    </w:p>
    <w:p>
      <w:pPr>
        <w:keepNext w:val="0"/>
        <w:keepLines w:val="0"/>
        <w:pageBreakBefore w:val="0"/>
        <w:widowControl w:val="0"/>
        <w:kinsoku/>
        <w:wordWrap/>
        <w:overflowPunct/>
        <w:topLinePunct w:val="0"/>
        <w:bidi w:val="0"/>
        <w:adjustRightInd/>
        <w:snapToGrid/>
        <w:spacing w:before="38"/>
        <w:ind w:left="0" w:right="0"/>
        <w:jc w:val="center"/>
        <w:textAlignment w:val="auto"/>
        <w:rPr>
          <w:rFonts w:hint="default" w:ascii="Times New Roman" w:hAnsi="Times New Roman" w:eastAsia="宋体" w:cs="Times New Roman"/>
          <w:b/>
          <w:sz w:val="36"/>
          <w:szCs w:val="36"/>
          <w:highlight w:val="none"/>
          <w:lang w:eastAsia="zh-CN"/>
        </w:rPr>
      </w:pPr>
      <w:r>
        <w:rPr>
          <w:rFonts w:hint="eastAsia" w:cs="Times New Roman"/>
          <w:b/>
          <w:sz w:val="36"/>
          <w:szCs w:val="36"/>
          <w:highlight w:val="none"/>
          <w:lang w:eastAsia="zh-CN"/>
        </w:rPr>
        <w:t>（</w:t>
      </w:r>
      <w:r>
        <w:rPr>
          <w:rFonts w:hint="eastAsia" w:cs="Times New Roman"/>
          <w:b/>
          <w:sz w:val="36"/>
          <w:szCs w:val="36"/>
          <w:highlight w:val="none"/>
          <w:lang w:val="en-US" w:eastAsia="zh-CN"/>
        </w:rPr>
        <w:t>B地块补充</w:t>
      </w:r>
      <w:r>
        <w:rPr>
          <w:rFonts w:hint="eastAsia" w:cs="Times New Roman"/>
          <w:b/>
          <w:sz w:val="36"/>
          <w:szCs w:val="36"/>
          <w:highlight w:val="none"/>
          <w:lang w:eastAsia="zh-CN"/>
        </w:rPr>
        <w:t>）</w:t>
      </w:r>
    </w:p>
    <w:p>
      <w:pPr>
        <w:pStyle w:val="35"/>
        <w:keepNext w:val="0"/>
        <w:keepLines w:val="0"/>
        <w:pageBreakBefore w:val="0"/>
        <w:widowControl w:val="0"/>
        <w:kinsoku/>
        <w:wordWrap/>
        <w:overflowPunct/>
        <w:topLinePunct w:val="0"/>
        <w:bidi w:val="0"/>
        <w:adjustRightInd/>
        <w:snapToGrid/>
        <w:spacing w:before="7"/>
        <w:ind w:left="0" w:right="0"/>
        <w:jc w:val="center"/>
        <w:textAlignment w:val="auto"/>
        <w:rPr>
          <w:rFonts w:hint="default" w:ascii="Times New Roman" w:hAnsi="Times New Roman" w:cs="Times New Roman"/>
          <w:b/>
          <w:sz w:val="38"/>
          <w:highlight w:val="none"/>
        </w:rPr>
      </w:pPr>
    </w:p>
    <w:p>
      <w:pPr>
        <w:keepNext w:val="0"/>
        <w:keepLines w:val="0"/>
        <w:pageBreakBefore w:val="0"/>
        <w:widowControl w:val="0"/>
        <w:kinsoku/>
        <w:wordWrap/>
        <w:overflowPunct/>
        <w:topLinePunct w:val="0"/>
        <w:bidi w:val="0"/>
        <w:adjustRightInd/>
        <w:snapToGrid/>
        <w:ind w:left="0" w:right="0"/>
        <w:jc w:val="center"/>
        <w:textAlignment w:val="auto"/>
        <w:rPr>
          <w:rFonts w:hint="default" w:ascii="Times New Roman" w:hAnsi="Times New Roman" w:eastAsia="黑体" w:cs="Times New Roman"/>
          <w:b/>
          <w:sz w:val="72"/>
          <w:szCs w:val="72"/>
          <w:highlight w:val="none"/>
        </w:rPr>
      </w:pPr>
      <w:r>
        <w:rPr>
          <w:rFonts w:hint="default" w:ascii="Times New Roman" w:hAnsi="Times New Roman" w:eastAsia="黑体" w:cs="Times New Roman"/>
          <w:b/>
          <w:sz w:val="72"/>
          <w:szCs w:val="72"/>
          <w:highlight w:val="none"/>
        </w:rPr>
        <w:t>水土保持方案报告书</w:t>
      </w:r>
    </w:p>
    <w:p>
      <w:pPr>
        <w:pStyle w:val="152"/>
        <w:keepNext w:val="0"/>
        <w:keepLines w:val="0"/>
        <w:pageBreakBefore w:val="0"/>
        <w:widowControl w:val="0"/>
        <w:kinsoku/>
        <w:wordWrap/>
        <w:overflowPunct/>
        <w:topLinePunct w:val="0"/>
        <w:bidi w:val="0"/>
        <w:adjustRightInd/>
        <w:snapToGrid/>
        <w:ind w:left="0" w:right="0"/>
        <w:jc w:val="center"/>
        <w:textAlignment w:val="auto"/>
        <w:rPr>
          <w:rFonts w:hint="default" w:ascii="Times New Roman" w:hAnsi="Times New Roman" w:cs="Times New Roman"/>
          <w:highlight w:val="none"/>
        </w:rPr>
      </w:pPr>
    </w:p>
    <w:p>
      <w:pPr>
        <w:pStyle w:val="35"/>
        <w:keepNext w:val="0"/>
        <w:keepLines w:val="0"/>
        <w:pageBreakBefore w:val="0"/>
        <w:widowControl w:val="0"/>
        <w:kinsoku/>
        <w:wordWrap/>
        <w:overflowPunct/>
        <w:topLinePunct w:val="0"/>
        <w:bidi w:val="0"/>
        <w:adjustRightInd/>
        <w:snapToGrid/>
        <w:ind w:left="0" w:right="0"/>
        <w:jc w:val="center"/>
        <w:textAlignment w:val="auto"/>
        <w:rPr>
          <w:rFonts w:hint="default" w:ascii="Times New Roman" w:hAnsi="Times New Roman" w:eastAsia="宋体" w:cs="Times New Roman"/>
          <w:b/>
          <w:sz w:val="44"/>
          <w:szCs w:val="44"/>
          <w:highlight w:val="none"/>
          <w:lang w:val="en-US" w:eastAsia="zh-CN"/>
        </w:rPr>
      </w:pPr>
      <w:r>
        <w:rPr>
          <w:rFonts w:hint="default" w:ascii="Times New Roman" w:hAnsi="Times New Roman" w:cs="Times New Roman"/>
          <w:b/>
          <w:sz w:val="44"/>
          <w:szCs w:val="44"/>
          <w:highlight w:val="none"/>
          <w:lang w:val="en-US" w:eastAsia="zh-CN"/>
        </w:rPr>
        <w:t>附图</w:t>
      </w:r>
    </w:p>
    <w:p>
      <w:pPr>
        <w:pStyle w:val="35"/>
        <w:keepNext w:val="0"/>
        <w:keepLines w:val="0"/>
        <w:pageBreakBefore w:val="0"/>
        <w:widowControl w:val="0"/>
        <w:kinsoku/>
        <w:wordWrap/>
        <w:overflowPunct/>
        <w:topLinePunct w:val="0"/>
        <w:bidi w:val="0"/>
        <w:adjustRightInd/>
        <w:snapToGrid/>
        <w:ind w:left="0" w:right="0"/>
        <w:jc w:val="center"/>
        <w:textAlignment w:val="auto"/>
        <w:rPr>
          <w:rFonts w:hint="default" w:ascii="Times New Roman" w:hAnsi="Times New Roman" w:cs="Times New Roman"/>
          <w:b/>
          <w:sz w:val="44"/>
          <w:highlight w:val="none"/>
        </w:rPr>
      </w:pPr>
    </w:p>
    <w:p>
      <w:pPr>
        <w:pStyle w:val="35"/>
        <w:keepNext w:val="0"/>
        <w:keepLines w:val="0"/>
        <w:pageBreakBefore w:val="0"/>
        <w:widowControl w:val="0"/>
        <w:kinsoku/>
        <w:wordWrap/>
        <w:overflowPunct/>
        <w:topLinePunct w:val="0"/>
        <w:bidi w:val="0"/>
        <w:adjustRightInd/>
        <w:snapToGrid/>
        <w:ind w:left="0" w:right="0"/>
        <w:jc w:val="center"/>
        <w:textAlignment w:val="auto"/>
        <w:rPr>
          <w:rFonts w:hint="default" w:ascii="Times New Roman" w:hAnsi="Times New Roman" w:cs="Times New Roman"/>
          <w:b/>
          <w:sz w:val="44"/>
          <w:highlight w:val="none"/>
        </w:rPr>
      </w:pPr>
    </w:p>
    <w:p>
      <w:pPr>
        <w:pStyle w:val="35"/>
        <w:keepNext w:val="0"/>
        <w:keepLines w:val="0"/>
        <w:pageBreakBefore w:val="0"/>
        <w:widowControl w:val="0"/>
        <w:kinsoku/>
        <w:wordWrap/>
        <w:overflowPunct/>
        <w:topLinePunct w:val="0"/>
        <w:bidi w:val="0"/>
        <w:adjustRightInd/>
        <w:snapToGrid/>
        <w:ind w:left="0" w:right="0"/>
        <w:jc w:val="center"/>
        <w:textAlignment w:val="auto"/>
        <w:rPr>
          <w:rFonts w:hint="default" w:ascii="Times New Roman" w:hAnsi="Times New Roman" w:cs="Times New Roman"/>
          <w:b/>
          <w:sz w:val="44"/>
          <w:highlight w:val="none"/>
        </w:rPr>
      </w:pPr>
    </w:p>
    <w:p>
      <w:pPr>
        <w:pStyle w:val="35"/>
        <w:keepNext w:val="0"/>
        <w:keepLines w:val="0"/>
        <w:pageBreakBefore w:val="0"/>
        <w:widowControl w:val="0"/>
        <w:kinsoku/>
        <w:wordWrap/>
        <w:overflowPunct/>
        <w:topLinePunct w:val="0"/>
        <w:bidi w:val="0"/>
        <w:adjustRightInd/>
        <w:snapToGrid/>
        <w:ind w:left="0" w:right="0"/>
        <w:jc w:val="center"/>
        <w:textAlignment w:val="auto"/>
        <w:rPr>
          <w:rFonts w:hint="default" w:ascii="Times New Roman" w:hAnsi="Times New Roman" w:cs="Times New Roman"/>
          <w:b/>
          <w:sz w:val="44"/>
          <w:highlight w:val="none"/>
        </w:rPr>
      </w:pPr>
    </w:p>
    <w:p>
      <w:pPr>
        <w:pStyle w:val="35"/>
        <w:keepNext w:val="0"/>
        <w:keepLines w:val="0"/>
        <w:pageBreakBefore w:val="0"/>
        <w:widowControl w:val="0"/>
        <w:kinsoku/>
        <w:wordWrap/>
        <w:overflowPunct/>
        <w:topLinePunct w:val="0"/>
        <w:bidi w:val="0"/>
        <w:adjustRightInd/>
        <w:snapToGrid/>
        <w:ind w:left="0" w:right="0"/>
        <w:jc w:val="center"/>
        <w:textAlignment w:val="auto"/>
        <w:rPr>
          <w:rFonts w:hint="default" w:ascii="Times New Roman" w:hAnsi="Times New Roman" w:cs="Times New Roman"/>
          <w:b/>
          <w:sz w:val="44"/>
          <w:highlight w:val="none"/>
        </w:rPr>
      </w:pPr>
    </w:p>
    <w:p>
      <w:pPr>
        <w:pStyle w:val="35"/>
        <w:keepNext w:val="0"/>
        <w:keepLines w:val="0"/>
        <w:pageBreakBefore w:val="0"/>
        <w:widowControl w:val="0"/>
        <w:kinsoku/>
        <w:wordWrap/>
        <w:overflowPunct/>
        <w:topLinePunct w:val="0"/>
        <w:bidi w:val="0"/>
        <w:adjustRightInd/>
        <w:snapToGrid/>
        <w:ind w:left="0" w:right="0"/>
        <w:jc w:val="center"/>
        <w:textAlignment w:val="auto"/>
        <w:rPr>
          <w:rFonts w:hint="default" w:ascii="Times New Roman" w:hAnsi="Times New Roman" w:cs="Times New Roman"/>
          <w:b/>
          <w:sz w:val="44"/>
          <w:highlight w:val="none"/>
        </w:rPr>
      </w:pPr>
    </w:p>
    <w:p>
      <w:pPr>
        <w:pStyle w:val="35"/>
        <w:keepNext w:val="0"/>
        <w:keepLines w:val="0"/>
        <w:pageBreakBefore w:val="0"/>
        <w:widowControl w:val="0"/>
        <w:kinsoku/>
        <w:wordWrap/>
        <w:overflowPunct/>
        <w:topLinePunct w:val="0"/>
        <w:bidi w:val="0"/>
        <w:adjustRightInd/>
        <w:snapToGrid/>
        <w:ind w:left="0" w:right="0"/>
        <w:jc w:val="center"/>
        <w:textAlignment w:val="auto"/>
        <w:rPr>
          <w:rFonts w:hint="default" w:ascii="Times New Roman" w:hAnsi="Times New Roman" w:cs="Times New Roman"/>
          <w:b/>
          <w:sz w:val="44"/>
          <w:highlight w:val="none"/>
        </w:rPr>
      </w:pPr>
    </w:p>
    <w:p>
      <w:pPr>
        <w:pStyle w:val="35"/>
        <w:keepNext w:val="0"/>
        <w:keepLines w:val="0"/>
        <w:pageBreakBefore w:val="0"/>
        <w:widowControl w:val="0"/>
        <w:kinsoku/>
        <w:wordWrap/>
        <w:overflowPunct/>
        <w:topLinePunct w:val="0"/>
        <w:bidi w:val="0"/>
        <w:adjustRightInd/>
        <w:snapToGrid/>
        <w:ind w:left="0" w:right="0"/>
        <w:jc w:val="center"/>
        <w:textAlignment w:val="auto"/>
        <w:rPr>
          <w:rFonts w:hint="default" w:ascii="Times New Roman" w:hAnsi="Times New Roman" w:cs="Times New Roman"/>
          <w:b/>
          <w:sz w:val="44"/>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right="0" w:firstLine="1600" w:firstLineChars="500"/>
        <w:jc w:val="left"/>
        <w:textAlignment w:val="auto"/>
        <w:rPr>
          <w:rFonts w:hint="default" w:ascii="Times New Roman" w:hAnsi="Times New Roman" w:cs="Times New Roman"/>
          <w:sz w:val="32"/>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right="0" w:firstLine="1600" w:firstLineChars="500"/>
        <w:jc w:val="left"/>
        <w:textAlignment w:val="auto"/>
        <w:rPr>
          <w:rFonts w:hint="default" w:ascii="Times New Roman" w:hAnsi="Times New Roman" w:cs="Times New Roman"/>
          <w:sz w:val="32"/>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right="0" w:firstLine="1600" w:firstLineChars="500"/>
        <w:jc w:val="left"/>
        <w:textAlignment w:val="auto"/>
        <w:rPr>
          <w:rFonts w:hint="default" w:ascii="Times New Roman" w:hAnsi="Times New Roman" w:cs="Times New Roman"/>
          <w:sz w:val="32"/>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right="0" w:firstLine="1600" w:firstLineChars="500"/>
        <w:jc w:val="left"/>
        <w:textAlignment w:val="auto"/>
        <w:rPr>
          <w:rFonts w:hint="default" w:ascii="Times New Roman" w:hAnsi="Times New Roman" w:eastAsia="宋体" w:cs="Times New Roman"/>
          <w:sz w:val="32"/>
          <w:highlight w:val="none"/>
          <w:lang w:eastAsia="zh-CN"/>
        </w:rPr>
      </w:pPr>
      <w:r>
        <w:rPr>
          <w:rFonts w:hint="default" w:ascii="Times New Roman" w:hAnsi="Times New Roman" w:cs="Times New Roman"/>
          <w:sz w:val="32"/>
          <w:highlight w:val="none"/>
        </w:rPr>
        <w:t>建设单位：</w:t>
      </w:r>
      <w:r>
        <w:rPr>
          <w:rFonts w:hint="default" w:ascii="Times New Roman" w:hAnsi="Times New Roman" w:cs="Times New Roman"/>
          <w:sz w:val="32"/>
          <w:highlight w:val="none"/>
          <w:lang w:eastAsia="zh-CN"/>
        </w:rPr>
        <w:t>长春市瑞通投资有限公司</w:t>
      </w:r>
    </w:p>
    <w:p>
      <w:pPr>
        <w:keepNext w:val="0"/>
        <w:keepLines w:val="0"/>
        <w:pageBreakBefore w:val="0"/>
        <w:widowControl w:val="0"/>
        <w:tabs>
          <w:tab w:val="left" w:pos="5288"/>
        </w:tabs>
        <w:kinsoku/>
        <w:wordWrap/>
        <w:overflowPunct/>
        <w:topLinePunct w:val="0"/>
        <w:autoSpaceDE/>
        <w:autoSpaceDN/>
        <w:bidi w:val="0"/>
        <w:adjustRightInd/>
        <w:snapToGrid/>
        <w:spacing w:line="360" w:lineRule="auto"/>
        <w:ind w:left="0" w:right="0" w:firstLine="1600" w:firstLineChars="500"/>
        <w:jc w:val="left"/>
        <w:textAlignment w:val="auto"/>
        <w:rPr>
          <w:rFonts w:hint="default" w:cs="Times New Roman"/>
          <w:sz w:val="32"/>
          <w:highlight w:val="none"/>
          <w:lang w:eastAsia="zh-CN"/>
        </w:rPr>
      </w:pPr>
      <w:r>
        <w:rPr>
          <w:rFonts w:hint="default" w:ascii="Times New Roman" w:hAnsi="Times New Roman" w:cs="Times New Roman"/>
          <w:sz w:val="32"/>
          <w:highlight w:val="none"/>
        </w:rPr>
        <w:t>编制单位：</w:t>
      </w:r>
      <w:r>
        <w:rPr>
          <w:rFonts w:hint="eastAsia" w:cs="Times New Roman"/>
          <w:sz w:val="32"/>
          <w:highlight w:val="none"/>
          <w:lang w:eastAsia="zh-CN"/>
        </w:rPr>
        <w:t>吉林省晟元工程咨询有限公司</w:t>
      </w:r>
    </w:p>
    <w:sectPr>
      <w:headerReference r:id="rId38" w:type="default"/>
      <w:footerReference r:id="rId39" w:type="default"/>
      <w:pgSz w:w="11906" w:h="16838"/>
      <w:pgMar w:top="1080" w:right="1440" w:bottom="1080" w:left="1440"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君" w:date="2023-07-31T16:55:13Z" w:initials="">
    <w:p w14:paraId="0FD2783B">
      <w:pPr>
        <w:pStyle w:val="29"/>
        <w:rPr>
          <w:rFonts w:hint="eastAsia"/>
          <w:lang w:val="en-US" w:eastAsia="zh-CN"/>
        </w:rPr>
      </w:pPr>
      <w:r>
        <w:rPr>
          <w:rFonts w:hint="eastAsia"/>
          <w:lang w:val="en-US" w:eastAsia="zh-CN"/>
        </w:rPr>
        <w:t>这几个大图上最好能区分一下A地块和B地块</w:t>
      </w:r>
    </w:p>
    <w:p w14:paraId="00A8087A">
      <w:pPr>
        <w:pStyle w:val="29"/>
        <w:rPr>
          <w:rFonts w:hint="eastAsia"/>
          <w:lang w:val="en-US" w:eastAsia="zh-CN"/>
        </w:rPr>
      </w:pPr>
    </w:p>
    <w:p w14:paraId="5C925057">
      <w:pPr>
        <w:pStyle w:val="29"/>
        <w:rPr>
          <w:rFonts w:hint="default"/>
          <w:lang w:val="en-US" w:eastAsia="zh-CN"/>
        </w:rPr>
      </w:pPr>
      <w:r>
        <w:rPr>
          <w:rFonts w:hint="eastAsia"/>
          <w:lang w:val="en-US" w:eastAsia="zh-CN"/>
        </w:rPr>
        <w:t>根据打印图纸的大小复核比例尺；1:1000的不对</w:t>
      </w:r>
    </w:p>
  </w:comment>
  <w:comment w:id="1" w:author="Lily" w:date="2023-08-02T09:22:20Z" w:initials="">
    <w:p w14:paraId="7DA31A3B">
      <w:pPr>
        <w:pStyle w:val="29"/>
        <w:rPr>
          <w:rFonts w:hint="default" w:eastAsia="宋体"/>
          <w:lang w:val="en-US" w:eastAsia="zh-CN"/>
        </w:rPr>
      </w:pPr>
      <w:r>
        <w:rPr>
          <w:rFonts w:hint="eastAsia"/>
          <w:lang w:val="en-US" w:eastAsia="zh-CN"/>
        </w:rPr>
        <w:t>总体布置都是B地块，A地块没体现</w:t>
      </w:r>
    </w:p>
  </w:comment>
  <w:comment w:id="2" w:author="君" w:date="2023-07-31T16:33:38Z" w:initials="">
    <w:p w14:paraId="0E4E73F5">
      <w:pPr>
        <w:pStyle w:val="29"/>
        <w:rPr>
          <w:rFonts w:hint="eastAsia"/>
          <w:lang w:val="en-US" w:eastAsia="zh-CN"/>
        </w:rPr>
      </w:pPr>
      <w:r>
        <w:rPr>
          <w:rFonts w:hint="eastAsia"/>
          <w:lang w:val="en-US" w:eastAsia="zh-CN"/>
        </w:rPr>
        <w:t>确定吗，这么一点高差需要这么多的台阶吗？</w:t>
      </w:r>
    </w:p>
    <w:p w14:paraId="2A856A86">
      <w:pPr>
        <w:pStyle w:val="29"/>
        <w:rPr>
          <w:rFonts w:hint="eastAsia"/>
          <w:lang w:val="en-US" w:eastAsia="zh-CN"/>
        </w:rPr>
      </w:pPr>
    </w:p>
    <w:p w14:paraId="7ACB2943">
      <w:pPr>
        <w:pStyle w:val="29"/>
        <w:rPr>
          <w:rFonts w:hint="default"/>
          <w:lang w:val="en-US" w:eastAsia="zh-CN"/>
        </w:rPr>
      </w:pPr>
      <w:r>
        <w:rPr>
          <w:rFonts w:hint="eastAsia"/>
          <w:lang w:val="en-US" w:eastAsia="zh-CN"/>
        </w:rPr>
        <w:t>和建设单位复核到底是不是台阶式布局</w:t>
      </w:r>
    </w:p>
  </w:comment>
  <w:comment w:id="3" w:author="Lily" w:date="2023-08-02T09:23:19Z" w:initials="">
    <w:p w14:paraId="20E83F19">
      <w:pPr>
        <w:pStyle w:val="29"/>
      </w:pPr>
      <w:r>
        <w:rPr>
          <w:rFonts w:hint="eastAsia"/>
          <w:lang w:val="en-US" w:eastAsia="zh-CN"/>
        </w:rPr>
        <w:t>施工单位回复：</w:t>
      </w:r>
      <w:r>
        <w:rPr>
          <w:rFonts w:hint="eastAsia"/>
        </w:rPr>
        <w:t>10米高差，大概两米一个建筑一个台地</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5C925057" w15:done="0"/>
  <w15:commentEx w15:paraId="7DA31A3B" w15:done="0" w15:paraIdParent="5C925057"/>
  <w15:commentEx w15:paraId="7ACB2943" w15:done="0"/>
  <w15:commentEx w15:paraId="20E83F19" w15:done="0" w15:paraIdParent="7ACB2943"/>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Arial Unicode MS">
    <w:altName w:val="Arial"/>
    <w:panose1 w:val="020B0604020202020204"/>
    <w:charset w:val="00"/>
    <w:family w:val="roman"/>
    <w:pitch w:val="default"/>
    <w:sig w:usb0="00000000" w:usb1="00000000" w:usb2="00000000" w:usb3="00000000" w:csb0="00000001" w:csb1="00000000"/>
  </w:font>
  <w:font w:name="楷体_GB2312">
    <w:altName w:val="楷体"/>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TimesNewRomanPSMT">
    <w:altName w:val="Times New Roman"/>
    <w:panose1 w:val="00000000000000000000"/>
    <w:charset w:val="00"/>
    <w:family w:val="roman"/>
    <w:pitch w:val="default"/>
    <w:sig w:usb0="00000000" w:usb1="00000000" w:usb2="00000000" w:usb3="00000000" w:csb0="00040001" w:csb1="00000000"/>
  </w:font>
  <w:font w:name="ISOCT">
    <w:panose1 w:val="00000400000000000000"/>
    <w:charset w:val="00"/>
    <w:family w:val="auto"/>
    <w:pitch w:val="default"/>
    <w:sig w:usb0="00000007" w:usb1="00000000" w:usb2="00000000" w:usb3="00000000" w:csb0="000001FF" w:csb1="00000000"/>
  </w:font>
  <w:font w:name="Bradley Hand ITC">
    <w:panose1 w:val="03070402050302030203"/>
    <w:charset w:val="00"/>
    <w:family w:val="script"/>
    <w:pitch w:val="default"/>
    <w:sig w:usb0="00000003" w:usb1="00000000" w:usb2="00000000" w:usb3="00000000" w:csb0="20000001" w:csb1="00000000"/>
  </w:font>
  <w:font w:name="新宋体">
    <w:panose1 w:val="02010609030101010101"/>
    <w:charset w:val="86"/>
    <w:family w:val="modern"/>
    <w:pitch w:val="default"/>
    <w:sig w:usb0="0000028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隶书">
    <w:panose1 w:val="0201050906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汉仪旗黑-55简">
    <w:altName w:val="黑体"/>
    <w:panose1 w:val="00020600040101010101"/>
    <w:charset w:val="8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Bdr>
        <w:top w:val="single" w:color="auto" w:sz="4" w:space="1"/>
      </w:pBdr>
      <w:jc w:val="right"/>
      <w:rPr>
        <w:rFonts w:hint="default" w:ascii="仿宋_GB2312" w:eastAsia="仿宋_GB2312"/>
        <w:lang w:val="en-US"/>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7"/>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40"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lraWbN8BAADBAwAADgAAAAAA&#10;AAABACAAAAAeAQAAZHJzL2Uyb0RvYy54bWxQSwUGAAAAAAYABgBZAQAAbwUAAAAA&#10;">
              <v:fill on="f" focussize="0,0"/>
              <v:stroke on="f"/>
              <v:imagedata o:title=""/>
              <o:lock v:ext="edit" aspectratio="f"/>
              <v:textbox inset="0mm,0mm,0mm,0mm" style="mso-fit-shape-to-text:t;">
                <w:txbxContent>
                  <w:p>
                    <w:pPr>
                      <w:pStyle w:val="57"/>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ascii="仿宋_GB2312" w:eastAsia="仿宋_GB2312"/>
        <w:lang w:val="en-US" w:eastAsia="zh-CN"/>
      </w:rPr>
      <w:t>吉林省晟元工程咨询有限公司</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Bdr>
        <w:top w:val="single" w:color="auto" w:sz="4" w:space="1"/>
      </w:pBdr>
      <w:jc w:val="right"/>
      <w:rPr>
        <w:rFonts w:hint="eastAsia" w:ascii="仿宋_GB2312" w:eastAsia="宋体"/>
        <w:szCs w:val="21"/>
        <w:lang w:eastAsia="zh-CN"/>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4"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7"/>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2eg7rt8BAADBAwAADgAAAAAA&#10;AAABACAAAAAeAQAAZHJzL2Uyb0RvYy54bWxQSwUGAAAAAAYABgBZAQAAbwUAAAAA&#10;">
              <v:fill on="f" focussize="0,0"/>
              <v:stroke on="f"/>
              <v:imagedata o:title=""/>
              <o:lock v:ext="edit" aspectratio="f"/>
              <v:textbox inset="0mm,0mm,0mm,0mm" style="mso-fit-shape-to-text:t;">
                <w:txbxContent>
                  <w:p>
                    <w:pPr>
                      <w:pStyle w:val="57"/>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eastAsia="仿宋_GB2312"/>
        <w:lang w:eastAsia="zh-CN"/>
      </w:rPr>
      <w:t>吉林省晟元工程咨询有限公司</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auto"/>
      <w:ind w:right="182"/>
      <w:jc w:val="right"/>
      <w:textAlignment w:val="auto"/>
      <w:rPr>
        <w:rFonts w:hint="eastAsia"/>
        <w:lang w:eastAsia="zh-CN"/>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7"/>
                          </w:pPr>
                          <w:r>
                            <w:fldChar w:fldCharType="begin"/>
                          </w:r>
                          <w:r>
                            <w:instrText xml:space="preserve"> PAGE  \* MERGEFORMAT </w:instrText>
                          </w:r>
                          <w:r>
                            <w:fldChar w:fldCharType="separate"/>
                          </w:r>
                          <w:r>
                            <w:t>70</w:t>
                          </w:r>
                          <w:r>
                            <w:fldChar w:fldCharType="end"/>
                          </w:r>
                        </w:p>
                      </w:txbxContent>
                    </wps:txbx>
                    <wps:bodyPr vert="horz" wrap="none" lIns="0" tIns="0" rIns="0" bIns="0" anchor="t" anchorCtr="0" upright="0">
                      <a:spAutoFit/>
                    </wps:bodyPr>
                  </wps:wsp>
                </a:graphicData>
              </a:graphic>
            </wp:anchor>
          </w:drawing>
        </mc:Choice>
        <mc:Fallback>
          <w:pict>
            <v:shape id="文本框 55"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Ij8P9zgAQAAwQMAAA4AAAAA&#10;AAAAAQAgAAAAHgEAAGRycy9lMm9Eb2MueG1sUEsFBgAAAAAGAAYAWQEAAHAFAAAAAA==&#10;">
              <v:fill on="f" focussize="0,0"/>
              <v:stroke on="f"/>
              <v:imagedata o:title=""/>
              <o:lock v:ext="edit" aspectratio="f"/>
              <v:textbox inset="0mm,0mm,0mm,0mm" style="mso-fit-shape-to-text:t;">
                <w:txbxContent>
                  <w:p>
                    <w:pPr>
                      <w:pStyle w:val="57"/>
                    </w:pPr>
                    <w:r>
                      <w:fldChar w:fldCharType="begin"/>
                    </w:r>
                    <w:r>
                      <w:instrText xml:space="preserve"> PAGE  \* MERGEFORMAT </w:instrText>
                    </w:r>
                    <w:r>
                      <w:fldChar w:fldCharType="separate"/>
                    </w:r>
                    <w:r>
                      <w:t>70</w:t>
                    </w:r>
                    <w:r>
                      <w:fldChar w:fldCharType="end"/>
                    </w:r>
                  </w:p>
                </w:txbxContent>
              </v:textbox>
            </v:shape>
          </w:pict>
        </mc:Fallback>
      </mc:AlternateContent>
    </w:r>
    <w:r>
      <w:rPr>
        <w:sz w:val="18"/>
        <w:szCs w:val="18"/>
      </w:rPr>
      <mc:AlternateContent>
        <mc:Choice Requires="wps">
          <w:drawing>
            <wp:anchor distT="0" distB="0" distL="114300" distR="114300" simplePos="0" relativeHeight="251676672" behindDoc="0" locked="0" layoutInCell="0" allowOverlap="1">
              <wp:simplePos x="0" y="0"/>
              <wp:positionH relativeFrom="page">
                <wp:posOffset>1150620</wp:posOffset>
              </wp:positionH>
              <wp:positionV relativeFrom="page">
                <wp:posOffset>9805035</wp:posOffset>
              </wp:positionV>
              <wp:extent cx="5278755" cy="6350"/>
              <wp:effectExtent l="0" t="0" r="0" b="0"/>
              <wp:wrapNone/>
              <wp:docPr id="140" name="任意多边形 54"/>
              <wp:cNvGraphicFramePr/>
              <a:graphic xmlns:a="http://schemas.openxmlformats.org/drawingml/2006/main">
                <a:graphicData uri="http://schemas.microsoft.com/office/word/2010/wordprocessingShape">
                  <wps:wsp>
                    <wps:cNvSpPr/>
                    <wps:spPr>
                      <a:xfrm>
                        <a:off x="0" y="0"/>
                        <a:ext cx="5278755" cy="6350"/>
                      </a:xfrm>
                      <a:custGeom>
                        <a:avLst/>
                        <a:gdLst/>
                        <a:ahLst/>
                        <a:cxnLst/>
                        <a:pathLst>
                          <a:path w="8312" h="10">
                            <a:moveTo>
                              <a:pt x="0" y="0"/>
                            </a:moveTo>
                            <a:lnTo>
                              <a:pt x="8312" y="0"/>
                            </a:lnTo>
                            <a:lnTo>
                              <a:pt x="8312" y="9"/>
                            </a:lnTo>
                            <a:lnTo>
                              <a:pt x="0" y="9"/>
                            </a:lnTo>
                            <a:lnTo>
                              <a:pt x="0" y="0"/>
                            </a:lnTo>
                            <a:close/>
                          </a:path>
                        </a:pathLst>
                      </a:custGeom>
                      <a:solidFill>
                        <a:srgbClr val="000000"/>
                      </a:solidFill>
                      <a:ln>
                        <a:noFill/>
                      </a:ln>
                    </wps:spPr>
                    <wps:bodyPr wrap="square" upright="1"/>
                  </wps:wsp>
                </a:graphicData>
              </a:graphic>
            </wp:anchor>
          </w:drawing>
        </mc:Choice>
        <mc:Fallback>
          <w:pict>
            <v:shape id="任意多边形 54" o:spid="_x0000_s1026" o:spt="100" style="position:absolute;left:0pt;margin-left:90.6pt;margin-top:772.05pt;height:0.5pt;width:415.65pt;mso-position-horizontal-relative:page;mso-position-vertical-relative:page;z-index:251676672;mso-width-relative:page;mso-height-relative:page;" fillcolor="#000000" filled="t" stroked="f" coordsize="8312,10" o:allowincell="f" o:gfxdata="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4LZkPaAAAA&#10;DgEAAA8AAAAAAAAAAQAgAAAAIgAAAGRycy9kb3ducmV2LnhtbFBLAQIUABQAAAAIAIdO4kBfQZQF&#10;GwIAAIoEAAAOAAAAAAAAAAEAIAAAACkBAABkcnMvZTJvRG9jLnhtbFBLBQYAAAAABgAGAFkBAAC2&#10;BQAAAAA=&#10;" path="m0,0l8312,0,8312,9,0,9,0,0xe">
              <v:fill on="t" focussize="0,0"/>
              <v:stroke on="f"/>
              <v:imagedata o:title=""/>
              <o:lock v:ext="edit" aspectratio="f"/>
            </v:shape>
          </w:pict>
        </mc:Fallback>
      </mc:AlternateContent>
    </w:r>
    <w:r>
      <w:rPr>
        <w:rFonts w:hint="eastAsia" w:ascii="仿宋" w:hAnsi="仿宋" w:eastAsia="仿宋" w:cs="仿宋"/>
        <w:spacing w:val="3"/>
        <w:sz w:val="18"/>
        <w:szCs w:val="18"/>
        <w:lang w:eastAsia="zh-CN"/>
      </w:rPr>
      <w:t>吉林省晟元工程咨询有限公司</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33" w:lineRule="auto"/>
      <w:ind w:left="30"/>
      <w:jc w:val="right"/>
      <w:rPr>
        <w:rFonts w:ascii="Times New Roman" w:hAnsi="Times New Roman" w:eastAsia="Times New Roman" w:cs="Times New Roman"/>
        <w:sz w:val="17"/>
        <w:szCs w:val="17"/>
      </w:rPr>
    </w:pPr>
    <w:r>
      <w:rPr>
        <w:sz w:val="21"/>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1" name="文本框 1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7"/>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ii83ozAgAAZQQAAA4AAABkcnMvZTJvRG9jLnhtbK1UzY7TMBC+I/EO&#10;lu80aRFL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ii83ozAgAAZQQAAA4AAAAAAAAAAQAgAAAAHwEAAGRycy9lMm9Eb2MueG1sUEsF&#10;BgAAAAAGAAYAWQEAAMQFAAAAAA==&#10;">
              <v:fill on="f" focussize="0,0"/>
              <v:stroke on="f" weight="0.5pt"/>
              <v:imagedata o:title=""/>
              <o:lock v:ext="edit" aspectratio="f"/>
              <v:textbox inset="0mm,0mm,0mm,0mm" style="mso-fit-shape-to-text:t;">
                <w:txbxContent>
                  <w:p>
                    <w:pPr>
                      <w:pStyle w:val="57"/>
                    </w:pPr>
                    <w:r>
                      <w:fldChar w:fldCharType="begin"/>
                    </w:r>
                    <w:r>
                      <w:instrText xml:space="preserve"> PAGE  \* MERGEFORMAT </w:instrText>
                    </w:r>
                    <w:r>
                      <w:fldChar w:fldCharType="separate"/>
                    </w:r>
                    <w:r>
                      <w:t>73</w:t>
                    </w:r>
                    <w:r>
                      <w:fldChar w:fldCharType="end"/>
                    </w:r>
                  </w:p>
                </w:txbxContent>
              </v:textbox>
            </v:shape>
          </w:pict>
        </mc:Fallback>
      </mc:AlternateContent>
    </w:r>
    <w:r>
      <mc:AlternateContent>
        <mc:Choice Requires="wps">
          <w:drawing>
            <wp:anchor distT="0" distB="0" distL="114300" distR="114300" simplePos="0" relativeHeight="251680768" behindDoc="0" locked="0" layoutInCell="0" allowOverlap="1">
              <wp:simplePos x="0" y="0"/>
              <wp:positionH relativeFrom="page">
                <wp:posOffset>1141095</wp:posOffset>
              </wp:positionH>
              <wp:positionV relativeFrom="page">
                <wp:posOffset>9890760</wp:posOffset>
              </wp:positionV>
              <wp:extent cx="5278755" cy="6350"/>
              <wp:effectExtent l="0" t="0" r="0" b="0"/>
              <wp:wrapNone/>
              <wp:docPr id="163" name="任意多边形 163"/>
              <wp:cNvGraphicFramePr/>
              <a:graphic xmlns:a="http://schemas.openxmlformats.org/drawingml/2006/main">
                <a:graphicData uri="http://schemas.microsoft.com/office/word/2010/wordprocessingShape">
                  <wps:wsp>
                    <wps:cNvSpPr/>
                    <wps:spPr>
                      <a:xfrm>
                        <a:off x="0" y="0"/>
                        <a:ext cx="5278755" cy="6350"/>
                      </a:xfrm>
                      <a:custGeom>
                        <a:avLst/>
                        <a:gdLst/>
                        <a:ahLst/>
                        <a:cxnLst/>
                        <a:pathLst>
                          <a:path w="8312" h="10">
                            <a:moveTo>
                              <a:pt x="0" y="0"/>
                            </a:moveTo>
                            <a:lnTo>
                              <a:pt x="8312" y="0"/>
                            </a:lnTo>
                            <a:lnTo>
                              <a:pt x="8312" y="9"/>
                            </a:lnTo>
                            <a:lnTo>
                              <a:pt x="0" y="9"/>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9.85pt;margin-top:778.8pt;height:0.5pt;width:415.65pt;mso-position-horizontal-relative:page;mso-position-vertical-relative:page;z-index:251680768;mso-width-relative:page;mso-height-relative:page;" fillcolor="#000000" filled="t" stroked="f" coordsize="8312,10" o:allowincell="f" o:gfxdata="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iZ8SedgAAAAOAQAADwAAAAAAAAAB&#10;ACAAAAAiAAAAZHJzL2Rvd25yZXYueG1sUEsBAhQAFAAAAAgAh07iQAIOkg4QAgAAfQQAAA4AAAAA&#10;AAAAAQAgAAAAJwEAAGRycy9lMm9Eb2MueG1sUEsFBgAAAAAGAAYAWQEAAKkFAAAAAA==&#10;" path="m0,0l8312,0,8312,9,0,9,0,0xe">
              <v:fill on="t" focussize="0,0"/>
              <v:stroke on="f"/>
              <v:imagedata o:title=""/>
              <o:lock v:ext="edit" aspectratio="f"/>
            </v:shape>
          </w:pict>
        </mc:Fallback>
      </mc:AlternateContent>
    </w:r>
    <w:r>
      <w:rPr>
        <w:rFonts w:hint="eastAsia" w:ascii="仿宋" w:hAnsi="仿宋" w:eastAsia="仿宋" w:cs="仿宋"/>
        <w:spacing w:val="3"/>
        <w:sz w:val="18"/>
        <w:szCs w:val="18"/>
        <w:lang w:eastAsia="zh-CN"/>
      </w:rPr>
      <w:t>吉林省晟元工程咨询有限公司</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rPr>
        <w:rFonts w:hint="eastAsia"/>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rPr>
        <w:rFonts w:hint="eastAsia"/>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rPr>
        <w:rFonts w:hint="eastAsia"/>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Bdr>
        <w:top w:val="single" w:color="auto" w:sz="4" w:space="1"/>
      </w:pBdr>
      <w:jc w:val="right"/>
      <w:rPr>
        <w:rFonts w:hint="eastAsia" w:ascii="仿宋_GB2312" w:eastAsia="宋体"/>
        <w:lang w:eastAsia="zh-CN"/>
      </w:rPr>
    </w:pPr>
    <w: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5"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7"/>
                          </w:pPr>
                          <w:r>
                            <w:fldChar w:fldCharType="begin"/>
                          </w:r>
                          <w:r>
                            <w:instrText xml:space="preserve"> PAGE  \* MERGEFORMAT </w:instrText>
                          </w:r>
                          <w:r>
                            <w:fldChar w:fldCharType="separate"/>
                          </w:r>
                          <w:r>
                            <w:t>IV</w:t>
                          </w:r>
                          <w:r>
                            <w:fldChar w:fldCharType="end"/>
                          </w:r>
                        </w:p>
                      </w:txbxContent>
                    </wps:txbx>
                    <wps:bodyPr wrap="none" lIns="0" tIns="0" rIns="0" bIns="0" upright="0">
                      <a:spAutoFit/>
                    </wps:bodyPr>
                  </wps:wsp>
                </a:graphicData>
              </a:graphic>
            </wp:anchor>
          </w:drawing>
        </mc:Choice>
        <mc:Fallback>
          <w:pict>
            <v:shape id="文本框 14"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zYS58oBAACcAwAADgAAAGRycy9lMm9Eb2MueG1srVPNjtMwEL4j8Q6W&#10;79RpB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lvchNUrShy3OPLL92+XH78uP7+S&#10;5cusUB+gxsS7gKlpeOsHzJ79gM5MfFDR5i9SIhhHfc9XfeWQiMiP1qv1usKQwNh8QXz28DxESO+k&#10;tyQbDY04wKIrP32ANKbOKbma87famDJE4/5yIGb2sNz72GO20rAfJkJ7356RT4+zb6jDVafEvHco&#10;bV6T2YizsZ+NY4j60JU9yvUgvDkmbKL0liuMsFNhHFphNy1Y3oo/7yXr4afa/g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szYS58oBAACcAwAADgAAAAAAAAABACAAAAAeAQAAZHJzL2Uyb0Rv&#10;Yy54bWxQSwUGAAAAAAYABgBZAQAAWgUAAAAA&#10;">
              <v:fill on="f" focussize="0,0"/>
              <v:stroke on="f"/>
              <v:imagedata o:title=""/>
              <o:lock v:ext="edit" aspectratio="f"/>
              <v:textbox inset="0mm,0mm,0mm,0mm" style="mso-fit-shape-to-text:t;">
                <w:txbxContent>
                  <w:p>
                    <w:pPr>
                      <w:pStyle w:val="57"/>
                    </w:pPr>
                    <w:r>
                      <w:fldChar w:fldCharType="begin"/>
                    </w:r>
                    <w:r>
                      <w:instrText xml:space="preserve"> PAGE  \* MERGEFORMAT </w:instrText>
                    </w:r>
                    <w:r>
                      <w:fldChar w:fldCharType="separate"/>
                    </w:r>
                    <w:r>
                      <w:t>IV</w:t>
                    </w:r>
                    <w:r>
                      <w:fldChar w:fldCharType="end"/>
                    </w:r>
                  </w:p>
                </w:txbxContent>
              </v:textbox>
            </v:shape>
          </w:pict>
        </mc:Fallback>
      </mc:AlternateContent>
    </w:r>
    <w:r>
      <w:rPr>
        <w:rFonts w:hint="eastAsia" w:eastAsia="仿宋_GB2312"/>
        <w:lang w:eastAsia="zh-CN"/>
      </w:rPr>
      <w:t>吉林省晟元工程咨询有限公司</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Bdr>
        <w:top w:val="single" w:color="auto" w:sz="4" w:space="1"/>
      </w:pBdr>
      <w:jc w:val="right"/>
      <w:rPr>
        <w:rFonts w:hint="eastAsia" w:ascii="仿宋_GB2312" w:eastAsia="宋体"/>
        <w:lang w:eastAsia="zh-CN"/>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2"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7"/>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CueNB83gEAAMADAAAOAAAAAAAA&#10;AAEAIAAAAB4BAABkcnMvZTJvRG9jLnhtbFBLBQYAAAAABgAGAFkBAABuBQAAAAA=&#10;">
              <v:fill on="f" focussize="0,0"/>
              <v:stroke on="f"/>
              <v:imagedata o:title=""/>
              <o:lock v:ext="edit" aspectratio="f"/>
              <v:textbox inset="0mm,0mm,0mm,0mm" style="mso-fit-shape-to-text:t;">
                <w:txbxContent>
                  <w:p>
                    <w:pPr>
                      <w:pStyle w:val="57"/>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eastAsia="仿宋_GB2312"/>
        <w:lang w:eastAsia="zh-CN"/>
      </w:rPr>
      <w:t>吉林省晟元工程咨询有限公司</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Bdr>
        <w:top w:val="single" w:color="auto" w:sz="4" w:space="1"/>
      </w:pBdr>
      <w:rPr>
        <w:rFonts w:hint="eastAsia" w:ascii="仿宋_GB2312" w:eastAsia="宋体"/>
        <w:szCs w:val="21"/>
        <w:lang w:eastAsia="zh-CN"/>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3"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7"/>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9"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F2vUA98BAADAAwAADgAAAAAA&#10;AAABACAAAAAeAQAAZHJzL2Uyb0RvYy54bWxQSwUGAAAAAAYABgBZAQAAbwUAAAAA&#10;">
              <v:fill on="f" focussize="0,0"/>
              <v:stroke on="f"/>
              <v:imagedata o:title=""/>
              <o:lock v:ext="edit" aspectratio="f"/>
              <v:textbox inset="0mm,0mm,0mm,0mm" style="mso-fit-shape-to-text:t;">
                <w:txbxContent>
                  <w:p>
                    <w:pPr>
                      <w:pStyle w:val="57"/>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eastAsia="仿宋_GB2312"/>
        <w:lang w:eastAsia="zh-CN"/>
      </w:rPr>
      <w:t>吉林省晟元工程咨询有限公司</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33" w:lineRule="auto"/>
      <w:ind w:left="30"/>
      <w:jc w:val="right"/>
      <w:rPr>
        <w:rFonts w:ascii="Times New Roman" w:hAnsi="Times New Roman" w:eastAsia="Times New Roman" w:cs="Times New Roman"/>
        <w:sz w:val="17"/>
        <w:szCs w:val="17"/>
      </w:rPr>
    </w:pPr>
    <w:r>
      <w:rPr>
        <w:sz w:val="21"/>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7"/>
                          </w:pPr>
                          <w:r>
                            <w:fldChar w:fldCharType="begin"/>
                          </w:r>
                          <w:r>
                            <w:instrText xml:space="preserve"> PAGE  \* MERGEFORMAT </w:instrText>
                          </w:r>
                          <w:r>
                            <w:fldChar w:fldCharType="separate"/>
                          </w:r>
                          <w:r>
                            <w:t>11</w:t>
                          </w:r>
                          <w:r>
                            <w:fldChar w:fldCharType="end"/>
                          </w:r>
                        </w:p>
                      </w:txbxContent>
                    </wps:txbx>
                    <wps:bodyPr vert="horz" wrap="none" lIns="0" tIns="0" rIns="0" bIns="0" anchor="t" anchorCtr="0" upright="0">
                      <a:spAutoFit/>
                    </wps:bodyPr>
                  </wps:wsp>
                </a:graphicData>
              </a:graphic>
            </wp:anchor>
          </w:drawing>
        </mc:Choice>
        <mc:Fallback>
          <w:pict>
            <v:shape id="文本框 41"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K58I8bgAQAAwQMAAA4AAAAA&#10;AAAAAQAgAAAAHgEAAGRycy9lMm9Eb2MueG1sUEsFBgAAAAAGAAYAWQEAAHAFAAAAAA==&#10;">
              <v:fill on="f" focussize="0,0"/>
              <v:stroke on="f"/>
              <v:imagedata o:title=""/>
              <o:lock v:ext="edit" aspectratio="f"/>
              <v:textbox inset="0mm,0mm,0mm,0mm" style="mso-fit-shape-to-text:t;">
                <w:txbxContent>
                  <w:p>
                    <w:pPr>
                      <w:pStyle w:val="57"/>
                    </w:pPr>
                    <w:r>
                      <w:fldChar w:fldCharType="begin"/>
                    </w:r>
                    <w:r>
                      <w:instrText xml:space="preserve"> PAGE  \* MERGEFORMAT </w:instrText>
                    </w:r>
                    <w:r>
                      <w:fldChar w:fldCharType="separate"/>
                    </w:r>
                    <w:r>
                      <w:t>11</w:t>
                    </w:r>
                    <w:r>
                      <w:fldChar w:fldCharType="end"/>
                    </w:r>
                  </w:p>
                </w:txbxContent>
              </v:textbox>
            </v:shape>
          </w:pict>
        </mc:Fallback>
      </mc:AlternateContent>
    </w:r>
    <w:r>
      <mc:AlternateContent>
        <mc:Choice Requires="wps">
          <w:drawing>
            <wp:anchor distT="0" distB="0" distL="114300" distR="114300" simplePos="0" relativeHeight="251667456" behindDoc="0" locked="0" layoutInCell="0" allowOverlap="1">
              <wp:simplePos x="0" y="0"/>
              <wp:positionH relativeFrom="page">
                <wp:posOffset>1141095</wp:posOffset>
              </wp:positionH>
              <wp:positionV relativeFrom="page">
                <wp:posOffset>9890760</wp:posOffset>
              </wp:positionV>
              <wp:extent cx="5278755" cy="6350"/>
              <wp:effectExtent l="0" t="0" r="0" b="0"/>
              <wp:wrapNone/>
              <wp:docPr id="129" name="任意多边形 30"/>
              <wp:cNvGraphicFramePr/>
              <a:graphic xmlns:a="http://schemas.openxmlformats.org/drawingml/2006/main">
                <a:graphicData uri="http://schemas.microsoft.com/office/word/2010/wordprocessingShape">
                  <wps:wsp>
                    <wps:cNvSpPr/>
                    <wps:spPr>
                      <a:xfrm>
                        <a:off x="0" y="0"/>
                        <a:ext cx="5278755" cy="6350"/>
                      </a:xfrm>
                      <a:custGeom>
                        <a:avLst/>
                        <a:gdLst/>
                        <a:ahLst/>
                        <a:cxnLst/>
                        <a:pathLst>
                          <a:path w="8312" h="10">
                            <a:moveTo>
                              <a:pt x="0" y="0"/>
                            </a:moveTo>
                            <a:lnTo>
                              <a:pt x="8312" y="0"/>
                            </a:lnTo>
                            <a:lnTo>
                              <a:pt x="8312" y="9"/>
                            </a:lnTo>
                            <a:lnTo>
                              <a:pt x="0" y="9"/>
                            </a:lnTo>
                            <a:lnTo>
                              <a:pt x="0" y="0"/>
                            </a:lnTo>
                            <a:close/>
                          </a:path>
                        </a:pathLst>
                      </a:custGeom>
                      <a:solidFill>
                        <a:srgbClr val="000000"/>
                      </a:solidFill>
                      <a:ln>
                        <a:noFill/>
                      </a:ln>
                    </wps:spPr>
                    <wps:bodyPr wrap="square" upright="1"/>
                  </wps:wsp>
                </a:graphicData>
              </a:graphic>
            </wp:anchor>
          </w:drawing>
        </mc:Choice>
        <mc:Fallback>
          <w:pict>
            <v:shape id="任意多边形 30" o:spid="_x0000_s1026" o:spt="100" style="position:absolute;left:0pt;margin-left:89.85pt;margin-top:778.8pt;height:0.5pt;width:415.65pt;mso-position-horizontal-relative:page;mso-position-vertical-relative:page;z-index:251667456;mso-width-relative:page;mso-height-relative:page;" fillcolor="#000000" filled="t" stroked="f" coordsize="8312,10" o:allowincell="f" o:gfxdata="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mfEnnYAAAADgEA&#10;AA8AAAAAAAAAAQAgAAAAIgAAAGRycy9kb3ducmV2LnhtbFBLAQIUABQAAAAIAIdO4kDHxxBdGgIA&#10;AIoEAAAOAAAAAAAAAAEAIAAAACcBAABkcnMvZTJvRG9jLnhtbFBLBQYAAAAABgAGAFkBAACzBQAA&#10;AAA=&#10;" path="m0,0l8312,0,8312,9,0,9,0,0xe">
              <v:fill on="t" focussize="0,0"/>
              <v:stroke on="f"/>
              <v:imagedata o:title=""/>
              <o:lock v:ext="edit" aspectratio="f"/>
            </v:shape>
          </w:pict>
        </mc:Fallback>
      </mc:AlternateContent>
    </w:r>
    <w:r>
      <w:rPr>
        <w:rFonts w:hint="eastAsia" w:ascii="仿宋" w:hAnsi="仿宋" w:eastAsia="仿宋" w:cs="仿宋"/>
        <w:spacing w:val="5"/>
        <w:sz w:val="17"/>
        <w:szCs w:val="17"/>
        <w:lang w:eastAsia="zh-CN"/>
      </w:rPr>
      <w:t>吉林省晟元工程咨询有限公司</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33" w:lineRule="auto"/>
      <w:ind w:left="30"/>
      <w:jc w:val="right"/>
      <w:rPr>
        <w:rFonts w:ascii="Times New Roman" w:hAnsi="Times New Roman" w:eastAsia="Times New Roman" w:cs="Times New Roman"/>
        <w:sz w:val="17"/>
        <w:szCs w:val="17"/>
      </w:rPr>
    </w:pPr>
    <w:r>
      <mc:AlternateContent>
        <mc:Choice Requires="wps">
          <w:drawing>
            <wp:anchor distT="0" distB="0" distL="114300" distR="114300" simplePos="0" relativeHeight="251668480" behindDoc="0" locked="0" layoutInCell="0" allowOverlap="1">
              <wp:simplePos x="0" y="0"/>
              <wp:positionH relativeFrom="page">
                <wp:posOffset>1150620</wp:posOffset>
              </wp:positionH>
              <wp:positionV relativeFrom="page">
                <wp:posOffset>9833610</wp:posOffset>
              </wp:positionV>
              <wp:extent cx="5278755" cy="6350"/>
              <wp:effectExtent l="0" t="0" r="0" b="0"/>
              <wp:wrapNone/>
              <wp:docPr id="130" name="任意多边形 36"/>
              <wp:cNvGraphicFramePr/>
              <a:graphic xmlns:a="http://schemas.openxmlformats.org/drawingml/2006/main">
                <a:graphicData uri="http://schemas.microsoft.com/office/word/2010/wordprocessingShape">
                  <wps:wsp>
                    <wps:cNvSpPr/>
                    <wps:spPr>
                      <a:xfrm>
                        <a:off x="0" y="0"/>
                        <a:ext cx="5278755" cy="6350"/>
                      </a:xfrm>
                      <a:custGeom>
                        <a:avLst/>
                        <a:gdLst/>
                        <a:ahLst/>
                        <a:cxnLst/>
                        <a:pathLst>
                          <a:path w="8312" h="10">
                            <a:moveTo>
                              <a:pt x="0" y="0"/>
                            </a:moveTo>
                            <a:lnTo>
                              <a:pt x="8312" y="0"/>
                            </a:lnTo>
                            <a:lnTo>
                              <a:pt x="8312" y="9"/>
                            </a:lnTo>
                            <a:lnTo>
                              <a:pt x="0" y="9"/>
                            </a:lnTo>
                            <a:lnTo>
                              <a:pt x="0" y="0"/>
                            </a:lnTo>
                            <a:close/>
                          </a:path>
                        </a:pathLst>
                      </a:custGeom>
                      <a:solidFill>
                        <a:srgbClr val="000000"/>
                      </a:solidFill>
                      <a:ln>
                        <a:noFill/>
                      </a:ln>
                    </wps:spPr>
                    <wps:bodyPr wrap="square" upright="1"/>
                  </wps:wsp>
                </a:graphicData>
              </a:graphic>
            </wp:anchor>
          </w:drawing>
        </mc:Choice>
        <mc:Fallback>
          <w:pict>
            <v:shape id="任意多边形 36" o:spid="_x0000_s1026" o:spt="100" style="position:absolute;left:0pt;margin-left:90.6pt;margin-top:774.3pt;height:0.5pt;width:415.65pt;mso-position-horizontal-relative:page;mso-position-vertical-relative:page;z-index:251668480;mso-width-relative:page;mso-height-relative:page;" fillcolor="#000000" filled="t" stroked="f" coordsize="8312,10" o:allowincell="f" o:gfxdata="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EtSQtoAAAAO&#10;AQAADwAAAAAAAAABACAAAAAiAAAAZHJzL2Rvd25yZXYueG1sUEsBAhQAFAAAAAgAh07iQLAT12Ua&#10;AgAAigQAAA4AAAAAAAAAAQAgAAAAKQEAAGRycy9lMm9Eb2MueG1sUEsFBgAAAAAGAAYAWQEAALUF&#10;AAAAAA==&#10;" path="m0,0l8312,0,8312,9,0,9,0,0xe">
              <v:fill on="t" focussize="0,0"/>
              <v:stroke on="f"/>
              <v:imagedata o:title=""/>
              <o:lock v:ext="edit" aspectratio="f"/>
            </v:shap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7"/>
                          </w:pPr>
                          <w:r>
                            <w:fldChar w:fldCharType="begin"/>
                          </w:r>
                          <w:r>
                            <w:instrText xml:space="preserve"> PAGE  \* MERGEFORMAT </w:instrText>
                          </w:r>
                          <w:r>
                            <w:fldChar w:fldCharType="separate"/>
                          </w:r>
                          <w:r>
                            <w:t>25</w:t>
                          </w:r>
                          <w:r>
                            <w:fldChar w:fldCharType="end"/>
                          </w:r>
                        </w:p>
                      </w:txbxContent>
                    </wps:txbx>
                    <wps:bodyPr vert="horz" wrap="none" lIns="0" tIns="0" rIns="0" bIns="0" anchor="t" anchorCtr="0" upright="0">
                      <a:spAutoFit/>
                    </wps:bodyPr>
                  </wps:wsp>
                </a:graphicData>
              </a:graphic>
            </wp:anchor>
          </w:drawing>
        </mc:Choice>
        <mc:Fallback>
          <w:pict>
            <v:shape id="文本框 42"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BgIIi/gAQAAwQMAAA4AAAAA&#10;AAAAAQAgAAAAHgEAAGRycy9lMm9Eb2MueG1sUEsFBgAAAAAGAAYAWQEAAHAFAAAAAA==&#10;">
              <v:fill on="f" focussize="0,0"/>
              <v:stroke on="f"/>
              <v:imagedata o:title=""/>
              <o:lock v:ext="edit" aspectratio="f"/>
              <v:textbox inset="0mm,0mm,0mm,0mm" style="mso-fit-shape-to-text:t;">
                <w:txbxContent>
                  <w:p>
                    <w:pPr>
                      <w:pStyle w:val="57"/>
                    </w:pPr>
                    <w:r>
                      <w:fldChar w:fldCharType="begin"/>
                    </w:r>
                    <w:r>
                      <w:instrText xml:space="preserve"> PAGE  \* MERGEFORMAT </w:instrText>
                    </w:r>
                    <w:r>
                      <w:fldChar w:fldCharType="separate"/>
                    </w:r>
                    <w:r>
                      <w:t>25</w:t>
                    </w:r>
                    <w:r>
                      <w:fldChar w:fldCharType="end"/>
                    </w:r>
                  </w:p>
                </w:txbxContent>
              </v:textbox>
            </v:shape>
          </w:pict>
        </mc:Fallback>
      </mc:AlternateContent>
    </w:r>
    <w:r>
      <w:rPr>
        <w:rFonts w:hint="eastAsia" w:ascii="仿宋" w:hAnsi="仿宋" w:eastAsia="仿宋" w:cs="仿宋"/>
        <w:spacing w:val="12"/>
        <w:sz w:val="17"/>
        <w:szCs w:val="17"/>
        <w:lang w:eastAsia="zh-CN"/>
      </w:rPr>
      <w:t>吉林省晟元工程咨询有限公司</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4" w:line="233" w:lineRule="auto"/>
      <w:ind w:right="102"/>
      <w:jc w:val="right"/>
      <w:rPr>
        <w:rFonts w:hint="eastAsia" w:ascii="仿宋" w:hAnsi="仿宋" w:eastAsia="宋体" w:cs="仿宋"/>
        <w:sz w:val="17"/>
        <w:szCs w:val="17"/>
        <w:lang w:eastAsia="zh-CN"/>
      </w:rPr>
    </w:pPr>
    <w:r>
      <w:rPr>
        <w:sz w:val="21"/>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7"/>
                          </w:pPr>
                          <w:r>
                            <w:fldChar w:fldCharType="begin"/>
                          </w:r>
                          <w:r>
                            <w:instrText xml:space="preserve"> PAGE  \* MERGEFORMAT </w:instrText>
                          </w:r>
                          <w:r>
                            <w:fldChar w:fldCharType="separate"/>
                          </w:r>
                          <w:r>
                            <w:t>29</w:t>
                          </w:r>
                          <w:r>
                            <w:fldChar w:fldCharType="end"/>
                          </w:r>
                        </w:p>
                      </w:txbxContent>
                    </wps:txbx>
                    <wps:bodyPr vert="horz" wrap="none" lIns="0" tIns="0" rIns="0" bIns="0" anchor="t" anchorCtr="0" upright="0">
                      <a:spAutoFit/>
                    </wps:bodyPr>
                  </wps:wsp>
                </a:graphicData>
              </a:graphic>
            </wp:anchor>
          </w:drawing>
        </mc:Choice>
        <mc:Fallback>
          <w:pict>
            <v:shape id="文本框 43"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Cf7jlI4QEAAMEDAAAOAAAA&#10;AAAAAAEAIAAAAB4BAABkcnMvZTJvRG9jLnhtbFBLBQYAAAAABgAGAFkBAABxBQAAAAA=&#10;">
              <v:fill on="f" focussize="0,0"/>
              <v:stroke on="f"/>
              <v:imagedata o:title=""/>
              <o:lock v:ext="edit" aspectratio="f"/>
              <v:textbox inset="0mm,0mm,0mm,0mm" style="mso-fit-shape-to-text:t;">
                <w:txbxContent>
                  <w:p>
                    <w:pPr>
                      <w:pStyle w:val="57"/>
                    </w:pPr>
                    <w:r>
                      <w:fldChar w:fldCharType="begin"/>
                    </w:r>
                    <w:r>
                      <w:instrText xml:space="preserve"> PAGE  \* MERGEFORMAT </w:instrText>
                    </w:r>
                    <w:r>
                      <w:fldChar w:fldCharType="separate"/>
                    </w:r>
                    <w:r>
                      <w:t>29</w:t>
                    </w:r>
                    <w:r>
                      <w:fldChar w:fldCharType="end"/>
                    </w:r>
                  </w:p>
                </w:txbxContent>
              </v:textbox>
            </v:shape>
          </w:pict>
        </mc:Fallback>
      </mc:AlternateContent>
    </w:r>
    <w:r>
      <mc:AlternateContent>
        <mc:Choice Requires="wps">
          <w:drawing>
            <wp:anchor distT="0" distB="0" distL="114300" distR="114300" simplePos="0" relativeHeight="251665408" behindDoc="0" locked="0" layoutInCell="0" allowOverlap="1">
              <wp:simplePos x="0" y="0"/>
              <wp:positionH relativeFrom="page">
                <wp:posOffset>1201420</wp:posOffset>
              </wp:positionH>
              <wp:positionV relativeFrom="page">
                <wp:posOffset>9824720</wp:posOffset>
              </wp:positionV>
              <wp:extent cx="5278755" cy="6350"/>
              <wp:effectExtent l="0" t="0" r="0" b="0"/>
              <wp:wrapNone/>
              <wp:docPr id="127" name="任意多边形 24"/>
              <wp:cNvGraphicFramePr/>
              <a:graphic xmlns:a="http://schemas.openxmlformats.org/drawingml/2006/main">
                <a:graphicData uri="http://schemas.microsoft.com/office/word/2010/wordprocessingShape">
                  <wps:wsp>
                    <wps:cNvSpPr/>
                    <wps:spPr>
                      <a:xfrm>
                        <a:off x="0" y="0"/>
                        <a:ext cx="5278755" cy="6350"/>
                      </a:xfrm>
                      <a:custGeom>
                        <a:avLst/>
                        <a:gdLst/>
                        <a:ahLst/>
                        <a:cxnLst/>
                        <a:pathLst>
                          <a:path w="8312" h="10">
                            <a:moveTo>
                              <a:pt x="0" y="0"/>
                            </a:moveTo>
                            <a:lnTo>
                              <a:pt x="8312" y="0"/>
                            </a:lnTo>
                            <a:lnTo>
                              <a:pt x="8312" y="9"/>
                            </a:lnTo>
                            <a:lnTo>
                              <a:pt x="0" y="9"/>
                            </a:lnTo>
                            <a:lnTo>
                              <a:pt x="0" y="0"/>
                            </a:lnTo>
                            <a:close/>
                          </a:path>
                        </a:pathLst>
                      </a:custGeom>
                      <a:solidFill>
                        <a:srgbClr val="000000"/>
                      </a:solidFill>
                      <a:ln>
                        <a:noFill/>
                      </a:ln>
                    </wps:spPr>
                    <wps:bodyPr wrap="square" upright="1"/>
                  </wps:wsp>
                </a:graphicData>
              </a:graphic>
            </wp:anchor>
          </w:drawing>
        </mc:Choice>
        <mc:Fallback>
          <w:pict>
            <v:shape id="任意多边形 24" o:spid="_x0000_s1026" o:spt="100" style="position:absolute;left:0pt;margin-left:94.6pt;margin-top:773.6pt;height:0.5pt;width:415.65pt;mso-position-horizontal-relative:page;mso-position-vertical-relative:page;z-index:251665408;mso-width-relative:page;mso-height-relative:page;" fillcolor="#000000" filled="t" stroked="f" coordsize="8312,10" o:allowincell="f" o:gfxdata="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RAIBPtkAAAAO&#10;AQAADwAAAAAAAAABACAAAAAiAAAAZHJzL2Rvd25yZXYueG1sUEsBAhQAFAAAAAgAh07iQGjGL2Ib&#10;AgAAigQAAA4AAAAAAAAAAQAgAAAAKAEAAGRycy9lMm9Eb2MueG1sUEsFBgAAAAAGAAYAWQEAALUF&#10;AAAAAA==&#10;" path="m0,0l8312,0,8312,9,0,9,0,0xe">
              <v:fill on="t" focussize="0,0"/>
              <v:stroke on="f"/>
              <v:imagedata o:title=""/>
              <o:lock v:ext="edit" aspectratio="f"/>
            </v:shape>
          </w:pict>
        </mc:Fallback>
      </mc:AlternateContent>
    </w:r>
    <w:r>
      <w:rPr>
        <w:rFonts w:hint="eastAsia" w:ascii="仿宋" w:hAnsi="仿宋" w:eastAsia="仿宋" w:cs="仿宋"/>
        <w:spacing w:val="3"/>
        <w:sz w:val="17"/>
        <w:szCs w:val="17"/>
        <w:lang w:eastAsia="zh-CN"/>
      </w:rPr>
      <w:t>吉林省晟元工程咨询有限公司</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33" w:lineRule="auto"/>
      <w:ind w:right="127"/>
      <w:jc w:val="right"/>
      <w:rPr>
        <w:rFonts w:hint="eastAsia" w:ascii="仿宋" w:hAnsi="仿宋" w:eastAsia="宋体" w:cs="仿宋"/>
        <w:sz w:val="17"/>
        <w:szCs w:val="17"/>
        <w:lang w:eastAsia="zh-CN"/>
      </w:rPr>
    </w:pPr>
    <w:r>
      <w:rPr>
        <w:sz w:val="21"/>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7"/>
                          </w:pPr>
                          <w:r>
                            <w:fldChar w:fldCharType="begin"/>
                          </w:r>
                          <w:r>
                            <w:instrText xml:space="preserve"> PAGE  \* MERGEFORMAT </w:instrText>
                          </w:r>
                          <w:r>
                            <w:fldChar w:fldCharType="separate"/>
                          </w:r>
                          <w:r>
                            <w:t>38</w:t>
                          </w:r>
                          <w:r>
                            <w:fldChar w:fldCharType="end"/>
                          </w:r>
                        </w:p>
                      </w:txbxContent>
                    </wps:txbx>
                    <wps:bodyPr vert="horz" wrap="none" lIns="0" tIns="0" rIns="0" bIns="0" anchor="t" anchorCtr="0" upright="0">
                      <a:spAutoFit/>
                    </wps:bodyPr>
                  </wps:wsp>
                </a:graphicData>
              </a:graphic>
            </wp:anchor>
          </w:drawing>
        </mc:Choice>
        <mc:Fallback>
          <w:pict>
            <v:shape id="文本框 44"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CKy//r4QEAAMEDAAAOAAAA&#10;AAAAAAEAIAAAAB4BAABkcnMvZTJvRG9jLnhtbFBLBQYAAAAABgAGAFkBAABxBQAAAAA=&#10;">
              <v:fill on="f" focussize="0,0"/>
              <v:stroke on="f"/>
              <v:imagedata o:title=""/>
              <o:lock v:ext="edit" aspectratio="f"/>
              <v:textbox inset="0mm,0mm,0mm,0mm" style="mso-fit-shape-to-text:t;">
                <w:txbxContent>
                  <w:p>
                    <w:pPr>
                      <w:pStyle w:val="57"/>
                    </w:pPr>
                    <w:r>
                      <w:fldChar w:fldCharType="begin"/>
                    </w:r>
                    <w:r>
                      <w:instrText xml:space="preserve"> PAGE  \* MERGEFORMAT </w:instrText>
                    </w:r>
                    <w:r>
                      <w:fldChar w:fldCharType="separate"/>
                    </w:r>
                    <w:r>
                      <w:t>38</w:t>
                    </w:r>
                    <w:r>
                      <w:fldChar w:fldCharType="end"/>
                    </w:r>
                  </w:p>
                </w:txbxContent>
              </v:textbox>
            </v:shape>
          </w:pict>
        </mc:Fallback>
      </mc:AlternateContent>
    </w:r>
    <w:r>
      <mc:AlternateContent>
        <mc:Choice Requires="wps">
          <w:drawing>
            <wp:anchor distT="0" distB="0" distL="114300" distR="114300" simplePos="0" relativeHeight="251664384" behindDoc="0" locked="0" layoutInCell="0" allowOverlap="1">
              <wp:simplePos x="0" y="0"/>
              <wp:positionH relativeFrom="page">
                <wp:posOffset>1141095</wp:posOffset>
              </wp:positionH>
              <wp:positionV relativeFrom="page">
                <wp:posOffset>9890760</wp:posOffset>
              </wp:positionV>
              <wp:extent cx="5278755" cy="6350"/>
              <wp:effectExtent l="0" t="0" r="0" b="0"/>
              <wp:wrapNone/>
              <wp:docPr id="126" name="任意多边形 22"/>
              <wp:cNvGraphicFramePr/>
              <a:graphic xmlns:a="http://schemas.openxmlformats.org/drawingml/2006/main">
                <a:graphicData uri="http://schemas.microsoft.com/office/word/2010/wordprocessingShape">
                  <wps:wsp>
                    <wps:cNvSpPr/>
                    <wps:spPr>
                      <a:xfrm>
                        <a:off x="0" y="0"/>
                        <a:ext cx="5278755" cy="6350"/>
                      </a:xfrm>
                      <a:custGeom>
                        <a:avLst/>
                        <a:gdLst/>
                        <a:ahLst/>
                        <a:cxnLst/>
                        <a:pathLst>
                          <a:path w="8312" h="10">
                            <a:moveTo>
                              <a:pt x="0" y="0"/>
                            </a:moveTo>
                            <a:lnTo>
                              <a:pt x="8312" y="0"/>
                            </a:lnTo>
                            <a:lnTo>
                              <a:pt x="8312" y="9"/>
                            </a:lnTo>
                            <a:lnTo>
                              <a:pt x="0" y="9"/>
                            </a:lnTo>
                            <a:lnTo>
                              <a:pt x="0" y="0"/>
                            </a:lnTo>
                            <a:close/>
                          </a:path>
                        </a:pathLst>
                      </a:custGeom>
                      <a:solidFill>
                        <a:srgbClr val="000000"/>
                      </a:solidFill>
                      <a:ln>
                        <a:noFill/>
                      </a:ln>
                    </wps:spPr>
                    <wps:bodyPr wrap="square" upright="1"/>
                  </wps:wsp>
                </a:graphicData>
              </a:graphic>
            </wp:anchor>
          </w:drawing>
        </mc:Choice>
        <mc:Fallback>
          <w:pict>
            <v:shape id="任意多边形 22" o:spid="_x0000_s1026" o:spt="100" style="position:absolute;left:0pt;margin-left:89.85pt;margin-top:778.8pt;height:0.5pt;width:415.65pt;mso-position-horizontal-relative:page;mso-position-vertical-relative:page;z-index:251664384;mso-width-relative:page;mso-height-relative:page;" fillcolor="#000000" filled="t" stroked="f" coordsize="8312,10" o:allowincell="f" o:gfxdata="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JnxJ52AAAAA4B&#10;AAAPAAAAAAAAAAEAIAAAACIAAABkcnMvZG93bnJldi54bWxQSwECFAAUAAAACACHTuJAqNeTdBsC&#10;AACKBAAADgAAAAAAAAABACAAAAAnAQAAZHJzL2Uyb0RvYy54bWxQSwUGAAAAAAYABgBZAQAAtAUA&#10;AAAA&#10;" path="m0,0l8312,0,8312,9,0,9,0,0xe">
              <v:fill on="t" focussize="0,0"/>
              <v:stroke on="f"/>
              <v:imagedata o:title=""/>
              <o:lock v:ext="edit" aspectratio="f"/>
            </v:shape>
          </w:pict>
        </mc:Fallback>
      </mc:AlternateContent>
    </w:r>
    <w:r>
      <w:rPr>
        <w:rFonts w:hint="eastAsia" w:ascii="仿宋" w:hAnsi="仿宋" w:eastAsia="仿宋" w:cs="仿宋"/>
        <w:spacing w:val="3"/>
        <w:sz w:val="17"/>
        <w:szCs w:val="17"/>
        <w:lang w:eastAsia="zh-CN"/>
      </w:rPr>
      <w:t>吉林省晟元工程咨询有限公司</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4" w:line="233" w:lineRule="auto"/>
      <w:ind w:left="30"/>
      <w:jc w:val="right"/>
      <w:rPr>
        <w:rFonts w:hint="eastAsia" w:ascii="Times New Roman" w:hAnsi="Times New Roman" w:eastAsia="宋体" w:cs="Times New Roman"/>
        <w:sz w:val="17"/>
        <w:szCs w:val="17"/>
        <w:lang w:eastAsia="zh-CN"/>
      </w:rPr>
    </w:pPr>
    <w:r>
      <mc:AlternateContent>
        <mc:Choice Requires="wps">
          <w:drawing>
            <wp:anchor distT="0" distB="0" distL="114300" distR="114300" simplePos="0" relativeHeight="251666432" behindDoc="0" locked="0" layoutInCell="0" allowOverlap="1">
              <wp:simplePos x="0" y="0"/>
              <wp:positionH relativeFrom="page">
                <wp:posOffset>1177925</wp:posOffset>
              </wp:positionH>
              <wp:positionV relativeFrom="page">
                <wp:posOffset>9826625</wp:posOffset>
              </wp:positionV>
              <wp:extent cx="5278755" cy="6350"/>
              <wp:effectExtent l="0" t="0" r="0" b="0"/>
              <wp:wrapNone/>
              <wp:docPr id="128" name="任意多边形 28"/>
              <wp:cNvGraphicFramePr/>
              <a:graphic xmlns:a="http://schemas.openxmlformats.org/drawingml/2006/main">
                <a:graphicData uri="http://schemas.microsoft.com/office/word/2010/wordprocessingShape">
                  <wps:wsp>
                    <wps:cNvSpPr/>
                    <wps:spPr>
                      <a:xfrm>
                        <a:off x="0" y="0"/>
                        <a:ext cx="5278755" cy="6350"/>
                      </a:xfrm>
                      <a:custGeom>
                        <a:avLst/>
                        <a:gdLst/>
                        <a:ahLst/>
                        <a:cxnLst/>
                        <a:pathLst>
                          <a:path w="8312" h="10">
                            <a:moveTo>
                              <a:pt x="0" y="0"/>
                            </a:moveTo>
                            <a:lnTo>
                              <a:pt x="8312" y="0"/>
                            </a:lnTo>
                            <a:lnTo>
                              <a:pt x="8312" y="9"/>
                            </a:lnTo>
                            <a:lnTo>
                              <a:pt x="0" y="9"/>
                            </a:lnTo>
                            <a:lnTo>
                              <a:pt x="0" y="0"/>
                            </a:lnTo>
                            <a:close/>
                          </a:path>
                        </a:pathLst>
                      </a:custGeom>
                      <a:solidFill>
                        <a:srgbClr val="000000"/>
                      </a:solidFill>
                      <a:ln>
                        <a:noFill/>
                      </a:ln>
                    </wps:spPr>
                    <wps:bodyPr wrap="square" upright="1"/>
                  </wps:wsp>
                </a:graphicData>
              </a:graphic>
            </wp:anchor>
          </w:drawing>
        </mc:Choice>
        <mc:Fallback>
          <w:pict>
            <v:shape id="任意多边形 28" o:spid="_x0000_s1026" o:spt="100" style="position:absolute;left:0pt;margin-left:92.75pt;margin-top:773.75pt;height:0.5pt;width:415.65pt;mso-position-horizontal-relative:page;mso-position-vertical-relative:page;z-index:251666432;mso-width-relative:page;mso-height-relative:page;" fillcolor="#000000" filled="t" stroked="f" coordsize="8312,10" o:allowincell="f" o:gfxdata="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fGvdvYAAAADgEA&#10;AA8AAAAAAAAAAQAgAAAAIgAAAGRycy9kb3ducmV2LnhtbFBLAQIUABQAAAAIAIdO4kCSgQ2zGgIA&#10;AIoEAAAOAAAAAAAAAAEAIAAAACcBAABkcnMvZTJvRG9jLnhtbFBLBQYAAAAABgAGAFkBAACzBQAA&#10;AAA=&#10;" path="m0,0l8312,0,8312,9,0,9,0,0xe">
              <v:fill on="t" focussize="0,0"/>
              <v:stroke on="f"/>
              <v:imagedata o:title=""/>
              <o:lock v:ext="edit" aspectratio="f"/>
            </v:shape>
          </w:pict>
        </mc:Fallback>
      </mc:AlternateContent>
    </w:r>
    <w:r>
      <w:rPr>
        <w:sz w:val="21"/>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7"/>
                          </w:pPr>
                          <w:r>
                            <w:fldChar w:fldCharType="begin"/>
                          </w:r>
                          <w:r>
                            <w:instrText xml:space="preserve"> PAGE  \* MERGEFORMAT </w:instrText>
                          </w:r>
                          <w:r>
                            <w:fldChar w:fldCharType="separate"/>
                          </w:r>
                          <w:r>
                            <w:t>45</w:t>
                          </w:r>
                          <w:r>
                            <w:fldChar w:fldCharType="end"/>
                          </w:r>
                        </w:p>
                      </w:txbxContent>
                    </wps:txbx>
                    <wps:bodyPr vert="horz" wrap="none" lIns="0" tIns="0" rIns="0" bIns="0" anchor="t" anchorCtr="0" upright="0">
                      <a:spAutoFit/>
                    </wps:bodyPr>
                  </wps:wsp>
                </a:graphicData>
              </a:graphic>
            </wp:anchor>
          </w:drawing>
        </mc:Choice>
        <mc:Fallback>
          <w:pict>
            <v:shape id="文本框 45"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CyAUpB4QEAAMEDAAAOAAAA&#10;AAAAAAEAIAAAAB4BAABkcnMvZTJvRG9jLnhtbFBLBQYAAAAABgAGAFkBAABxBQAAAAA=&#10;">
              <v:fill on="f" focussize="0,0"/>
              <v:stroke on="f"/>
              <v:imagedata o:title=""/>
              <o:lock v:ext="edit" aspectratio="f"/>
              <v:textbox inset="0mm,0mm,0mm,0mm" style="mso-fit-shape-to-text:t;">
                <w:txbxContent>
                  <w:p>
                    <w:pPr>
                      <w:pStyle w:val="57"/>
                    </w:pPr>
                    <w:r>
                      <w:fldChar w:fldCharType="begin"/>
                    </w:r>
                    <w:r>
                      <w:instrText xml:space="preserve"> PAGE  \* MERGEFORMAT </w:instrText>
                    </w:r>
                    <w:r>
                      <w:fldChar w:fldCharType="separate"/>
                    </w:r>
                    <w:r>
                      <w:t>45</w:t>
                    </w:r>
                    <w:r>
                      <w:fldChar w:fldCharType="end"/>
                    </w:r>
                  </w:p>
                </w:txbxContent>
              </v:textbox>
            </v:shape>
          </w:pict>
        </mc:Fallback>
      </mc:AlternateContent>
    </w:r>
    <w:r>
      <w:rPr>
        <w:rFonts w:hint="eastAsia" w:ascii="仿宋" w:hAnsi="仿宋" w:eastAsia="仿宋" w:cs="仿宋"/>
        <w:spacing w:val="12"/>
        <w:sz w:val="17"/>
        <w:szCs w:val="17"/>
        <w:lang w:eastAsia="zh-CN"/>
      </w:rPr>
      <w:t>吉林省晟元工程咨询有限公司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rPr>
        <w:rFonts w:eastAsia="仿宋_GB2312"/>
        <w:sz w:val="21"/>
        <w:szCs w:val="21"/>
      </w:rPr>
    </w:pPr>
    <w:r>
      <w:rPr>
        <w:rFonts w:hint="eastAsia" w:eastAsia="仿宋_GB2312"/>
        <w:sz w:val="21"/>
        <w:szCs w:val="21"/>
      </w:rPr>
      <w:t>1综合说明</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7"/>
      <w:pBdr>
        <w:bottom w:val="single" w:color="auto" w:sz="4" w:space="1"/>
      </w:pBdr>
      <w:ind w:firstLine="105" w:firstLineChars="50"/>
      <w:jc w:val="center"/>
      <w:rPr>
        <w:rFonts w:ascii="Times New Roman" w:hAnsi="Times New Roman" w:eastAsia="仿宋_GB2312" w:cs="Times New Roman"/>
      </w:rPr>
    </w:pPr>
    <w:r>
      <w:rPr>
        <w:rFonts w:hint="eastAsia" w:ascii="Times New Roman" w:hAnsi="Times New Roman" w:eastAsia="仿宋_GB2312" w:cs="Times New Roman"/>
      </w:rPr>
      <w:t>7</w:t>
    </w:r>
    <w:r>
      <w:rPr>
        <w:rFonts w:ascii="Times New Roman" w:hAnsi="Times New Roman" w:eastAsia="仿宋_GB2312" w:cs="Times New Roman"/>
      </w:rPr>
      <w:t>水土保持投资</w:t>
    </w:r>
    <w:r>
      <w:rPr>
        <w:rFonts w:hint="eastAsia" w:ascii="Times New Roman" w:hAnsi="Times New Roman" w:eastAsia="仿宋_GB2312" w:cs="Times New Roman"/>
      </w:rPr>
      <w:t>估</w:t>
    </w:r>
    <w:r>
      <w:rPr>
        <w:rFonts w:ascii="Times New Roman" w:hAnsi="Times New Roman" w:eastAsia="仿宋_GB2312" w:cs="Times New Roman"/>
      </w:rPr>
      <w:t>算及效益分析</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7"/>
      <w:pBdr>
        <w:bottom w:val="single" w:color="auto" w:sz="4" w:space="1"/>
      </w:pBdr>
      <w:ind w:firstLine="105" w:firstLineChars="50"/>
      <w:jc w:val="center"/>
      <w:rPr>
        <w:rFonts w:ascii="Times New Roman" w:hAnsi="Times New Roman" w:eastAsia="仿宋_GB2312" w:cs="Times New Roman"/>
      </w:rPr>
    </w:pPr>
    <w:r>
      <w:rPr>
        <w:rFonts w:hint="eastAsia" w:ascii="Times New Roman" w:hAnsi="Times New Roman" w:eastAsia="仿宋_GB2312" w:cs="Times New Roman"/>
      </w:rPr>
      <w:t>7</w:t>
    </w:r>
    <w:r>
      <w:rPr>
        <w:rFonts w:ascii="Times New Roman" w:hAnsi="Times New Roman" w:eastAsia="仿宋_GB2312" w:cs="Times New Roman"/>
      </w:rPr>
      <w:t>水土保持投资</w:t>
    </w:r>
    <w:r>
      <w:rPr>
        <w:rFonts w:hint="eastAsia" w:ascii="Times New Roman" w:hAnsi="Times New Roman" w:eastAsia="仿宋_GB2312" w:cs="Times New Roman"/>
      </w:rPr>
      <w:t>概</w:t>
    </w:r>
    <w:r>
      <w:rPr>
        <w:rFonts w:ascii="Times New Roman" w:hAnsi="Times New Roman" w:eastAsia="仿宋_GB2312" w:cs="Times New Roman"/>
      </w:rPr>
      <w:t>算及效益分析</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7"/>
      <w:pBdr>
        <w:bottom w:val="single" w:color="auto" w:sz="4" w:space="1"/>
      </w:pBdr>
      <w:ind w:firstLine="105" w:firstLineChars="50"/>
      <w:jc w:val="center"/>
      <w:rPr>
        <w:rFonts w:ascii="Times New Roman" w:hAnsi="Times New Roman" w:eastAsia="仿宋_GB2312" w:cs="Times New Roman"/>
      </w:rPr>
    </w:pPr>
    <w:r>
      <w:rPr>
        <w:rFonts w:hint="eastAsia" w:ascii="Times New Roman" w:hAnsi="Times New Roman" w:eastAsia="仿宋_GB2312" w:cs="Times New Roman"/>
      </w:rPr>
      <w:t>7</w:t>
    </w:r>
    <w:r>
      <w:rPr>
        <w:rFonts w:ascii="Times New Roman" w:hAnsi="Times New Roman" w:eastAsia="仿宋_GB2312" w:cs="Times New Roman"/>
      </w:rPr>
      <w:t>水土保持投资</w:t>
    </w:r>
    <w:r>
      <w:rPr>
        <w:rFonts w:hint="eastAsia" w:ascii="Times New Roman" w:hAnsi="Times New Roman" w:eastAsia="仿宋_GB2312" w:cs="Times New Roman"/>
      </w:rPr>
      <w:t>估</w:t>
    </w:r>
    <w:r>
      <w:rPr>
        <w:rFonts w:ascii="Times New Roman" w:hAnsi="Times New Roman" w:eastAsia="仿宋_GB2312" w:cs="Times New Roman"/>
      </w:rPr>
      <w:t>算及效益分析</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7"/>
      <w:pBdr>
        <w:bottom w:val="single" w:color="auto" w:sz="4" w:space="1"/>
      </w:pBdr>
      <w:ind w:firstLine="105" w:firstLineChars="50"/>
      <w:jc w:val="center"/>
      <w:rPr>
        <w:rFonts w:hint="default" w:ascii="Times New Roman" w:hAnsi="Times New Roman" w:eastAsia="仿宋_GB2312" w:cs="Times New Roman"/>
        <w:sz w:val="21"/>
        <w:szCs w:val="21"/>
      </w:rPr>
    </w:pPr>
    <w:r>
      <w:rPr>
        <w:rFonts w:hint="default" w:ascii="Times New Roman" w:hAnsi="Times New Roman" w:cs="Times New Roman"/>
        <w:sz w:val="21"/>
        <w:szCs w:val="21"/>
      </w:rPr>
      <w:t>8</w:t>
    </w:r>
    <w:r>
      <w:rPr>
        <w:rFonts w:hint="default" w:ascii="Times New Roman" w:hAnsi="Times New Roman" w:eastAsia="仿宋_GB2312" w:cs="Times New Roman"/>
        <w:sz w:val="21"/>
        <w:szCs w:val="21"/>
      </w:rPr>
      <w:t>水土保持管理</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7"/>
      <w:pBdr>
        <w:bottom w:val="none" w:color="auto" w:sz="0" w:space="1"/>
      </w:pBdr>
      <w:rPr>
        <w:rFonts w:ascii="Times New Roman" w:hAnsi="Times New Roman" w:eastAsia="仿宋_GB2312" w:cs="Times New Roman"/>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7"/>
      <w:pBdr>
        <w:bottom w:val="none" w:color="auto" w:sz="0" w:space="1"/>
      </w:pBdr>
      <w:ind w:firstLine="105" w:firstLineChars="50"/>
      <w:jc w:val="center"/>
      <w:rPr>
        <w:rFonts w:ascii="Times New Roman" w:hAnsi="Times New Roman" w:eastAsia="仿宋_GB2312" w:cs="Times New Roman"/>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7"/>
      <w:pBdr>
        <w:bottom w:val="none" w:color="auto" w:sz="0" w:space="1"/>
      </w:pBdr>
      <w:rPr>
        <w:rFonts w:ascii="Times New Roman" w:hAnsi="Times New Roman" w:eastAsia="仿宋_GB2312" w:cs="Times New Roman"/>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7"/>
      <w:pBdr>
        <w:bottom w:val="none" w:color="auto" w:sz="0" w:space="1"/>
      </w:pBdr>
      <w:ind w:firstLine="105" w:firstLineChars="50"/>
      <w:jc w:val="center"/>
      <w:rPr>
        <w:rFonts w:ascii="Times New Roman" w:hAnsi="Times New Roman" w:eastAsia="仿宋_GB2312" w:cs="Times New Roman"/>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rPr>
        <w:rFonts w:eastAsia="仿宋_GB2312"/>
        <w:sz w:val="21"/>
        <w:szCs w:val="21"/>
      </w:rPr>
    </w:pPr>
    <w:r>
      <w:rPr>
        <w:rFonts w:eastAsia="仿宋_GB2312"/>
        <w:sz w:val="21"/>
        <w:szCs w:val="21"/>
      </w:rPr>
      <w:t>8水土保持管理</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7"/>
      <w:pBdr>
        <w:bottom w:val="none" w:color="auto" w:sz="0" w:space="1"/>
      </w:pBdr>
      <w:rPr>
        <w:rFonts w:ascii="Times New Roman" w:hAnsi="Times New Roman" w:eastAsia="仿宋_GB2312" w:cs="Times New Roma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rPr>
        <w:rFonts w:eastAsia="仿宋_GB2312"/>
        <w:sz w:val="21"/>
        <w:szCs w:val="21"/>
      </w:rPr>
    </w:pPr>
    <w:r>
      <w:rPr>
        <w:rFonts w:eastAsia="仿宋_GB2312"/>
        <w:sz w:val="21"/>
        <w:szCs w:val="21"/>
      </w:rPr>
      <w:t>2编制总则</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rPr>
        <w:rFonts w:eastAsia="仿宋_GB2312"/>
        <w:sz w:val="21"/>
        <w:szCs w:val="21"/>
      </w:rPr>
    </w:pPr>
    <w:r>
      <w:rPr>
        <w:rFonts w:hint="eastAsia" w:eastAsia="仿宋_GB2312"/>
        <w:sz w:val="21"/>
        <w:szCs w:val="21"/>
      </w:rPr>
      <w:t>2</w:t>
    </w:r>
    <w:r>
      <w:rPr>
        <w:rFonts w:eastAsia="仿宋_GB2312"/>
        <w:sz w:val="21"/>
        <w:szCs w:val="21"/>
      </w:rPr>
      <w:t>项目概况</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pBdr>
        <w:bottom w:val="double" w:color="auto" w:sz="8" w:space="1"/>
      </w:pBdr>
      <w:rPr>
        <w:rFonts w:hint="default" w:eastAsia="仿宋_GB2312"/>
        <w:sz w:val="21"/>
        <w:szCs w:val="21"/>
        <w:lang w:val="en-US" w:eastAsia="zh-CN"/>
      </w:rPr>
    </w:pPr>
    <w:r>
      <w:rPr>
        <w:rFonts w:hint="eastAsia" w:eastAsia="仿宋_GB2312"/>
        <w:sz w:val="21"/>
        <w:szCs w:val="21"/>
        <w:lang w:val="en-US" w:eastAsia="zh-CN"/>
      </w:rPr>
      <w:t>2项目概况</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rPr>
        <w:rFonts w:eastAsia="仿宋_GB2312"/>
        <w:sz w:val="21"/>
        <w:szCs w:val="21"/>
      </w:rPr>
    </w:pPr>
    <w:r>
      <w:rPr>
        <w:rFonts w:eastAsia="仿宋_GB2312"/>
        <w:sz w:val="21"/>
        <w:szCs w:val="21"/>
      </w:rPr>
      <w:t>3项目水土保持评价</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spacing w:line="228" w:lineRule="auto"/>
      <w:ind w:left="3383"/>
      <w:rPr>
        <w:rFonts w:hint="default" w:ascii="Times New Roman" w:hAnsi="Times New Roman" w:eastAsia="仿宋_GB2312" w:cs="Times New Roman"/>
        <w:sz w:val="21"/>
        <w:szCs w:val="21"/>
      </w:rPr>
    </w:pPr>
    <w:r>
      <w:rPr>
        <w:rFonts w:hint="default" w:ascii="Times New Roman" w:hAnsi="Times New Roman" w:eastAsia="仿宋_GB2312" w:cs="Times New Roman"/>
        <w:spacing w:val="8"/>
        <w:sz w:val="21"/>
        <w:szCs w:val="21"/>
      </w:rPr>
      <w:t>3项目水土保持评</w:t>
    </w:r>
    <w:r>
      <w:rPr>
        <w:rFonts w:hint="default" w:ascii="Times New Roman" w:hAnsi="Times New Roman" w:eastAsia="仿宋_GB2312" w:cs="Times New Roman"/>
        <w:spacing w:val="7"/>
        <w:sz w:val="21"/>
        <w:szCs w:val="21"/>
      </w:rPr>
      <w:t>价</w:t>
    </w:r>
  </w:p>
  <w:p>
    <w:pPr>
      <w:pBdr>
        <w:bottom w:val="double" w:color="auto" w:sz="8" w:space="0"/>
      </w:pBdr>
      <w:spacing w:before="17" w:line="57" w:lineRule="exact"/>
      <w:ind w:firstLine="11"/>
      <w:textAlignment w:val="center"/>
      <w:rPr>
        <w:rFonts w:hint="default" w:ascii="Times New Roman" w:hAnsi="Times New Roman" w:eastAsia="仿宋_GB2312" w:cs="Times New Roman"/>
        <w:sz w:val="21"/>
        <w:szCs w:val="21"/>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7"/>
      <w:pBdr>
        <w:bottom w:val="single" w:color="auto" w:sz="4" w:space="1"/>
      </w:pBdr>
      <w:ind w:firstLine="105" w:firstLineChars="50"/>
      <w:jc w:val="center"/>
      <w:rPr>
        <w:rFonts w:ascii="Times New Roman" w:hAnsi="Times New Roman" w:eastAsia="仿宋_GB2312" w:cs="Times New Roman"/>
      </w:rPr>
    </w:pPr>
    <w:r>
      <w:rPr>
        <w:rFonts w:hint="eastAsia" w:ascii="Times New Roman" w:hAnsi="Times New Roman" w:eastAsia="仿宋_GB2312" w:cs="Times New Roman"/>
      </w:rPr>
      <w:t>4</w:t>
    </w:r>
    <w:r>
      <w:rPr>
        <w:rFonts w:hint="eastAsia" w:ascii="仿宋_GB2312" w:eastAsia="仿宋_GB2312"/>
      </w:rPr>
      <w:t>水土流失分析与预测</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7"/>
      <w:pBdr>
        <w:bottom w:val="single" w:color="auto" w:sz="4" w:space="1"/>
      </w:pBdr>
      <w:ind w:firstLine="105" w:firstLineChars="50"/>
      <w:jc w:val="center"/>
      <w:rPr>
        <w:rFonts w:ascii="Times New Roman" w:hAnsi="Times New Roman" w:eastAsia="仿宋_GB2312" w:cs="Times New Roman"/>
      </w:rPr>
    </w:pPr>
    <w:r>
      <w:rPr>
        <w:rFonts w:hint="eastAsia" w:ascii="Times New Roman" w:hAnsi="Times New Roman" w:eastAsia="仿宋_GB2312" w:cs="Times New Roman"/>
      </w:rPr>
      <w:t>5水土保持措施</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7"/>
      <w:pBdr>
        <w:bottom w:val="single" w:color="auto" w:sz="4" w:space="1"/>
      </w:pBdr>
      <w:ind w:firstLine="105" w:firstLineChars="50"/>
      <w:jc w:val="center"/>
      <w:rPr>
        <w:rFonts w:ascii="Times New Roman" w:hAnsi="Times New Roman" w:eastAsia="仿宋_GB2312" w:cs="Times New Roman"/>
      </w:rPr>
    </w:pPr>
    <w:r>
      <w:rPr>
        <w:rFonts w:hint="eastAsia" w:ascii="Times New Roman" w:hAnsi="Times New Roman" w:eastAsia="仿宋_GB2312" w:cs="Times New Roman"/>
      </w:rPr>
      <w:t>6</w:t>
    </w:r>
    <w:r>
      <w:rPr>
        <w:rFonts w:ascii="Times New Roman" w:hAnsi="Times New Roman" w:eastAsia="仿宋_GB2312" w:cs="Times New Roman"/>
      </w:rPr>
      <w:t>水土保持监测</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24"/>
    <w:multiLevelType w:val="multilevel"/>
    <w:tmpl w:val="00000024"/>
    <w:lvl w:ilvl="0" w:tentative="0">
      <w:start w:val="1"/>
      <w:numFmt w:val="decimal"/>
      <w:lvlText w:val="%1"/>
      <w:lvlJc w:val="left"/>
      <w:pPr>
        <w:tabs>
          <w:tab w:val="left" w:pos="432"/>
        </w:tabs>
        <w:ind w:left="432" w:hanging="432"/>
      </w:pPr>
      <w:rPr>
        <w:rFonts w:hint="eastAsia"/>
      </w:rPr>
    </w:lvl>
    <w:lvl w:ilvl="1" w:tentative="0">
      <w:start w:val="1"/>
      <w:numFmt w:val="decimal"/>
      <w:lvlText w:val="%1.%2"/>
      <w:lvlJc w:val="left"/>
      <w:pPr>
        <w:tabs>
          <w:tab w:val="left" w:pos="0"/>
        </w:tabs>
        <w:ind w:left="431" w:hanging="431"/>
      </w:pPr>
      <w:rPr>
        <w:rFonts w:hint="default" w:ascii="Times New Roman" w:hAnsi="Times New Roman"/>
      </w:rPr>
    </w:lvl>
    <w:lvl w:ilvl="2" w:tentative="0">
      <w:start w:val="1"/>
      <w:numFmt w:val="decimal"/>
      <w:lvlText w:val="%1.%2.%3"/>
      <w:lvlJc w:val="left"/>
      <w:pPr>
        <w:tabs>
          <w:tab w:val="left" w:pos="0"/>
        </w:tabs>
        <w:ind w:left="1080" w:hanging="1080"/>
      </w:pPr>
      <w:rPr>
        <w:rFonts w:hint="default" w:ascii="Times New Roman" w:hAnsi="Times New Roman"/>
      </w:rPr>
    </w:lvl>
    <w:lvl w:ilvl="3" w:tentative="0">
      <w:start w:val="1"/>
      <w:numFmt w:val="decimal"/>
      <w:pStyle w:val="8"/>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
    <w:nsid w:val="65E4245A"/>
    <w:multiLevelType w:val="multilevel"/>
    <w:tmpl w:val="65E4245A"/>
    <w:lvl w:ilvl="0" w:tentative="0">
      <w:start w:val="1"/>
      <w:numFmt w:val="decimal"/>
      <w:pStyle w:val="499"/>
      <w:lvlText w:val="%1"/>
      <w:lvlJc w:val="left"/>
      <w:pPr>
        <w:ind w:left="432" w:hanging="432"/>
      </w:pPr>
      <w:rPr>
        <w:rFonts w:hint="eastAsia"/>
      </w:rPr>
    </w:lvl>
    <w:lvl w:ilvl="1" w:tentative="0">
      <w:start w:val="1"/>
      <w:numFmt w:val="decimal"/>
      <w:lvlText w:val="%1.%2"/>
      <w:lvlJc w:val="left"/>
      <w:pPr>
        <w:ind w:left="576" w:hanging="576"/>
      </w:pPr>
      <w:rPr>
        <w:rFonts w:hint="eastAsia"/>
      </w:rPr>
    </w:lvl>
    <w:lvl w:ilvl="2" w:tentative="0">
      <w:start w:val="1"/>
      <w:numFmt w:val="decimal"/>
      <w:lvlText w:val="%1.%2.%3"/>
      <w:lvlJc w:val="left"/>
      <w:pPr>
        <w:ind w:left="720" w:hanging="720"/>
      </w:pPr>
      <w:rPr>
        <w:rFonts w:hint="eastAsia"/>
      </w:rPr>
    </w:lvl>
    <w:lvl w:ilvl="3" w:tentative="0">
      <w:start w:val="1"/>
      <w:numFmt w:val="decimal"/>
      <w:lvlText w:val="%1.%2.%3.%4"/>
      <w:lvlJc w:val="left"/>
      <w:pPr>
        <w:ind w:left="1148" w:hanging="864"/>
      </w:pPr>
      <w:rPr>
        <w:rFonts w:hint="eastAsia"/>
      </w:rPr>
    </w:lvl>
    <w:lvl w:ilvl="4" w:tentative="0">
      <w:start w:val="1"/>
      <w:numFmt w:val="decimal"/>
      <w:lvlText w:val="%1.%2.%3.%4.%5"/>
      <w:lvlJc w:val="left"/>
      <w:pPr>
        <w:ind w:left="1008" w:hanging="1008"/>
      </w:pPr>
      <w:rPr>
        <w:rFonts w:hint="eastAsia"/>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君">
    <w15:presenceInfo w15:providerId="WPS Office" w15:userId="9481424023"/>
  </w15:person>
  <w15:person w15:author="Lily">
    <w15:presenceInfo w15:providerId="WPS Office" w15:userId="18934546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ZhZTQwMGI3ZGNkZjliMTVhMWUyN2I3MDdhODJhOWMifQ=="/>
  </w:docVars>
  <w:rsids>
    <w:rsidRoot w:val="00D07BC5"/>
    <w:rsid w:val="00000012"/>
    <w:rsid w:val="00000057"/>
    <w:rsid w:val="0000008F"/>
    <w:rsid w:val="00000093"/>
    <w:rsid w:val="00000105"/>
    <w:rsid w:val="00000174"/>
    <w:rsid w:val="0000036A"/>
    <w:rsid w:val="000003EA"/>
    <w:rsid w:val="00000552"/>
    <w:rsid w:val="0000055C"/>
    <w:rsid w:val="0000058C"/>
    <w:rsid w:val="000005F6"/>
    <w:rsid w:val="00000631"/>
    <w:rsid w:val="0000063B"/>
    <w:rsid w:val="000006FF"/>
    <w:rsid w:val="00000784"/>
    <w:rsid w:val="0000085F"/>
    <w:rsid w:val="000009C9"/>
    <w:rsid w:val="00000A8A"/>
    <w:rsid w:val="00000AA2"/>
    <w:rsid w:val="00000AB3"/>
    <w:rsid w:val="00000AE6"/>
    <w:rsid w:val="00000B37"/>
    <w:rsid w:val="00000B4D"/>
    <w:rsid w:val="00000B80"/>
    <w:rsid w:val="00000C84"/>
    <w:rsid w:val="00000CB3"/>
    <w:rsid w:val="00000D5B"/>
    <w:rsid w:val="00000E82"/>
    <w:rsid w:val="00000F6C"/>
    <w:rsid w:val="00000F9B"/>
    <w:rsid w:val="00000FBA"/>
    <w:rsid w:val="000010FF"/>
    <w:rsid w:val="0000114A"/>
    <w:rsid w:val="00001199"/>
    <w:rsid w:val="00001290"/>
    <w:rsid w:val="00001401"/>
    <w:rsid w:val="0000145D"/>
    <w:rsid w:val="00001500"/>
    <w:rsid w:val="0000167E"/>
    <w:rsid w:val="0000182B"/>
    <w:rsid w:val="00001878"/>
    <w:rsid w:val="00001896"/>
    <w:rsid w:val="00001939"/>
    <w:rsid w:val="00001956"/>
    <w:rsid w:val="00001960"/>
    <w:rsid w:val="000019AB"/>
    <w:rsid w:val="000019E6"/>
    <w:rsid w:val="00001B46"/>
    <w:rsid w:val="00001C00"/>
    <w:rsid w:val="00001D08"/>
    <w:rsid w:val="00001D8D"/>
    <w:rsid w:val="00001E50"/>
    <w:rsid w:val="00001EF4"/>
    <w:rsid w:val="00002049"/>
    <w:rsid w:val="00002113"/>
    <w:rsid w:val="00002269"/>
    <w:rsid w:val="000022F3"/>
    <w:rsid w:val="000023F1"/>
    <w:rsid w:val="0000243D"/>
    <w:rsid w:val="0000246A"/>
    <w:rsid w:val="000024B3"/>
    <w:rsid w:val="0000251E"/>
    <w:rsid w:val="0000252C"/>
    <w:rsid w:val="00002570"/>
    <w:rsid w:val="00002652"/>
    <w:rsid w:val="00002686"/>
    <w:rsid w:val="00002708"/>
    <w:rsid w:val="0000274D"/>
    <w:rsid w:val="00002877"/>
    <w:rsid w:val="00002935"/>
    <w:rsid w:val="000029D4"/>
    <w:rsid w:val="00002A62"/>
    <w:rsid w:val="00002B40"/>
    <w:rsid w:val="00002BD6"/>
    <w:rsid w:val="00002D5F"/>
    <w:rsid w:val="00002E04"/>
    <w:rsid w:val="00002E3D"/>
    <w:rsid w:val="00002E8C"/>
    <w:rsid w:val="00002EF6"/>
    <w:rsid w:val="00002FD8"/>
    <w:rsid w:val="0000302A"/>
    <w:rsid w:val="000030A0"/>
    <w:rsid w:val="0000313B"/>
    <w:rsid w:val="000033EF"/>
    <w:rsid w:val="00003414"/>
    <w:rsid w:val="000034C4"/>
    <w:rsid w:val="0000359B"/>
    <w:rsid w:val="000035DE"/>
    <w:rsid w:val="000036C6"/>
    <w:rsid w:val="00003709"/>
    <w:rsid w:val="00003732"/>
    <w:rsid w:val="000038B2"/>
    <w:rsid w:val="000038BC"/>
    <w:rsid w:val="000038FE"/>
    <w:rsid w:val="00003953"/>
    <w:rsid w:val="00003AE4"/>
    <w:rsid w:val="00003AFC"/>
    <w:rsid w:val="00003B0E"/>
    <w:rsid w:val="00003BBC"/>
    <w:rsid w:val="00003C21"/>
    <w:rsid w:val="00003C8E"/>
    <w:rsid w:val="00003CA6"/>
    <w:rsid w:val="00003CD6"/>
    <w:rsid w:val="00003CF4"/>
    <w:rsid w:val="00003D1C"/>
    <w:rsid w:val="00003D7A"/>
    <w:rsid w:val="00003DE0"/>
    <w:rsid w:val="00003E64"/>
    <w:rsid w:val="00003F70"/>
    <w:rsid w:val="00003F77"/>
    <w:rsid w:val="000040E5"/>
    <w:rsid w:val="0000415D"/>
    <w:rsid w:val="0000417A"/>
    <w:rsid w:val="00004227"/>
    <w:rsid w:val="00004360"/>
    <w:rsid w:val="0000436D"/>
    <w:rsid w:val="0000439D"/>
    <w:rsid w:val="000043B5"/>
    <w:rsid w:val="00004422"/>
    <w:rsid w:val="0000445A"/>
    <w:rsid w:val="00004498"/>
    <w:rsid w:val="000044F6"/>
    <w:rsid w:val="00004517"/>
    <w:rsid w:val="00004567"/>
    <w:rsid w:val="0000458C"/>
    <w:rsid w:val="000045AC"/>
    <w:rsid w:val="00004637"/>
    <w:rsid w:val="00004639"/>
    <w:rsid w:val="00004677"/>
    <w:rsid w:val="000046DA"/>
    <w:rsid w:val="00004714"/>
    <w:rsid w:val="00004750"/>
    <w:rsid w:val="00004817"/>
    <w:rsid w:val="00004821"/>
    <w:rsid w:val="00004822"/>
    <w:rsid w:val="00004839"/>
    <w:rsid w:val="00004844"/>
    <w:rsid w:val="000048EC"/>
    <w:rsid w:val="000048FA"/>
    <w:rsid w:val="000049E6"/>
    <w:rsid w:val="00004C10"/>
    <w:rsid w:val="00004CA3"/>
    <w:rsid w:val="00004D07"/>
    <w:rsid w:val="00004D1C"/>
    <w:rsid w:val="00004D39"/>
    <w:rsid w:val="00004F36"/>
    <w:rsid w:val="00004F98"/>
    <w:rsid w:val="00005130"/>
    <w:rsid w:val="0000515E"/>
    <w:rsid w:val="00005165"/>
    <w:rsid w:val="00005204"/>
    <w:rsid w:val="00005246"/>
    <w:rsid w:val="000052F5"/>
    <w:rsid w:val="0000535C"/>
    <w:rsid w:val="00005406"/>
    <w:rsid w:val="00005446"/>
    <w:rsid w:val="000054B2"/>
    <w:rsid w:val="00005544"/>
    <w:rsid w:val="000055CB"/>
    <w:rsid w:val="000056D2"/>
    <w:rsid w:val="000057EC"/>
    <w:rsid w:val="000058B2"/>
    <w:rsid w:val="000058C1"/>
    <w:rsid w:val="000059AD"/>
    <w:rsid w:val="00005B60"/>
    <w:rsid w:val="00005B94"/>
    <w:rsid w:val="00005BE5"/>
    <w:rsid w:val="00005CBA"/>
    <w:rsid w:val="00005F31"/>
    <w:rsid w:val="00005F91"/>
    <w:rsid w:val="00005FF1"/>
    <w:rsid w:val="00006021"/>
    <w:rsid w:val="000061AD"/>
    <w:rsid w:val="000063A6"/>
    <w:rsid w:val="00006575"/>
    <w:rsid w:val="000065B3"/>
    <w:rsid w:val="00006713"/>
    <w:rsid w:val="00006718"/>
    <w:rsid w:val="0000686C"/>
    <w:rsid w:val="00006890"/>
    <w:rsid w:val="000068C5"/>
    <w:rsid w:val="000068E8"/>
    <w:rsid w:val="00006945"/>
    <w:rsid w:val="00006950"/>
    <w:rsid w:val="00006A2E"/>
    <w:rsid w:val="00006A50"/>
    <w:rsid w:val="00006B12"/>
    <w:rsid w:val="00006C1E"/>
    <w:rsid w:val="00006CED"/>
    <w:rsid w:val="00006E4C"/>
    <w:rsid w:val="00006F57"/>
    <w:rsid w:val="00006F5B"/>
    <w:rsid w:val="00006F5C"/>
    <w:rsid w:val="00006FD1"/>
    <w:rsid w:val="000070C1"/>
    <w:rsid w:val="000070C6"/>
    <w:rsid w:val="00007398"/>
    <w:rsid w:val="00007467"/>
    <w:rsid w:val="0000757A"/>
    <w:rsid w:val="00007644"/>
    <w:rsid w:val="000076AA"/>
    <w:rsid w:val="000076DE"/>
    <w:rsid w:val="0000774A"/>
    <w:rsid w:val="00007828"/>
    <w:rsid w:val="000078DC"/>
    <w:rsid w:val="00007909"/>
    <w:rsid w:val="0000795E"/>
    <w:rsid w:val="00007A14"/>
    <w:rsid w:val="00007A3D"/>
    <w:rsid w:val="00007A75"/>
    <w:rsid w:val="00007B79"/>
    <w:rsid w:val="00007CB1"/>
    <w:rsid w:val="00007CF4"/>
    <w:rsid w:val="00007DEE"/>
    <w:rsid w:val="00007DFE"/>
    <w:rsid w:val="00007EB5"/>
    <w:rsid w:val="00007F6D"/>
    <w:rsid w:val="000100A9"/>
    <w:rsid w:val="000100F0"/>
    <w:rsid w:val="00010180"/>
    <w:rsid w:val="0001021A"/>
    <w:rsid w:val="00010508"/>
    <w:rsid w:val="000105EE"/>
    <w:rsid w:val="000106B0"/>
    <w:rsid w:val="000108D2"/>
    <w:rsid w:val="000108D4"/>
    <w:rsid w:val="000108E8"/>
    <w:rsid w:val="000109A9"/>
    <w:rsid w:val="000109AD"/>
    <w:rsid w:val="000109F0"/>
    <w:rsid w:val="00010B1E"/>
    <w:rsid w:val="00010B5D"/>
    <w:rsid w:val="00010B78"/>
    <w:rsid w:val="00010BB4"/>
    <w:rsid w:val="00010D08"/>
    <w:rsid w:val="00010D0D"/>
    <w:rsid w:val="00010ED8"/>
    <w:rsid w:val="00010EEA"/>
    <w:rsid w:val="00010F1F"/>
    <w:rsid w:val="00010F68"/>
    <w:rsid w:val="00010FAE"/>
    <w:rsid w:val="000110AF"/>
    <w:rsid w:val="000111BB"/>
    <w:rsid w:val="000111E0"/>
    <w:rsid w:val="00011246"/>
    <w:rsid w:val="00011275"/>
    <w:rsid w:val="0001140A"/>
    <w:rsid w:val="000114FB"/>
    <w:rsid w:val="00011530"/>
    <w:rsid w:val="00011539"/>
    <w:rsid w:val="000115E2"/>
    <w:rsid w:val="000115F2"/>
    <w:rsid w:val="000116EC"/>
    <w:rsid w:val="0001173B"/>
    <w:rsid w:val="00011910"/>
    <w:rsid w:val="00011AB4"/>
    <w:rsid w:val="00011AB9"/>
    <w:rsid w:val="00011ADB"/>
    <w:rsid w:val="00011B34"/>
    <w:rsid w:val="00011B97"/>
    <w:rsid w:val="00011BD4"/>
    <w:rsid w:val="00011C4F"/>
    <w:rsid w:val="00011C6B"/>
    <w:rsid w:val="00011D47"/>
    <w:rsid w:val="00011EAC"/>
    <w:rsid w:val="00011EE6"/>
    <w:rsid w:val="00011FF2"/>
    <w:rsid w:val="0001207F"/>
    <w:rsid w:val="0001214D"/>
    <w:rsid w:val="0001218B"/>
    <w:rsid w:val="0001230D"/>
    <w:rsid w:val="0001259C"/>
    <w:rsid w:val="000125D6"/>
    <w:rsid w:val="000125E7"/>
    <w:rsid w:val="00012603"/>
    <w:rsid w:val="000126B0"/>
    <w:rsid w:val="0001282E"/>
    <w:rsid w:val="0001285C"/>
    <w:rsid w:val="000129A6"/>
    <w:rsid w:val="000129FB"/>
    <w:rsid w:val="00012A18"/>
    <w:rsid w:val="00012A44"/>
    <w:rsid w:val="00012ADE"/>
    <w:rsid w:val="00012B27"/>
    <w:rsid w:val="00012B5C"/>
    <w:rsid w:val="00012B91"/>
    <w:rsid w:val="00012B92"/>
    <w:rsid w:val="00012BE4"/>
    <w:rsid w:val="00012C50"/>
    <w:rsid w:val="00012CD4"/>
    <w:rsid w:val="00012DBB"/>
    <w:rsid w:val="00012F08"/>
    <w:rsid w:val="0001301C"/>
    <w:rsid w:val="0001302F"/>
    <w:rsid w:val="00013093"/>
    <w:rsid w:val="000130D2"/>
    <w:rsid w:val="00013148"/>
    <w:rsid w:val="00013166"/>
    <w:rsid w:val="0001327B"/>
    <w:rsid w:val="000132D2"/>
    <w:rsid w:val="00013373"/>
    <w:rsid w:val="00013448"/>
    <w:rsid w:val="00013571"/>
    <w:rsid w:val="00013608"/>
    <w:rsid w:val="000136CD"/>
    <w:rsid w:val="00013814"/>
    <w:rsid w:val="00013875"/>
    <w:rsid w:val="0001397A"/>
    <w:rsid w:val="000139A7"/>
    <w:rsid w:val="00013A06"/>
    <w:rsid w:val="00013B3C"/>
    <w:rsid w:val="00013B57"/>
    <w:rsid w:val="00013B5B"/>
    <w:rsid w:val="00013C14"/>
    <w:rsid w:val="00013D2B"/>
    <w:rsid w:val="00013E03"/>
    <w:rsid w:val="00013F5A"/>
    <w:rsid w:val="00013FBD"/>
    <w:rsid w:val="0001403D"/>
    <w:rsid w:val="00014042"/>
    <w:rsid w:val="00014191"/>
    <w:rsid w:val="00014219"/>
    <w:rsid w:val="0001427A"/>
    <w:rsid w:val="000142BF"/>
    <w:rsid w:val="00014363"/>
    <w:rsid w:val="000143D4"/>
    <w:rsid w:val="00014495"/>
    <w:rsid w:val="00014510"/>
    <w:rsid w:val="00014529"/>
    <w:rsid w:val="0001452B"/>
    <w:rsid w:val="00014554"/>
    <w:rsid w:val="000145B8"/>
    <w:rsid w:val="000146DB"/>
    <w:rsid w:val="0001472E"/>
    <w:rsid w:val="0001474D"/>
    <w:rsid w:val="00014788"/>
    <w:rsid w:val="000147D5"/>
    <w:rsid w:val="0001484B"/>
    <w:rsid w:val="00014936"/>
    <w:rsid w:val="000149C2"/>
    <w:rsid w:val="00014A6A"/>
    <w:rsid w:val="00014A71"/>
    <w:rsid w:val="00014ABD"/>
    <w:rsid w:val="00014B50"/>
    <w:rsid w:val="00014C7C"/>
    <w:rsid w:val="00014C7F"/>
    <w:rsid w:val="00014E22"/>
    <w:rsid w:val="00014E51"/>
    <w:rsid w:val="00014EE6"/>
    <w:rsid w:val="00014F14"/>
    <w:rsid w:val="00014F31"/>
    <w:rsid w:val="00014F94"/>
    <w:rsid w:val="000150D3"/>
    <w:rsid w:val="000151E3"/>
    <w:rsid w:val="000151EB"/>
    <w:rsid w:val="00015200"/>
    <w:rsid w:val="00015381"/>
    <w:rsid w:val="000153F7"/>
    <w:rsid w:val="00015453"/>
    <w:rsid w:val="00015636"/>
    <w:rsid w:val="00015654"/>
    <w:rsid w:val="00015872"/>
    <w:rsid w:val="00015896"/>
    <w:rsid w:val="0001589A"/>
    <w:rsid w:val="000159F7"/>
    <w:rsid w:val="00015A7A"/>
    <w:rsid w:val="00015AAF"/>
    <w:rsid w:val="00015B55"/>
    <w:rsid w:val="00015CBC"/>
    <w:rsid w:val="00015D76"/>
    <w:rsid w:val="00015EFB"/>
    <w:rsid w:val="00016134"/>
    <w:rsid w:val="00016272"/>
    <w:rsid w:val="000162AB"/>
    <w:rsid w:val="00016301"/>
    <w:rsid w:val="000163B2"/>
    <w:rsid w:val="000166B3"/>
    <w:rsid w:val="000167EE"/>
    <w:rsid w:val="0001688A"/>
    <w:rsid w:val="00016897"/>
    <w:rsid w:val="00016948"/>
    <w:rsid w:val="0001695F"/>
    <w:rsid w:val="00016962"/>
    <w:rsid w:val="000169E0"/>
    <w:rsid w:val="00016B50"/>
    <w:rsid w:val="00016B8C"/>
    <w:rsid w:val="00016BC8"/>
    <w:rsid w:val="00016C5C"/>
    <w:rsid w:val="00016C79"/>
    <w:rsid w:val="00016D1F"/>
    <w:rsid w:val="00016D4E"/>
    <w:rsid w:val="00016E40"/>
    <w:rsid w:val="00016FE9"/>
    <w:rsid w:val="00017003"/>
    <w:rsid w:val="00017352"/>
    <w:rsid w:val="00017374"/>
    <w:rsid w:val="000173EF"/>
    <w:rsid w:val="00017402"/>
    <w:rsid w:val="0001741E"/>
    <w:rsid w:val="00017432"/>
    <w:rsid w:val="0001745E"/>
    <w:rsid w:val="0001765A"/>
    <w:rsid w:val="00017757"/>
    <w:rsid w:val="00017791"/>
    <w:rsid w:val="00017817"/>
    <w:rsid w:val="000178B1"/>
    <w:rsid w:val="000179B3"/>
    <w:rsid w:val="00017A6A"/>
    <w:rsid w:val="00017A78"/>
    <w:rsid w:val="00017A90"/>
    <w:rsid w:val="00017A9A"/>
    <w:rsid w:val="00017AE2"/>
    <w:rsid w:val="00017C9B"/>
    <w:rsid w:val="00017D1E"/>
    <w:rsid w:val="00017D9D"/>
    <w:rsid w:val="00017DF0"/>
    <w:rsid w:val="00017F89"/>
    <w:rsid w:val="00017FE6"/>
    <w:rsid w:val="00020003"/>
    <w:rsid w:val="000201BC"/>
    <w:rsid w:val="00020283"/>
    <w:rsid w:val="0002032E"/>
    <w:rsid w:val="00020520"/>
    <w:rsid w:val="000205CC"/>
    <w:rsid w:val="00020786"/>
    <w:rsid w:val="0002093E"/>
    <w:rsid w:val="000209EA"/>
    <w:rsid w:val="000209F0"/>
    <w:rsid w:val="000209F2"/>
    <w:rsid w:val="00020A47"/>
    <w:rsid w:val="00020B7A"/>
    <w:rsid w:val="00020C97"/>
    <w:rsid w:val="00020CAB"/>
    <w:rsid w:val="00020CE7"/>
    <w:rsid w:val="00020D46"/>
    <w:rsid w:val="00020D61"/>
    <w:rsid w:val="00020E80"/>
    <w:rsid w:val="00020FC8"/>
    <w:rsid w:val="000210F2"/>
    <w:rsid w:val="000211D0"/>
    <w:rsid w:val="00021251"/>
    <w:rsid w:val="0002129C"/>
    <w:rsid w:val="00021367"/>
    <w:rsid w:val="000213BD"/>
    <w:rsid w:val="0002146D"/>
    <w:rsid w:val="0002147C"/>
    <w:rsid w:val="0002148C"/>
    <w:rsid w:val="000214B3"/>
    <w:rsid w:val="000214CB"/>
    <w:rsid w:val="00021661"/>
    <w:rsid w:val="000216C3"/>
    <w:rsid w:val="00021729"/>
    <w:rsid w:val="0002178E"/>
    <w:rsid w:val="0002182A"/>
    <w:rsid w:val="000218BE"/>
    <w:rsid w:val="000218E3"/>
    <w:rsid w:val="00021991"/>
    <w:rsid w:val="000219AF"/>
    <w:rsid w:val="000219E7"/>
    <w:rsid w:val="00021AEC"/>
    <w:rsid w:val="00021BBC"/>
    <w:rsid w:val="00021C49"/>
    <w:rsid w:val="00021C71"/>
    <w:rsid w:val="00021EDB"/>
    <w:rsid w:val="0002205E"/>
    <w:rsid w:val="000221A3"/>
    <w:rsid w:val="000221E6"/>
    <w:rsid w:val="00022207"/>
    <w:rsid w:val="00022216"/>
    <w:rsid w:val="0002221E"/>
    <w:rsid w:val="000223A5"/>
    <w:rsid w:val="00022483"/>
    <w:rsid w:val="00022489"/>
    <w:rsid w:val="000225B0"/>
    <w:rsid w:val="00022640"/>
    <w:rsid w:val="00022649"/>
    <w:rsid w:val="0002268C"/>
    <w:rsid w:val="00022759"/>
    <w:rsid w:val="000228A7"/>
    <w:rsid w:val="000228F6"/>
    <w:rsid w:val="00022B18"/>
    <w:rsid w:val="00022C51"/>
    <w:rsid w:val="00022D11"/>
    <w:rsid w:val="00022D1E"/>
    <w:rsid w:val="00022D32"/>
    <w:rsid w:val="00022DA5"/>
    <w:rsid w:val="00022EEA"/>
    <w:rsid w:val="00022F44"/>
    <w:rsid w:val="00022F83"/>
    <w:rsid w:val="00023141"/>
    <w:rsid w:val="000231BD"/>
    <w:rsid w:val="0002338E"/>
    <w:rsid w:val="000233E3"/>
    <w:rsid w:val="0002346C"/>
    <w:rsid w:val="00023488"/>
    <w:rsid w:val="0002348E"/>
    <w:rsid w:val="000234B8"/>
    <w:rsid w:val="0002353C"/>
    <w:rsid w:val="00023639"/>
    <w:rsid w:val="000236AC"/>
    <w:rsid w:val="000236CA"/>
    <w:rsid w:val="00023B05"/>
    <w:rsid w:val="00023D97"/>
    <w:rsid w:val="00023DA3"/>
    <w:rsid w:val="00023EC0"/>
    <w:rsid w:val="00023FAF"/>
    <w:rsid w:val="0002400D"/>
    <w:rsid w:val="00024032"/>
    <w:rsid w:val="00024105"/>
    <w:rsid w:val="00024167"/>
    <w:rsid w:val="0002424D"/>
    <w:rsid w:val="00024304"/>
    <w:rsid w:val="000243F9"/>
    <w:rsid w:val="00024465"/>
    <w:rsid w:val="000244B5"/>
    <w:rsid w:val="000244D4"/>
    <w:rsid w:val="000245DA"/>
    <w:rsid w:val="0002473B"/>
    <w:rsid w:val="0002474D"/>
    <w:rsid w:val="00024827"/>
    <w:rsid w:val="00024D75"/>
    <w:rsid w:val="00024D95"/>
    <w:rsid w:val="00024E24"/>
    <w:rsid w:val="00024F75"/>
    <w:rsid w:val="00024F9B"/>
    <w:rsid w:val="00024FD7"/>
    <w:rsid w:val="00024FEE"/>
    <w:rsid w:val="00025092"/>
    <w:rsid w:val="000250D9"/>
    <w:rsid w:val="000251AC"/>
    <w:rsid w:val="00025279"/>
    <w:rsid w:val="00025285"/>
    <w:rsid w:val="0002538B"/>
    <w:rsid w:val="000253B3"/>
    <w:rsid w:val="000253EE"/>
    <w:rsid w:val="000254BD"/>
    <w:rsid w:val="000254C1"/>
    <w:rsid w:val="00025538"/>
    <w:rsid w:val="0002558D"/>
    <w:rsid w:val="000255B6"/>
    <w:rsid w:val="000255DA"/>
    <w:rsid w:val="0002569C"/>
    <w:rsid w:val="000256B6"/>
    <w:rsid w:val="000256D9"/>
    <w:rsid w:val="000257E2"/>
    <w:rsid w:val="0002584F"/>
    <w:rsid w:val="0002588F"/>
    <w:rsid w:val="000258A7"/>
    <w:rsid w:val="00025A52"/>
    <w:rsid w:val="00025A67"/>
    <w:rsid w:val="00025B45"/>
    <w:rsid w:val="00025DFD"/>
    <w:rsid w:val="00025EA3"/>
    <w:rsid w:val="00025EE9"/>
    <w:rsid w:val="00025EF0"/>
    <w:rsid w:val="00025F03"/>
    <w:rsid w:val="00025FB9"/>
    <w:rsid w:val="00026009"/>
    <w:rsid w:val="00026035"/>
    <w:rsid w:val="000260E6"/>
    <w:rsid w:val="00026334"/>
    <w:rsid w:val="000264DF"/>
    <w:rsid w:val="000264E3"/>
    <w:rsid w:val="000264FE"/>
    <w:rsid w:val="000265BE"/>
    <w:rsid w:val="00026683"/>
    <w:rsid w:val="000266F9"/>
    <w:rsid w:val="00026783"/>
    <w:rsid w:val="0002678C"/>
    <w:rsid w:val="00026854"/>
    <w:rsid w:val="00026B04"/>
    <w:rsid w:val="00026C19"/>
    <w:rsid w:val="00026D29"/>
    <w:rsid w:val="00026F26"/>
    <w:rsid w:val="00027086"/>
    <w:rsid w:val="00027116"/>
    <w:rsid w:val="00027145"/>
    <w:rsid w:val="0002714D"/>
    <w:rsid w:val="000271B4"/>
    <w:rsid w:val="000271E8"/>
    <w:rsid w:val="0002724B"/>
    <w:rsid w:val="00027331"/>
    <w:rsid w:val="00027357"/>
    <w:rsid w:val="00027359"/>
    <w:rsid w:val="00027473"/>
    <w:rsid w:val="00027474"/>
    <w:rsid w:val="00027517"/>
    <w:rsid w:val="00027568"/>
    <w:rsid w:val="00027607"/>
    <w:rsid w:val="0002770B"/>
    <w:rsid w:val="0002770C"/>
    <w:rsid w:val="0002774E"/>
    <w:rsid w:val="000277F3"/>
    <w:rsid w:val="000277F5"/>
    <w:rsid w:val="00027A62"/>
    <w:rsid w:val="00027BCD"/>
    <w:rsid w:val="00027F2D"/>
    <w:rsid w:val="00027FCB"/>
    <w:rsid w:val="000300D8"/>
    <w:rsid w:val="00030136"/>
    <w:rsid w:val="0003032D"/>
    <w:rsid w:val="00030350"/>
    <w:rsid w:val="0003040C"/>
    <w:rsid w:val="000304EA"/>
    <w:rsid w:val="0003059C"/>
    <w:rsid w:val="00030A58"/>
    <w:rsid w:val="00030B60"/>
    <w:rsid w:val="00030C75"/>
    <w:rsid w:val="00030DD2"/>
    <w:rsid w:val="00030E1E"/>
    <w:rsid w:val="00030E82"/>
    <w:rsid w:val="00030EE5"/>
    <w:rsid w:val="0003118E"/>
    <w:rsid w:val="00031276"/>
    <w:rsid w:val="000312B8"/>
    <w:rsid w:val="00031311"/>
    <w:rsid w:val="00031375"/>
    <w:rsid w:val="000313B7"/>
    <w:rsid w:val="00031456"/>
    <w:rsid w:val="000314C4"/>
    <w:rsid w:val="000315B5"/>
    <w:rsid w:val="000317B5"/>
    <w:rsid w:val="000317E8"/>
    <w:rsid w:val="0003188D"/>
    <w:rsid w:val="0003192E"/>
    <w:rsid w:val="00031C16"/>
    <w:rsid w:val="00031CA8"/>
    <w:rsid w:val="00031D6D"/>
    <w:rsid w:val="00031D73"/>
    <w:rsid w:val="00031E59"/>
    <w:rsid w:val="00031F96"/>
    <w:rsid w:val="00032344"/>
    <w:rsid w:val="0003235D"/>
    <w:rsid w:val="00032382"/>
    <w:rsid w:val="00032707"/>
    <w:rsid w:val="00032776"/>
    <w:rsid w:val="000329E8"/>
    <w:rsid w:val="00032AE8"/>
    <w:rsid w:val="00032B9E"/>
    <w:rsid w:val="00032BFA"/>
    <w:rsid w:val="00032DD2"/>
    <w:rsid w:val="00032E0A"/>
    <w:rsid w:val="00032E5D"/>
    <w:rsid w:val="00032EB1"/>
    <w:rsid w:val="00032F18"/>
    <w:rsid w:val="00032F2C"/>
    <w:rsid w:val="000331EF"/>
    <w:rsid w:val="00033403"/>
    <w:rsid w:val="000335C7"/>
    <w:rsid w:val="0003363D"/>
    <w:rsid w:val="00033798"/>
    <w:rsid w:val="00033807"/>
    <w:rsid w:val="000338AC"/>
    <w:rsid w:val="00033A5D"/>
    <w:rsid w:val="00033ADC"/>
    <w:rsid w:val="00033AEE"/>
    <w:rsid w:val="00033BCE"/>
    <w:rsid w:val="00033BE8"/>
    <w:rsid w:val="00033C02"/>
    <w:rsid w:val="00033D20"/>
    <w:rsid w:val="00033E35"/>
    <w:rsid w:val="00033E44"/>
    <w:rsid w:val="00033E6D"/>
    <w:rsid w:val="00033F8D"/>
    <w:rsid w:val="00033FBF"/>
    <w:rsid w:val="000340F3"/>
    <w:rsid w:val="0003416B"/>
    <w:rsid w:val="0003416D"/>
    <w:rsid w:val="000341E1"/>
    <w:rsid w:val="0003421A"/>
    <w:rsid w:val="0003426D"/>
    <w:rsid w:val="0003438B"/>
    <w:rsid w:val="000343A6"/>
    <w:rsid w:val="000343B0"/>
    <w:rsid w:val="000343EE"/>
    <w:rsid w:val="000343FF"/>
    <w:rsid w:val="000344EF"/>
    <w:rsid w:val="00034777"/>
    <w:rsid w:val="00034781"/>
    <w:rsid w:val="00034795"/>
    <w:rsid w:val="000347C9"/>
    <w:rsid w:val="00034814"/>
    <w:rsid w:val="000348A1"/>
    <w:rsid w:val="000349AA"/>
    <w:rsid w:val="00034A68"/>
    <w:rsid w:val="00034BD5"/>
    <w:rsid w:val="00034C90"/>
    <w:rsid w:val="00034CFF"/>
    <w:rsid w:val="00034F43"/>
    <w:rsid w:val="00034F8A"/>
    <w:rsid w:val="00034FDC"/>
    <w:rsid w:val="00035136"/>
    <w:rsid w:val="00035282"/>
    <w:rsid w:val="00035287"/>
    <w:rsid w:val="000353E0"/>
    <w:rsid w:val="00035539"/>
    <w:rsid w:val="000357C2"/>
    <w:rsid w:val="000358C2"/>
    <w:rsid w:val="000358FD"/>
    <w:rsid w:val="000359C6"/>
    <w:rsid w:val="000359E6"/>
    <w:rsid w:val="00035ABC"/>
    <w:rsid w:val="00035BA0"/>
    <w:rsid w:val="00035D21"/>
    <w:rsid w:val="00035DA1"/>
    <w:rsid w:val="00035E00"/>
    <w:rsid w:val="00035E2B"/>
    <w:rsid w:val="00035F08"/>
    <w:rsid w:val="00035F2E"/>
    <w:rsid w:val="00035FF0"/>
    <w:rsid w:val="00036059"/>
    <w:rsid w:val="00036259"/>
    <w:rsid w:val="0003628C"/>
    <w:rsid w:val="00036354"/>
    <w:rsid w:val="00036396"/>
    <w:rsid w:val="000364C2"/>
    <w:rsid w:val="000365A1"/>
    <w:rsid w:val="000365A5"/>
    <w:rsid w:val="000368AE"/>
    <w:rsid w:val="0003694B"/>
    <w:rsid w:val="00036A78"/>
    <w:rsid w:val="00036B2D"/>
    <w:rsid w:val="00036BE7"/>
    <w:rsid w:val="00036D6A"/>
    <w:rsid w:val="00036F3C"/>
    <w:rsid w:val="00036F42"/>
    <w:rsid w:val="00036F46"/>
    <w:rsid w:val="00036F82"/>
    <w:rsid w:val="00036FA3"/>
    <w:rsid w:val="000372EB"/>
    <w:rsid w:val="00037321"/>
    <w:rsid w:val="0003741D"/>
    <w:rsid w:val="0003745F"/>
    <w:rsid w:val="0003747A"/>
    <w:rsid w:val="0003762A"/>
    <w:rsid w:val="0003766B"/>
    <w:rsid w:val="000377BE"/>
    <w:rsid w:val="0003785F"/>
    <w:rsid w:val="000378DA"/>
    <w:rsid w:val="000378E8"/>
    <w:rsid w:val="00037947"/>
    <w:rsid w:val="0003795F"/>
    <w:rsid w:val="00037A88"/>
    <w:rsid w:val="00037AF1"/>
    <w:rsid w:val="00037B1B"/>
    <w:rsid w:val="00037B51"/>
    <w:rsid w:val="00037BA2"/>
    <w:rsid w:val="00037C03"/>
    <w:rsid w:val="00037C0A"/>
    <w:rsid w:val="00037CDE"/>
    <w:rsid w:val="00037DDF"/>
    <w:rsid w:val="00037DFF"/>
    <w:rsid w:val="00037EFE"/>
    <w:rsid w:val="00037F04"/>
    <w:rsid w:val="00037F47"/>
    <w:rsid w:val="00037F6A"/>
    <w:rsid w:val="00040104"/>
    <w:rsid w:val="0004017B"/>
    <w:rsid w:val="000401D6"/>
    <w:rsid w:val="000403A7"/>
    <w:rsid w:val="000403B4"/>
    <w:rsid w:val="00040754"/>
    <w:rsid w:val="000407CA"/>
    <w:rsid w:val="000408DF"/>
    <w:rsid w:val="0004099F"/>
    <w:rsid w:val="000409D1"/>
    <w:rsid w:val="00040C9A"/>
    <w:rsid w:val="00040CC9"/>
    <w:rsid w:val="00040DA5"/>
    <w:rsid w:val="00040E33"/>
    <w:rsid w:val="00040EB0"/>
    <w:rsid w:val="00040F92"/>
    <w:rsid w:val="00040FB0"/>
    <w:rsid w:val="00041003"/>
    <w:rsid w:val="000410A5"/>
    <w:rsid w:val="0004121E"/>
    <w:rsid w:val="000412E5"/>
    <w:rsid w:val="000412F9"/>
    <w:rsid w:val="000412FA"/>
    <w:rsid w:val="000413D3"/>
    <w:rsid w:val="00041406"/>
    <w:rsid w:val="00041423"/>
    <w:rsid w:val="000414C0"/>
    <w:rsid w:val="0004150B"/>
    <w:rsid w:val="0004150D"/>
    <w:rsid w:val="0004180A"/>
    <w:rsid w:val="000418B6"/>
    <w:rsid w:val="000418E4"/>
    <w:rsid w:val="00041A81"/>
    <w:rsid w:val="00041ADF"/>
    <w:rsid w:val="00041B60"/>
    <w:rsid w:val="00041BCC"/>
    <w:rsid w:val="00041C09"/>
    <w:rsid w:val="00041C5F"/>
    <w:rsid w:val="00041CD3"/>
    <w:rsid w:val="00041CD9"/>
    <w:rsid w:val="00041D2C"/>
    <w:rsid w:val="00041D3F"/>
    <w:rsid w:val="00041D52"/>
    <w:rsid w:val="00041E60"/>
    <w:rsid w:val="00041E9F"/>
    <w:rsid w:val="00041F25"/>
    <w:rsid w:val="00041F5D"/>
    <w:rsid w:val="00041FDC"/>
    <w:rsid w:val="00042072"/>
    <w:rsid w:val="000420BA"/>
    <w:rsid w:val="00042131"/>
    <w:rsid w:val="0004215A"/>
    <w:rsid w:val="00042179"/>
    <w:rsid w:val="0004253E"/>
    <w:rsid w:val="00042627"/>
    <w:rsid w:val="00042767"/>
    <w:rsid w:val="00042797"/>
    <w:rsid w:val="00042876"/>
    <w:rsid w:val="000428E5"/>
    <w:rsid w:val="00042A0E"/>
    <w:rsid w:val="00042A75"/>
    <w:rsid w:val="00042A83"/>
    <w:rsid w:val="00042BA1"/>
    <w:rsid w:val="00042C64"/>
    <w:rsid w:val="00042DD6"/>
    <w:rsid w:val="00042F26"/>
    <w:rsid w:val="000430CC"/>
    <w:rsid w:val="00043174"/>
    <w:rsid w:val="000432EF"/>
    <w:rsid w:val="00043493"/>
    <w:rsid w:val="000434E6"/>
    <w:rsid w:val="000434EC"/>
    <w:rsid w:val="000435A2"/>
    <w:rsid w:val="000435C7"/>
    <w:rsid w:val="00043646"/>
    <w:rsid w:val="000436CD"/>
    <w:rsid w:val="000437CC"/>
    <w:rsid w:val="0004385F"/>
    <w:rsid w:val="000438A6"/>
    <w:rsid w:val="000438DA"/>
    <w:rsid w:val="0004391F"/>
    <w:rsid w:val="00043A3F"/>
    <w:rsid w:val="00043A64"/>
    <w:rsid w:val="00043A6A"/>
    <w:rsid w:val="00043B0A"/>
    <w:rsid w:val="00043C0B"/>
    <w:rsid w:val="00043D46"/>
    <w:rsid w:val="00043D47"/>
    <w:rsid w:val="00043D48"/>
    <w:rsid w:val="00043DEB"/>
    <w:rsid w:val="00043DF0"/>
    <w:rsid w:val="0004401F"/>
    <w:rsid w:val="00044045"/>
    <w:rsid w:val="0004431F"/>
    <w:rsid w:val="00044364"/>
    <w:rsid w:val="00044397"/>
    <w:rsid w:val="000444EE"/>
    <w:rsid w:val="00044590"/>
    <w:rsid w:val="000445F3"/>
    <w:rsid w:val="0004467F"/>
    <w:rsid w:val="000446E5"/>
    <w:rsid w:val="00044705"/>
    <w:rsid w:val="000448E7"/>
    <w:rsid w:val="00044A6F"/>
    <w:rsid w:val="00044AEB"/>
    <w:rsid w:val="00044B1B"/>
    <w:rsid w:val="00044BD3"/>
    <w:rsid w:val="00044CB6"/>
    <w:rsid w:val="00044D78"/>
    <w:rsid w:val="00044E73"/>
    <w:rsid w:val="00044EEE"/>
    <w:rsid w:val="00044EFE"/>
    <w:rsid w:val="00044F09"/>
    <w:rsid w:val="00045007"/>
    <w:rsid w:val="00045094"/>
    <w:rsid w:val="000453CB"/>
    <w:rsid w:val="000453E5"/>
    <w:rsid w:val="000454BD"/>
    <w:rsid w:val="000455AF"/>
    <w:rsid w:val="000455B3"/>
    <w:rsid w:val="000455BB"/>
    <w:rsid w:val="00045601"/>
    <w:rsid w:val="00045685"/>
    <w:rsid w:val="000456D3"/>
    <w:rsid w:val="000456F1"/>
    <w:rsid w:val="00045758"/>
    <w:rsid w:val="00045803"/>
    <w:rsid w:val="00045852"/>
    <w:rsid w:val="00045A34"/>
    <w:rsid w:val="00045A96"/>
    <w:rsid w:val="00045AC2"/>
    <w:rsid w:val="00045BD0"/>
    <w:rsid w:val="00045D16"/>
    <w:rsid w:val="00045E41"/>
    <w:rsid w:val="00045ED8"/>
    <w:rsid w:val="00045F33"/>
    <w:rsid w:val="00045F68"/>
    <w:rsid w:val="00045FBC"/>
    <w:rsid w:val="00045FE0"/>
    <w:rsid w:val="00046088"/>
    <w:rsid w:val="000461E7"/>
    <w:rsid w:val="00046203"/>
    <w:rsid w:val="00046450"/>
    <w:rsid w:val="000468ED"/>
    <w:rsid w:val="00046931"/>
    <w:rsid w:val="000469A4"/>
    <w:rsid w:val="00046A52"/>
    <w:rsid w:val="00046AAD"/>
    <w:rsid w:val="00046BCE"/>
    <w:rsid w:val="00046BE1"/>
    <w:rsid w:val="00046C53"/>
    <w:rsid w:val="00046D33"/>
    <w:rsid w:val="00046DBA"/>
    <w:rsid w:val="00046DED"/>
    <w:rsid w:val="00046EA0"/>
    <w:rsid w:val="00046FFF"/>
    <w:rsid w:val="0004706A"/>
    <w:rsid w:val="00047209"/>
    <w:rsid w:val="0004725B"/>
    <w:rsid w:val="0004725F"/>
    <w:rsid w:val="0004729E"/>
    <w:rsid w:val="000473D0"/>
    <w:rsid w:val="00047401"/>
    <w:rsid w:val="00047456"/>
    <w:rsid w:val="0004749A"/>
    <w:rsid w:val="00047597"/>
    <w:rsid w:val="000476B1"/>
    <w:rsid w:val="00047950"/>
    <w:rsid w:val="000479BB"/>
    <w:rsid w:val="000479E5"/>
    <w:rsid w:val="00047AF0"/>
    <w:rsid w:val="00047B6F"/>
    <w:rsid w:val="00047BC1"/>
    <w:rsid w:val="00047C5A"/>
    <w:rsid w:val="00047C88"/>
    <w:rsid w:val="00047CD7"/>
    <w:rsid w:val="00047ED2"/>
    <w:rsid w:val="00050029"/>
    <w:rsid w:val="00050103"/>
    <w:rsid w:val="000501FB"/>
    <w:rsid w:val="000502DF"/>
    <w:rsid w:val="0005037B"/>
    <w:rsid w:val="00050417"/>
    <w:rsid w:val="0005042D"/>
    <w:rsid w:val="00050470"/>
    <w:rsid w:val="0005064E"/>
    <w:rsid w:val="0005064F"/>
    <w:rsid w:val="00050767"/>
    <w:rsid w:val="00050837"/>
    <w:rsid w:val="00050883"/>
    <w:rsid w:val="000508EB"/>
    <w:rsid w:val="00050AD0"/>
    <w:rsid w:val="00050C00"/>
    <w:rsid w:val="0005117A"/>
    <w:rsid w:val="0005117E"/>
    <w:rsid w:val="00051320"/>
    <w:rsid w:val="00051389"/>
    <w:rsid w:val="0005145F"/>
    <w:rsid w:val="000514AB"/>
    <w:rsid w:val="00051558"/>
    <w:rsid w:val="000515B4"/>
    <w:rsid w:val="0005161E"/>
    <w:rsid w:val="00051665"/>
    <w:rsid w:val="0005169C"/>
    <w:rsid w:val="000516B1"/>
    <w:rsid w:val="0005173A"/>
    <w:rsid w:val="0005177D"/>
    <w:rsid w:val="00051889"/>
    <w:rsid w:val="000518B9"/>
    <w:rsid w:val="00051956"/>
    <w:rsid w:val="00051971"/>
    <w:rsid w:val="000519F8"/>
    <w:rsid w:val="00051A7F"/>
    <w:rsid w:val="00051B21"/>
    <w:rsid w:val="00051B3C"/>
    <w:rsid w:val="00051C0E"/>
    <w:rsid w:val="00051C30"/>
    <w:rsid w:val="00051CA8"/>
    <w:rsid w:val="00051F07"/>
    <w:rsid w:val="00051F66"/>
    <w:rsid w:val="00051FAE"/>
    <w:rsid w:val="0005201D"/>
    <w:rsid w:val="000520DC"/>
    <w:rsid w:val="0005215D"/>
    <w:rsid w:val="0005216F"/>
    <w:rsid w:val="00052186"/>
    <w:rsid w:val="0005218B"/>
    <w:rsid w:val="000521D7"/>
    <w:rsid w:val="00052203"/>
    <w:rsid w:val="0005222F"/>
    <w:rsid w:val="0005232D"/>
    <w:rsid w:val="00052377"/>
    <w:rsid w:val="00052387"/>
    <w:rsid w:val="000523C9"/>
    <w:rsid w:val="0005240D"/>
    <w:rsid w:val="000526DC"/>
    <w:rsid w:val="00052720"/>
    <w:rsid w:val="000527B2"/>
    <w:rsid w:val="000528C3"/>
    <w:rsid w:val="000528D5"/>
    <w:rsid w:val="000528EA"/>
    <w:rsid w:val="000528FA"/>
    <w:rsid w:val="00052988"/>
    <w:rsid w:val="000529CA"/>
    <w:rsid w:val="00052A26"/>
    <w:rsid w:val="00052A2B"/>
    <w:rsid w:val="00052A87"/>
    <w:rsid w:val="00052BB9"/>
    <w:rsid w:val="00052C44"/>
    <w:rsid w:val="00052CF7"/>
    <w:rsid w:val="00052D77"/>
    <w:rsid w:val="00052EFA"/>
    <w:rsid w:val="00053000"/>
    <w:rsid w:val="0005304E"/>
    <w:rsid w:val="00053063"/>
    <w:rsid w:val="00053082"/>
    <w:rsid w:val="0005322F"/>
    <w:rsid w:val="000532EF"/>
    <w:rsid w:val="00053508"/>
    <w:rsid w:val="0005365D"/>
    <w:rsid w:val="000536C2"/>
    <w:rsid w:val="00053794"/>
    <w:rsid w:val="0005393B"/>
    <w:rsid w:val="00053961"/>
    <w:rsid w:val="000539B1"/>
    <w:rsid w:val="00053AFF"/>
    <w:rsid w:val="00053B73"/>
    <w:rsid w:val="00053C66"/>
    <w:rsid w:val="00053DC9"/>
    <w:rsid w:val="00053E6C"/>
    <w:rsid w:val="00053E92"/>
    <w:rsid w:val="00053F41"/>
    <w:rsid w:val="00053FAB"/>
    <w:rsid w:val="00053FB3"/>
    <w:rsid w:val="000540B1"/>
    <w:rsid w:val="000542DC"/>
    <w:rsid w:val="0005435B"/>
    <w:rsid w:val="00054383"/>
    <w:rsid w:val="00054417"/>
    <w:rsid w:val="0005449E"/>
    <w:rsid w:val="0005450E"/>
    <w:rsid w:val="00054562"/>
    <w:rsid w:val="0005456B"/>
    <w:rsid w:val="00054589"/>
    <w:rsid w:val="000545D5"/>
    <w:rsid w:val="00054664"/>
    <w:rsid w:val="0005488E"/>
    <w:rsid w:val="000548DC"/>
    <w:rsid w:val="00054B0C"/>
    <w:rsid w:val="00054B58"/>
    <w:rsid w:val="00054BF1"/>
    <w:rsid w:val="00054C26"/>
    <w:rsid w:val="00054C35"/>
    <w:rsid w:val="00054C4D"/>
    <w:rsid w:val="00054CC6"/>
    <w:rsid w:val="00055154"/>
    <w:rsid w:val="00055177"/>
    <w:rsid w:val="00055181"/>
    <w:rsid w:val="0005521E"/>
    <w:rsid w:val="0005545F"/>
    <w:rsid w:val="00055460"/>
    <w:rsid w:val="000554E5"/>
    <w:rsid w:val="0005554F"/>
    <w:rsid w:val="000555BD"/>
    <w:rsid w:val="0005566C"/>
    <w:rsid w:val="000556EE"/>
    <w:rsid w:val="0005574D"/>
    <w:rsid w:val="0005576E"/>
    <w:rsid w:val="00055939"/>
    <w:rsid w:val="00055969"/>
    <w:rsid w:val="00055999"/>
    <w:rsid w:val="000559B1"/>
    <w:rsid w:val="00055CA8"/>
    <w:rsid w:val="00055DB9"/>
    <w:rsid w:val="00055E75"/>
    <w:rsid w:val="000560DA"/>
    <w:rsid w:val="000561FA"/>
    <w:rsid w:val="000561FC"/>
    <w:rsid w:val="0005624B"/>
    <w:rsid w:val="0005627D"/>
    <w:rsid w:val="0005642A"/>
    <w:rsid w:val="00056532"/>
    <w:rsid w:val="0005654E"/>
    <w:rsid w:val="00056551"/>
    <w:rsid w:val="00056600"/>
    <w:rsid w:val="00056634"/>
    <w:rsid w:val="00056826"/>
    <w:rsid w:val="00056966"/>
    <w:rsid w:val="00056A6B"/>
    <w:rsid w:val="00056A9C"/>
    <w:rsid w:val="00056BE6"/>
    <w:rsid w:val="00056CCA"/>
    <w:rsid w:val="00056D08"/>
    <w:rsid w:val="00056D16"/>
    <w:rsid w:val="00056DE6"/>
    <w:rsid w:val="00056DF7"/>
    <w:rsid w:val="00056E23"/>
    <w:rsid w:val="00056E65"/>
    <w:rsid w:val="00056ED9"/>
    <w:rsid w:val="00056FC6"/>
    <w:rsid w:val="00057049"/>
    <w:rsid w:val="000571A2"/>
    <w:rsid w:val="000572FB"/>
    <w:rsid w:val="00057419"/>
    <w:rsid w:val="000574A6"/>
    <w:rsid w:val="00057508"/>
    <w:rsid w:val="00057598"/>
    <w:rsid w:val="00057674"/>
    <w:rsid w:val="000576BC"/>
    <w:rsid w:val="000576E7"/>
    <w:rsid w:val="00057779"/>
    <w:rsid w:val="000579F7"/>
    <w:rsid w:val="00057A12"/>
    <w:rsid w:val="00057ABF"/>
    <w:rsid w:val="00057BBA"/>
    <w:rsid w:val="00057BF7"/>
    <w:rsid w:val="00057C4E"/>
    <w:rsid w:val="00057E5B"/>
    <w:rsid w:val="00057EDC"/>
    <w:rsid w:val="0006018D"/>
    <w:rsid w:val="000603FF"/>
    <w:rsid w:val="00060458"/>
    <w:rsid w:val="0006049D"/>
    <w:rsid w:val="000604A3"/>
    <w:rsid w:val="000605CA"/>
    <w:rsid w:val="00060630"/>
    <w:rsid w:val="0006064C"/>
    <w:rsid w:val="000606B9"/>
    <w:rsid w:val="00060722"/>
    <w:rsid w:val="000608BB"/>
    <w:rsid w:val="00060CF1"/>
    <w:rsid w:val="00060E04"/>
    <w:rsid w:val="00060E8E"/>
    <w:rsid w:val="00060F16"/>
    <w:rsid w:val="0006103C"/>
    <w:rsid w:val="00061057"/>
    <w:rsid w:val="0006111C"/>
    <w:rsid w:val="00061163"/>
    <w:rsid w:val="000612C7"/>
    <w:rsid w:val="0006133F"/>
    <w:rsid w:val="00061487"/>
    <w:rsid w:val="000615B0"/>
    <w:rsid w:val="0006163D"/>
    <w:rsid w:val="00061661"/>
    <w:rsid w:val="0006171F"/>
    <w:rsid w:val="0006172A"/>
    <w:rsid w:val="0006176E"/>
    <w:rsid w:val="000617A2"/>
    <w:rsid w:val="000617DE"/>
    <w:rsid w:val="0006186D"/>
    <w:rsid w:val="00061948"/>
    <w:rsid w:val="00061A51"/>
    <w:rsid w:val="00061B9C"/>
    <w:rsid w:val="00061C55"/>
    <w:rsid w:val="00061CE5"/>
    <w:rsid w:val="00061E6D"/>
    <w:rsid w:val="00061F9F"/>
    <w:rsid w:val="00061FDC"/>
    <w:rsid w:val="000620C2"/>
    <w:rsid w:val="000624AD"/>
    <w:rsid w:val="00062561"/>
    <w:rsid w:val="00062752"/>
    <w:rsid w:val="00062778"/>
    <w:rsid w:val="000627A6"/>
    <w:rsid w:val="0006284A"/>
    <w:rsid w:val="0006298E"/>
    <w:rsid w:val="000629BB"/>
    <w:rsid w:val="00062A1D"/>
    <w:rsid w:val="00062A2A"/>
    <w:rsid w:val="00062A7F"/>
    <w:rsid w:val="00062B32"/>
    <w:rsid w:val="00062B73"/>
    <w:rsid w:val="00062BBD"/>
    <w:rsid w:val="00062D1F"/>
    <w:rsid w:val="00062DE6"/>
    <w:rsid w:val="00062E7B"/>
    <w:rsid w:val="00062F4F"/>
    <w:rsid w:val="00062FDE"/>
    <w:rsid w:val="0006300D"/>
    <w:rsid w:val="0006303D"/>
    <w:rsid w:val="000630AD"/>
    <w:rsid w:val="00063160"/>
    <w:rsid w:val="000631CA"/>
    <w:rsid w:val="000632D9"/>
    <w:rsid w:val="000633FD"/>
    <w:rsid w:val="00063494"/>
    <w:rsid w:val="0006356A"/>
    <w:rsid w:val="000635B8"/>
    <w:rsid w:val="0006370F"/>
    <w:rsid w:val="0006377F"/>
    <w:rsid w:val="000638DE"/>
    <w:rsid w:val="00063B31"/>
    <w:rsid w:val="00063CF7"/>
    <w:rsid w:val="00063DA3"/>
    <w:rsid w:val="00063E54"/>
    <w:rsid w:val="00063F59"/>
    <w:rsid w:val="00063F6B"/>
    <w:rsid w:val="00064114"/>
    <w:rsid w:val="00064271"/>
    <w:rsid w:val="000643A7"/>
    <w:rsid w:val="00064495"/>
    <w:rsid w:val="000644E2"/>
    <w:rsid w:val="000646D3"/>
    <w:rsid w:val="000646E3"/>
    <w:rsid w:val="0006471A"/>
    <w:rsid w:val="00064749"/>
    <w:rsid w:val="000647A8"/>
    <w:rsid w:val="00064803"/>
    <w:rsid w:val="0006484F"/>
    <w:rsid w:val="00064982"/>
    <w:rsid w:val="00064B66"/>
    <w:rsid w:val="00064B7A"/>
    <w:rsid w:val="00064B85"/>
    <w:rsid w:val="00064C24"/>
    <w:rsid w:val="00064C25"/>
    <w:rsid w:val="00064C29"/>
    <w:rsid w:val="00064C8A"/>
    <w:rsid w:val="00064DAF"/>
    <w:rsid w:val="00064F71"/>
    <w:rsid w:val="000651B8"/>
    <w:rsid w:val="00065204"/>
    <w:rsid w:val="000652BF"/>
    <w:rsid w:val="0006539A"/>
    <w:rsid w:val="00065460"/>
    <w:rsid w:val="00065598"/>
    <w:rsid w:val="0006575E"/>
    <w:rsid w:val="000657CF"/>
    <w:rsid w:val="000658C2"/>
    <w:rsid w:val="0006592B"/>
    <w:rsid w:val="00065A19"/>
    <w:rsid w:val="00065B83"/>
    <w:rsid w:val="00065C1B"/>
    <w:rsid w:val="00065E3E"/>
    <w:rsid w:val="00065F2E"/>
    <w:rsid w:val="00065FB1"/>
    <w:rsid w:val="00065FC2"/>
    <w:rsid w:val="00065FCE"/>
    <w:rsid w:val="00066045"/>
    <w:rsid w:val="0006613D"/>
    <w:rsid w:val="0006621A"/>
    <w:rsid w:val="00066234"/>
    <w:rsid w:val="0006638D"/>
    <w:rsid w:val="00066463"/>
    <w:rsid w:val="00066470"/>
    <w:rsid w:val="0006649F"/>
    <w:rsid w:val="00066582"/>
    <w:rsid w:val="00066644"/>
    <w:rsid w:val="00066812"/>
    <w:rsid w:val="000669C0"/>
    <w:rsid w:val="00066A34"/>
    <w:rsid w:val="00066AE8"/>
    <w:rsid w:val="00066B44"/>
    <w:rsid w:val="00066B95"/>
    <w:rsid w:val="00066BC3"/>
    <w:rsid w:val="00066CA5"/>
    <w:rsid w:val="00066DC0"/>
    <w:rsid w:val="00066E37"/>
    <w:rsid w:val="00066E49"/>
    <w:rsid w:val="00066F30"/>
    <w:rsid w:val="00066F37"/>
    <w:rsid w:val="00066F44"/>
    <w:rsid w:val="00066FC3"/>
    <w:rsid w:val="00067031"/>
    <w:rsid w:val="00067035"/>
    <w:rsid w:val="00067126"/>
    <w:rsid w:val="000671B1"/>
    <w:rsid w:val="0006732C"/>
    <w:rsid w:val="00067629"/>
    <w:rsid w:val="0006768C"/>
    <w:rsid w:val="000676DE"/>
    <w:rsid w:val="000676FF"/>
    <w:rsid w:val="0006775A"/>
    <w:rsid w:val="00067765"/>
    <w:rsid w:val="0006779B"/>
    <w:rsid w:val="0006785C"/>
    <w:rsid w:val="00067C7E"/>
    <w:rsid w:val="00067DDB"/>
    <w:rsid w:val="00067E02"/>
    <w:rsid w:val="00067E79"/>
    <w:rsid w:val="0007009D"/>
    <w:rsid w:val="0007016D"/>
    <w:rsid w:val="00070354"/>
    <w:rsid w:val="000703C4"/>
    <w:rsid w:val="0007046D"/>
    <w:rsid w:val="0007054C"/>
    <w:rsid w:val="0007060B"/>
    <w:rsid w:val="00070669"/>
    <w:rsid w:val="00070768"/>
    <w:rsid w:val="0007083E"/>
    <w:rsid w:val="00070882"/>
    <w:rsid w:val="000709BA"/>
    <w:rsid w:val="00070A3B"/>
    <w:rsid w:val="00070AFC"/>
    <w:rsid w:val="00070C0D"/>
    <w:rsid w:val="00070DDC"/>
    <w:rsid w:val="00070E18"/>
    <w:rsid w:val="00070FB3"/>
    <w:rsid w:val="00071047"/>
    <w:rsid w:val="000710AD"/>
    <w:rsid w:val="000711A6"/>
    <w:rsid w:val="000712B2"/>
    <w:rsid w:val="000712C6"/>
    <w:rsid w:val="000713FE"/>
    <w:rsid w:val="0007144A"/>
    <w:rsid w:val="0007147D"/>
    <w:rsid w:val="000714A6"/>
    <w:rsid w:val="00071522"/>
    <w:rsid w:val="0007155F"/>
    <w:rsid w:val="0007169B"/>
    <w:rsid w:val="000717ED"/>
    <w:rsid w:val="00071985"/>
    <w:rsid w:val="000719EA"/>
    <w:rsid w:val="00071AC5"/>
    <w:rsid w:val="00071AE0"/>
    <w:rsid w:val="00071C14"/>
    <w:rsid w:val="00071C98"/>
    <w:rsid w:val="00071E33"/>
    <w:rsid w:val="00071EDD"/>
    <w:rsid w:val="00071FE1"/>
    <w:rsid w:val="0007204C"/>
    <w:rsid w:val="00072055"/>
    <w:rsid w:val="000721C0"/>
    <w:rsid w:val="0007224C"/>
    <w:rsid w:val="000723BD"/>
    <w:rsid w:val="0007261D"/>
    <w:rsid w:val="0007267B"/>
    <w:rsid w:val="0007273C"/>
    <w:rsid w:val="000727C7"/>
    <w:rsid w:val="0007282F"/>
    <w:rsid w:val="00072850"/>
    <w:rsid w:val="000728CF"/>
    <w:rsid w:val="0007292F"/>
    <w:rsid w:val="00072AEF"/>
    <w:rsid w:val="00072B12"/>
    <w:rsid w:val="00072B82"/>
    <w:rsid w:val="00072BC6"/>
    <w:rsid w:val="00072C61"/>
    <w:rsid w:val="00072CFA"/>
    <w:rsid w:val="00072D09"/>
    <w:rsid w:val="00072E9E"/>
    <w:rsid w:val="00072F1F"/>
    <w:rsid w:val="00072F71"/>
    <w:rsid w:val="0007303B"/>
    <w:rsid w:val="00073143"/>
    <w:rsid w:val="000732CF"/>
    <w:rsid w:val="0007342B"/>
    <w:rsid w:val="000734C1"/>
    <w:rsid w:val="000734D2"/>
    <w:rsid w:val="00073883"/>
    <w:rsid w:val="000739F4"/>
    <w:rsid w:val="00073A2A"/>
    <w:rsid w:val="00073BA8"/>
    <w:rsid w:val="00073C10"/>
    <w:rsid w:val="00073CD3"/>
    <w:rsid w:val="00073D12"/>
    <w:rsid w:val="00073D77"/>
    <w:rsid w:val="00073E50"/>
    <w:rsid w:val="00073F70"/>
    <w:rsid w:val="00073FEB"/>
    <w:rsid w:val="00074038"/>
    <w:rsid w:val="0007404B"/>
    <w:rsid w:val="00074063"/>
    <w:rsid w:val="000741B8"/>
    <w:rsid w:val="00074238"/>
    <w:rsid w:val="000742C1"/>
    <w:rsid w:val="00074330"/>
    <w:rsid w:val="00074357"/>
    <w:rsid w:val="0007438E"/>
    <w:rsid w:val="000744CA"/>
    <w:rsid w:val="000745F3"/>
    <w:rsid w:val="00074610"/>
    <w:rsid w:val="00074668"/>
    <w:rsid w:val="000747B2"/>
    <w:rsid w:val="00074888"/>
    <w:rsid w:val="000748B5"/>
    <w:rsid w:val="00074941"/>
    <w:rsid w:val="00074956"/>
    <w:rsid w:val="0007495A"/>
    <w:rsid w:val="0007496E"/>
    <w:rsid w:val="00074A0B"/>
    <w:rsid w:val="00074AC9"/>
    <w:rsid w:val="00074C7C"/>
    <w:rsid w:val="00074CBC"/>
    <w:rsid w:val="00074CF1"/>
    <w:rsid w:val="00074DC0"/>
    <w:rsid w:val="00074E74"/>
    <w:rsid w:val="00074EAD"/>
    <w:rsid w:val="00074ED0"/>
    <w:rsid w:val="00074FA8"/>
    <w:rsid w:val="00075021"/>
    <w:rsid w:val="000750E3"/>
    <w:rsid w:val="000751D5"/>
    <w:rsid w:val="000751E4"/>
    <w:rsid w:val="000752E7"/>
    <w:rsid w:val="00075305"/>
    <w:rsid w:val="000753DA"/>
    <w:rsid w:val="000754E4"/>
    <w:rsid w:val="0007566A"/>
    <w:rsid w:val="00075850"/>
    <w:rsid w:val="000758FD"/>
    <w:rsid w:val="00075956"/>
    <w:rsid w:val="000759B1"/>
    <w:rsid w:val="00075A73"/>
    <w:rsid w:val="00075A9E"/>
    <w:rsid w:val="00075AF0"/>
    <w:rsid w:val="00075B4E"/>
    <w:rsid w:val="00075C8C"/>
    <w:rsid w:val="00075D0D"/>
    <w:rsid w:val="00075D41"/>
    <w:rsid w:val="00075FB7"/>
    <w:rsid w:val="00076055"/>
    <w:rsid w:val="0007611C"/>
    <w:rsid w:val="00076286"/>
    <w:rsid w:val="000762C6"/>
    <w:rsid w:val="00076390"/>
    <w:rsid w:val="00076459"/>
    <w:rsid w:val="000764D6"/>
    <w:rsid w:val="00076539"/>
    <w:rsid w:val="000765C5"/>
    <w:rsid w:val="0007660B"/>
    <w:rsid w:val="00076646"/>
    <w:rsid w:val="000766A9"/>
    <w:rsid w:val="00076963"/>
    <w:rsid w:val="00076A50"/>
    <w:rsid w:val="00076AF2"/>
    <w:rsid w:val="00076BC6"/>
    <w:rsid w:val="00076BE4"/>
    <w:rsid w:val="00076C78"/>
    <w:rsid w:val="00076EAF"/>
    <w:rsid w:val="00076FC0"/>
    <w:rsid w:val="00077005"/>
    <w:rsid w:val="00077018"/>
    <w:rsid w:val="00077042"/>
    <w:rsid w:val="0007710D"/>
    <w:rsid w:val="0007715A"/>
    <w:rsid w:val="0007719A"/>
    <w:rsid w:val="000771EA"/>
    <w:rsid w:val="00077209"/>
    <w:rsid w:val="00077236"/>
    <w:rsid w:val="000774FD"/>
    <w:rsid w:val="0007757F"/>
    <w:rsid w:val="00077642"/>
    <w:rsid w:val="00077731"/>
    <w:rsid w:val="000778C3"/>
    <w:rsid w:val="000778D3"/>
    <w:rsid w:val="00077A0D"/>
    <w:rsid w:val="00077AC2"/>
    <w:rsid w:val="00077B0D"/>
    <w:rsid w:val="00077BAE"/>
    <w:rsid w:val="00077BFF"/>
    <w:rsid w:val="00077C50"/>
    <w:rsid w:val="00077CF6"/>
    <w:rsid w:val="00077CFD"/>
    <w:rsid w:val="00077D24"/>
    <w:rsid w:val="00077D7F"/>
    <w:rsid w:val="00077D89"/>
    <w:rsid w:val="00077E2F"/>
    <w:rsid w:val="00077EB8"/>
    <w:rsid w:val="00077ED7"/>
    <w:rsid w:val="00077F2D"/>
    <w:rsid w:val="00077F52"/>
    <w:rsid w:val="00077F86"/>
    <w:rsid w:val="00077FB8"/>
    <w:rsid w:val="0008004C"/>
    <w:rsid w:val="00080105"/>
    <w:rsid w:val="0008049B"/>
    <w:rsid w:val="000805B8"/>
    <w:rsid w:val="0008063F"/>
    <w:rsid w:val="00080647"/>
    <w:rsid w:val="000809E7"/>
    <w:rsid w:val="00080A8D"/>
    <w:rsid w:val="00080AD6"/>
    <w:rsid w:val="00080B5A"/>
    <w:rsid w:val="00080C02"/>
    <w:rsid w:val="00080C5E"/>
    <w:rsid w:val="00080EC2"/>
    <w:rsid w:val="00080F63"/>
    <w:rsid w:val="00081047"/>
    <w:rsid w:val="0008111D"/>
    <w:rsid w:val="0008123C"/>
    <w:rsid w:val="000813B9"/>
    <w:rsid w:val="0008141D"/>
    <w:rsid w:val="00081485"/>
    <w:rsid w:val="000816BB"/>
    <w:rsid w:val="000816DA"/>
    <w:rsid w:val="0008181A"/>
    <w:rsid w:val="00081A9A"/>
    <w:rsid w:val="00081B63"/>
    <w:rsid w:val="00081C08"/>
    <w:rsid w:val="00081DAC"/>
    <w:rsid w:val="00081E30"/>
    <w:rsid w:val="00081FFF"/>
    <w:rsid w:val="00082013"/>
    <w:rsid w:val="0008210A"/>
    <w:rsid w:val="0008241D"/>
    <w:rsid w:val="00082458"/>
    <w:rsid w:val="00082687"/>
    <w:rsid w:val="00082730"/>
    <w:rsid w:val="00082845"/>
    <w:rsid w:val="00082969"/>
    <w:rsid w:val="000829E2"/>
    <w:rsid w:val="00082A3E"/>
    <w:rsid w:val="00082AA6"/>
    <w:rsid w:val="00082BBF"/>
    <w:rsid w:val="00082CF9"/>
    <w:rsid w:val="00082DCE"/>
    <w:rsid w:val="00082E2F"/>
    <w:rsid w:val="00082E6A"/>
    <w:rsid w:val="00082EBE"/>
    <w:rsid w:val="00082FCC"/>
    <w:rsid w:val="00083000"/>
    <w:rsid w:val="00083001"/>
    <w:rsid w:val="00083035"/>
    <w:rsid w:val="0008319A"/>
    <w:rsid w:val="00083230"/>
    <w:rsid w:val="0008328A"/>
    <w:rsid w:val="000832DA"/>
    <w:rsid w:val="000833D9"/>
    <w:rsid w:val="0008349A"/>
    <w:rsid w:val="0008351B"/>
    <w:rsid w:val="0008353A"/>
    <w:rsid w:val="000835BE"/>
    <w:rsid w:val="000837FD"/>
    <w:rsid w:val="000838E8"/>
    <w:rsid w:val="00083971"/>
    <w:rsid w:val="00083988"/>
    <w:rsid w:val="00083B36"/>
    <w:rsid w:val="00083B78"/>
    <w:rsid w:val="00083BCA"/>
    <w:rsid w:val="00083C17"/>
    <w:rsid w:val="00083DD2"/>
    <w:rsid w:val="00084167"/>
    <w:rsid w:val="0008423B"/>
    <w:rsid w:val="000843B1"/>
    <w:rsid w:val="00084453"/>
    <w:rsid w:val="0008457D"/>
    <w:rsid w:val="00084580"/>
    <w:rsid w:val="000845B1"/>
    <w:rsid w:val="00084609"/>
    <w:rsid w:val="000846A6"/>
    <w:rsid w:val="00084816"/>
    <w:rsid w:val="0008485C"/>
    <w:rsid w:val="00084943"/>
    <w:rsid w:val="000849D6"/>
    <w:rsid w:val="00084A60"/>
    <w:rsid w:val="00084AAF"/>
    <w:rsid w:val="00084C8A"/>
    <w:rsid w:val="00084CC7"/>
    <w:rsid w:val="00084CED"/>
    <w:rsid w:val="00084DB9"/>
    <w:rsid w:val="00084E39"/>
    <w:rsid w:val="0008501F"/>
    <w:rsid w:val="00085028"/>
    <w:rsid w:val="000854A8"/>
    <w:rsid w:val="0008559E"/>
    <w:rsid w:val="00085845"/>
    <w:rsid w:val="000858C6"/>
    <w:rsid w:val="0008595A"/>
    <w:rsid w:val="00085A4E"/>
    <w:rsid w:val="00085B77"/>
    <w:rsid w:val="00085B94"/>
    <w:rsid w:val="00085BBA"/>
    <w:rsid w:val="00085BE4"/>
    <w:rsid w:val="00085C23"/>
    <w:rsid w:val="00085DC8"/>
    <w:rsid w:val="00085E74"/>
    <w:rsid w:val="00085FF3"/>
    <w:rsid w:val="000861AB"/>
    <w:rsid w:val="0008623F"/>
    <w:rsid w:val="000862AE"/>
    <w:rsid w:val="000862C7"/>
    <w:rsid w:val="000864C9"/>
    <w:rsid w:val="000864FB"/>
    <w:rsid w:val="00086540"/>
    <w:rsid w:val="00086566"/>
    <w:rsid w:val="000865AB"/>
    <w:rsid w:val="00086600"/>
    <w:rsid w:val="000866A7"/>
    <w:rsid w:val="000866EA"/>
    <w:rsid w:val="00086772"/>
    <w:rsid w:val="0008687A"/>
    <w:rsid w:val="00086892"/>
    <w:rsid w:val="0008690C"/>
    <w:rsid w:val="00086991"/>
    <w:rsid w:val="00086A5C"/>
    <w:rsid w:val="00086BCF"/>
    <w:rsid w:val="00086C8F"/>
    <w:rsid w:val="00086CEB"/>
    <w:rsid w:val="00086D39"/>
    <w:rsid w:val="00086D73"/>
    <w:rsid w:val="00086E4D"/>
    <w:rsid w:val="00086F05"/>
    <w:rsid w:val="00086F8E"/>
    <w:rsid w:val="0008700B"/>
    <w:rsid w:val="000870CC"/>
    <w:rsid w:val="000870EA"/>
    <w:rsid w:val="00087322"/>
    <w:rsid w:val="0008733A"/>
    <w:rsid w:val="000873A9"/>
    <w:rsid w:val="000873C3"/>
    <w:rsid w:val="000873F2"/>
    <w:rsid w:val="00087400"/>
    <w:rsid w:val="00087417"/>
    <w:rsid w:val="00087529"/>
    <w:rsid w:val="00087693"/>
    <w:rsid w:val="00087704"/>
    <w:rsid w:val="0008775B"/>
    <w:rsid w:val="00087844"/>
    <w:rsid w:val="0008786C"/>
    <w:rsid w:val="00087929"/>
    <w:rsid w:val="0008795C"/>
    <w:rsid w:val="00087AD8"/>
    <w:rsid w:val="00087B03"/>
    <w:rsid w:val="00087BAD"/>
    <w:rsid w:val="00087CA8"/>
    <w:rsid w:val="00087D31"/>
    <w:rsid w:val="00087D66"/>
    <w:rsid w:val="00087EFC"/>
    <w:rsid w:val="00087F11"/>
    <w:rsid w:val="00087F84"/>
    <w:rsid w:val="00087FE2"/>
    <w:rsid w:val="00090147"/>
    <w:rsid w:val="000901A9"/>
    <w:rsid w:val="00090235"/>
    <w:rsid w:val="000902F3"/>
    <w:rsid w:val="00090361"/>
    <w:rsid w:val="000903DE"/>
    <w:rsid w:val="00090490"/>
    <w:rsid w:val="0009053D"/>
    <w:rsid w:val="000905AC"/>
    <w:rsid w:val="00090694"/>
    <w:rsid w:val="000907BF"/>
    <w:rsid w:val="000908DB"/>
    <w:rsid w:val="00090960"/>
    <w:rsid w:val="000909AD"/>
    <w:rsid w:val="00090A3A"/>
    <w:rsid w:val="00090AD1"/>
    <w:rsid w:val="00090B10"/>
    <w:rsid w:val="00090B40"/>
    <w:rsid w:val="00090BBC"/>
    <w:rsid w:val="00090DB1"/>
    <w:rsid w:val="00090DB5"/>
    <w:rsid w:val="00090DFE"/>
    <w:rsid w:val="00090EEE"/>
    <w:rsid w:val="00090FAB"/>
    <w:rsid w:val="0009109C"/>
    <w:rsid w:val="000910F0"/>
    <w:rsid w:val="0009127A"/>
    <w:rsid w:val="000912F0"/>
    <w:rsid w:val="0009131B"/>
    <w:rsid w:val="00091373"/>
    <w:rsid w:val="000913AE"/>
    <w:rsid w:val="000914A5"/>
    <w:rsid w:val="00091503"/>
    <w:rsid w:val="000915BD"/>
    <w:rsid w:val="0009167C"/>
    <w:rsid w:val="00091685"/>
    <w:rsid w:val="00091699"/>
    <w:rsid w:val="000916BF"/>
    <w:rsid w:val="00091763"/>
    <w:rsid w:val="000917BB"/>
    <w:rsid w:val="000919F3"/>
    <w:rsid w:val="00091AD9"/>
    <w:rsid w:val="00091CB2"/>
    <w:rsid w:val="00091DDD"/>
    <w:rsid w:val="00091E39"/>
    <w:rsid w:val="00091EBA"/>
    <w:rsid w:val="00091EE9"/>
    <w:rsid w:val="00091F3C"/>
    <w:rsid w:val="00092145"/>
    <w:rsid w:val="0009215D"/>
    <w:rsid w:val="00092207"/>
    <w:rsid w:val="000922B4"/>
    <w:rsid w:val="000922DB"/>
    <w:rsid w:val="00092321"/>
    <w:rsid w:val="000923A3"/>
    <w:rsid w:val="000923FF"/>
    <w:rsid w:val="0009248C"/>
    <w:rsid w:val="0009257F"/>
    <w:rsid w:val="00092672"/>
    <w:rsid w:val="00092709"/>
    <w:rsid w:val="000927BD"/>
    <w:rsid w:val="0009281C"/>
    <w:rsid w:val="000929A0"/>
    <w:rsid w:val="00092AD7"/>
    <w:rsid w:val="00092B3E"/>
    <w:rsid w:val="00092B68"/>
    <w:rsid w:val="00092B7F"/>
    <w:rsid w:val="00092BDF"/>
    <w:rsid w:val="00092BF6"/>
    <w:rsid w:val="00092C5A"/>
    <w:rsid w:val="00092CA3"/>
    <w:rsid w:val="00092E4B"/>
    <w:rsid w:val="00092E52"/>
    <w:rsid w:val="00092EDA"/>
    <w:rsid w:val="00092FBF"/>
    <w:rsid w:val="00093086"/>
    <w:rsid w:val="00093089"/>
    <w:rsid w:val="000930A3"/>
    <w:rsid w:val="0009311D"/>
    <w:rsid w:val="0009317C"/>
    <w:rsid w:val="000931FE"/>
    <w:rsid w:val="0009323E"/>
    <w:rsid w:val="00093391"/>
    <w:rsid w:val="0009345C"/>
    <w:rsid w:val="000934CD"/>
    <w:rsid w:val="000935C6"/>
    <w:rsid w:val="00093609"/>
    <w:rsid w:val="00093809"/>
    <w:rsid w:val="00093815"/>
    <w:rsid w:val="000939AD"/>
    <w:rsid w:val="00093A13"/>
    <w:rsid w:val="00093AB6"/>
    <w:rsid w:val="00093BE2"/>
    <w:rsid w:val="00093CB6"/>
    <w:rsid w:val="00093D78"/>
    <w:rsid w:val="00093EFB"/>
    <w:rsid w:val="00093FEC"/>
    <w:rsid w:val="0009402B"/>
    <w:rsid w:val="000943E6"/>
    <w:rsid w:val="000943ED"/>
    <w:rsid w:val="0009446C"/>
    <w:rsid w:val="00094481"/>
    <w:rsid w:val="0009449C"/>
    <w:rsid w:val="000944A9"/>
    <w:rsid w:val="00094561"/>
    <w:rsid w:val="000947D0"/>
    <w:rsid w:val="000947DB"/>
    <w:rsid w:val="00094804"/>
    <w:rsid w:val="00094951"/>
    <w:rsid w:val="00094976"/>
    <w:rsid w:val="00094A54"/>
    <w:rsid w:val="00094A78"/>
    <w:rsid w:val="00094BD1"/>
    <w:rsid w:val="00094C03"/>
    <w:rsid w:val="00094C46"/>
    <w:rsid w:val="00094CC6"/>
    <w:rsid w:val="00094E1E"/>
    <w:rsid w:val="00094E4C"/>
    <w:rsid w:val="00094F67"/>
    <w:rsid w:val="0009509A"/>
    <w:rsid w:val="00095161"/>
    <w:rsid w:val="0009525A"/>
    <w:rsid w:val="0009533C"/>
    <w:rsid w:val="000953EB"/>
    <w:rsid w:val="00095483"/>
    <w:rsid w:val="00095528"/>
    <w:rsid w:val="000955F0"/>
    <w:rsid w:val="00095717"/>
    <w:rsid w:val="00095733"/>
    <w:rsid w:val="000958E0"/>
    <w:rsid w:val="000958FC"/>
    <w:rsid w:val="000959C7"/>
    <w:rsid w:val="00095A9E"/>
    <w:rsid w:val="00095AA0"/>
    <w:rsid w:val="00095ADC"/>
    <w:rsid w:val="00095BC3"/>
    <w:rsid w:val="00095F14"/>
    <w:rsid w:val="00095F3E"/>
    <w:rsid w:val="00096046"/>
    <w:rsid w:val="00096174"/>
    <w:rsid w:val="0009621B"/>
    <w:rsid w:val="00096299"/>
    <w:rsid w:val="00096320"/>
    <w:rsid w:val="00096359"/>
    <w:rsid w:val="0009640A"/>
    <w:rsid w:val="0009657C"/>
    <w:rsid w:val="000967C5"/>
    <w:rsid w:val="0009681F"/>
    <w:rsid w:val="0009694E"/>
    <w:rsid w:val="00096A11"/>
    <w:rsid w:val="00096A54"/>
    <w:rsid w:val="00096A84"/>
    <w:rsid w:val="00096C1E"/>
    <w:rsid w:val="00096C2B"/>
    <w:rsid w:val="00096C86"/>
    <w:rsid w:val="00096D2F"/>
    <w:rsid w:val="00096D4C"/>
    <w:rsid w:val="00096DFA"/>
    <w:rsid w:val="00096E46"/>
    <w:rsid w:val="00096EBF"/>
    <w:rsid w:val="00096F74"/>
    <w:rsid w:val="00096F94"/>
    <w:rsid w:val="00096FEB"/>
    <w:rsid w:val="00097007"/>
    <w:rsid w:val="00097223"/>
    <w:rsid w:val="0009722C"/>
    <w:rsid w:val="00097380"/>
    <w:rsid w:val="00097418"/>
    <w:rsid w:val="000974A1"/>
    <w:rsid w:val="000974A8"/>
    <w:rsid w:val="000974D6"/>
    <w:rsid w:val="00097585"/>
    <w:rsid w:val="000975CD"/>
    <w:rsid w:val="00097776"/>
    <w:rsid w:val="000978A8"/>
    <w:rsid w:val="000979E9"/>
    <w:rsid w:val="00097A6D"/>
    <w:rsid w:val="00097A7F"/>
    <w:rsid w:val="00097A9A"/>
    <w:rsid w:val="00097AD7"/>
    <w:rsid w:val="00097AE8"/>
    <w:rsid w:val="00097C27"/>
    <w:rsid w:val="00097CE2"/>
    <w:rsid w:val="00097CEA"/>
    <w:rsid w:val="00097D23"/>
    <w:rsid w:val="00097DD1"/>
    <w:rsid w:val="00097F70"/>
    <w:rsid w:val="00097FAA"/>
    <w:rsid w:val="000A01AD"/>
    <w:rsid w:val="000A02F4"/>
    <w:rsid w:val="000A0354"/>
    <w:rsid w:val="000A0472"/>
    <w:rsid w:val="000A0583"/>
    <w:rsid w:val="000A060C"/>
    <w:rsid w:val="000A0645"/>
    <w:rsid w:val="000A0735"/>
    <w:rsid w:val="000A07F4"/>
    <w:rsid w:val="000A0866"/>
    <w:rsid w:val="000A0A56"/>
    <w:rsid w:val="000A0AAE"/>
    <w:rsid w:val="000A0AF1"/>
    <w:rsid w:val="000A0B8A"/>
    <w:rsid w:val="000A0C69"/>
    <w:rsid w:val="000A0C9A"/>
    <w:rsid w:val="000A0D97"/>
    <w:rsid w:val="000A0DB1"/>
    <w:rsid w:val="000A0E20"/>
    <w:rsid w:val="000A0F39"/>
    <w:rsid w:val="000A0F6F"/>
    <w:rsid w:val="000A0F94"/>
    <w:rsid w:val="000A107D"/>
    <w:rsid w:val="000A1085"/>
    <w:rsid w:val="000A1090"/>
    <w:rsid w:val="000A10AF"/>
    <w:rsid w:val="000A11AE"/>
    <w:rsid w:val="000A1274"/>
    <w:rsid w:val="000A12AC"/>
    <w:rsid w:val="000A1392"/>
    <w:rsid w:val="000A13BC"/>
    <w:rsid w:val="000A142A"/>
    <w:rsid w:val="000A1453"/>
    <w:rsid w:val="000A1481"/>
    <w:rsid w:val="000A14F7"/>
    <w:rsid w:val="000A1587"/>
    <w:rsid w:val="000A17E1"/>
    <w:rsid w:val="000A17FA"/>
    <w:rsid w:val="000A1819"/>
    <w:rsid w:val="000A1844"/>
    <w:rsid w:val="000A18B7"/>
    <w:rsid w:val="000A1924"/>
    <w:rsid w:val="000A1977"/>
    <w:rsid w:val="000A1A13"/>
    <w:rsid w:val="000A1A68"/>
    <w:rsid w:val="000A1AB8"/>
    <w:rsid w:val="000A1D3A"/>
    <w:rsid w:val="000A1D78"/>
    <w:rsid w:val="000A2016"/>
    <w:rsid w:val="000A2072"/>
    <w:rsid w:val="000A20D6"/>
    <w:rsid w:val="000A20F2"/>
    <w:rsid w:val="000A22AE"/>
    <w:rsid w:val="000A2397"/>
    <w:rsid w:val="000A2549"/>
    <w:rsid w:val="000A2581"/>
    <w:rsid w:val="000A259E"/>
    <w:rsid w:val="000A2627"/>
    <w:rsid w:val="000A2692"/>
    <w:rsid w:val="000A274F"/>
    <w:rsid w:val="000A2986"/>
    <w:rsid w:val="000A2B00"/>
    <w:rsid w:val="000A2B21"/>
    <w:rsid w:val="000A2D18"/>
    <w:rsid w:val="000A2D60"/>
    <w:rsid w:val="000A2D7C"/>
    <w:rsid w:val="000A2F4B"/>
    <w:rsid w:val="000A313D"/>
    <w:rsid w:val="000A319B"/>
    <w:rsid w:val="000A31F3"/>
    <w:rsid w:val="000A324B"/>
    <w:rsid w:val="000A3426"/>
    <w:rsid w:val="000A34DD"/>
    <w:rsid w:val="000A356C"/>
    <w:rsid w:val="000A3729"/>
    <w:rsid w:val="000A37AA"/>
    <w:rsid w:val="000A3872"/>
    <w:rsid w:val="000A3963"/>
    <w:rsid w:val="000A3995"/>
    <w:rsid w:val="000A39D6"/>
    <w:rsid w:val="000A39E0"/>
    <w:rsid w:val="000A3A47"/>
    <w:rsid w:val="000A3B2D"/>
    <w:rsid w:val="000A3BD8"/>
    <w:rsid w:val="000A3C10"/>
    <w:rsid w:val="000A3C24"/>
    <w:rsid w:val="000A3C97"/>
    <w:rsid w:val="000A3D39"/>
    <w:rsid w:val="000A3D68"/>
    <w:rsid w:val="000A3DC0"/>
    <w:rsid w:val="000A3EFA"/>
    <w:rsid w:val="000A3F44"/>
    <w:rsid w:val="000A3FC7"/>
    <w:rsid w:val="000A4015"/>
    <w:rsid w:val="000A40D8"/>
    <w:rsid w:val="000A4139"/>
    <w:rsid w:val="000A4155"/>
    <w:rsid w:val="000A41F1"/>
    <w:rsid w:val="000A43E8"/>
    <w:rsid w:val="000A4447"/>
    <w:rsid w:val="000A469F"/>
    <w:rsid w:val="000A47A8"/>
    <w:rsid w:val="000A47C8"/>
    <w:rsid w:val="000A47CC"/>
    <w:rsid w:val="000A495E"/>
    <w:rsid w:val="000A4974"/>
    <w:rsid w:val="000A49E8"/>
    <w:rsid w:val="000A4A11"/>
    <w:rsid w:val="000A4BF8"/>
    <w:rsid w:val="000A4E10"/>
    <w:rsid w:val="000A4EF6"/>
    <w:rsid w:val="000A504B"/>
    <w:rsid w:val="000A505C"/>
    <w:rsid w:val="000A50DF"/>
    <w:rsid w:val="000A5278"/>
    <w:rsid w:val="000A5335"/>
    <w:rsid w:val="000A53FE"/>
    <w:rsid w:val="000A5469"/>
    <w:rsid w:val="000A5474"/>
    <w:rsid w:val="000A54AB"/>
    <w:rsid w:val="000A552C"/>
    <w:rsid w:val="000A567F"/>
    <w:rsid w:val="000A5759"/>
    <w:rsid w:val="000A579E"/>
    <w:rsid w:val="000A584C"/>
    <w:rsid w:val="000A5882"/>
    <w:rsid w:val="000A58A3"/>
    <w:rsid w:val="000A5D8C"/>
    <w:rsid w:val="000A5EF9"/>
    <w:rsid w:val="000A5F79"/>
    <w:rsid w:val="000A6054"/>
    <w:rsid w:val="000A62B8"/>
    <w:rsid w:val="000A63B5"/>
    <w:rsid w:val="000A6515"/>
    <w:rsid w:val="000A6532"/>
    <w:rsid w:val="000A653E"/>
    <w:rsid w:val="000A655C"/>
    <w:rsid w:val="000A6578"/>
    <w:rsid w:val="000A65CD"/>
    <w:rsid w:val="000A6653"/>
    <w:rsid w:val="000A6705"/>
    <w:rsid w:val="000A6726"/>
    <w:rsid w:val="000A675C"/>
    <w:rsid w:val="000A67F7"/>
    <w:rsid w:val="000A6857"/>
    <w:rsid w:val="000A692E"/>
    <w:rsid w:val="000A69E3"/>
    <w:rsid w:val="000A6B7D"/>
    <w:rsid w:val="000A6BE2"/>
    <w:rsid w:val="000A6C20"/>
    <w:rsid w:val="000A6C5E"/>
    <w:rsid w:val="000A6CBC"/>
    <w:rsid w:val="000A6E82"/>
    <w:rsid w:val="000A6EB3"/>
    <w:rsid w:val="000A6F31"/>
    <w:rsid w:val="000A6FEF"/>
    <w:rsid w:val="000A7031"/>
    <w:rsid w:val="000A70B5"/>
    <w:rsid w:val="000A70D2"/>
    <w:rsid w:val="000A70EA"/>
    <w:rsid w:val="000A70F6"/>
    <w:rsid w:val="000A7320"/>
    <w:rsid w:val="000A73CC"/>
    <w:rsid w:val="000A7507"/>
    <w:rsid w:val="000A7632"/>
    <w:rsid w:val="000A767E"/>
    <w:rsid w:val="000A77C7"/>
    <w:rsid w:val="000A7888"/>
    <w:rsid w:val="000A7904"/>
    <w:rsid w:val="000A797B"/>
    <w:rsid w:val="000A7C61"/>
    <w:rsid w:val="000A7CC7"/>
    <w:rsid w:val="000A7CF8"/>
    <w:rsid w:val="000A7D0B"/>
    <w:rsid w:val="000A7D63"/>
    <w:rsid w:val="000A7D77"/>
    <w:rsid w:val="000A7EB4"/>
    <w:rsid w:val="000A7ECC"/>
    <w:rsid w:val="000B01F0"/>
    <w:rsid w:val="000B0342"/>
    <w:rsid w:val="000B03B6"/>
    <w:rsid w:val="000B03D5"/>
    <w:rsid w:val="000B043A"/>
    <w:rsid w:val="000B044B"/>
    <w:rsid w:val="000B04AB"/>
    <w:rsid w:val="000B04B6"/>
    <w:rsid w:val="000B052A"/>
    <w:rsid w:val="000B0693"/>
    <w:rsid w:val="000B07C4"/>
    <w:rsid w:val="000B07CD"/>
    <w:rsid w:val="000B07DA"/>
    <w:rsid w:val="000B080D"/>
    <w:rsid w:val="000B0898"/>
    <w:rsid w:val="000B0959"/>
    <w:rsid w:val="000B0B36"/>
    <w:rsid w:val="000B0B56"/>
    <w:rsid w:val="000B0CA9"/>
    <w:rsid w:val="000B0CE1"/>
    <w:rsid w:val="000B0EC7"/>
    <w:rsid w:val="000B0EEF"/>
    <w:rsid w:val="000B0FAD"/>
    <w:rsid w:val="000B118A"/>
    <w:rsid w:val="000B1303"/>
    <w:rsid w:val="000B1308"/>
    <w:rsid w:val="000B1324"/>
    <w:rsid w:val="000B137A"/>
    <w:rsid w:val="000B137E"/>
    <w:rsid w:val="000B13CD"/>
    <w:rsid w:val="000B1414"/>
    <w:rsid w:val="000B1442"/>
    <w:rsid w:val="000B1570"/>
    <w:rsid w:val="000B15D2"/>
    <w:rsid w:val="000B1723"/>
    <w:rsid w:val="000B172B"/>
    <w:rsid w:val="000B1764"/>
    <w:rsid w:val="000B188A"/>
    <w:rsid w:val="000B18AA"/>
    <w:rsid w:val="000B1952"/>
    <w:rsid w:val="000B19C2"/>
    <w:rsid w:val="000B19DB"/>
    <w:rsid w:val="000B19E9"/>
    <w:rsid w:val="000B1A64"/>
    <w:rsid w:val="000B1A70"/>
    <w:rsid w:val="000B1B77"/>
    <w:rsid w:val="000B1C31"/>
    <w:rsid w:val="000B1C40"/>
    <w:rsid w:val="000B1C8C"/>
    <w:rsid w:val="000B1CDF"/>
    <w:rsid w:val="000B1DB0"/>
    <w:rsid w:val="000B1EBA"/>
    <w:rsid w:val="000B1F51"/>
    <w:rsid w:val="000B20C8"/>
    <w:rsid w:val="000B2155"/>
    <w:rsid w:val="000B2210"/>
    <w:rsid w:val="000B2237"/>
    <w:rsid w:val="000B22B0"/>
    <w:rsid w:val="000B2561"/>
    <w:rsid w:val="000B258A"/>
    <w:rsid w:val="000B25FB"/>
    <w:rsid w:val="000B2656"/>
    <w:rsid w:val="000B26AA"/>
    <w:rsid w:val="000B2853"/>
    <w:rsid w:val="000B287D"/>
    <w:rsid w:val="000B28CD"/>
    <w:rsid w:val="000B2979"/>
    <w:rsid w:val="000B29A4"/>
    <w:rsid w:val="000B2B21"/>
    <w:rsid w:val="000B2B6B"/>
    <w:rsid w:val="000B2C24"/>
    <w:rsid w:val="000B2C7A"/>
    <w:rsid w:val="000B2CCE"/>
    <w:rsid w:val="000B2CD7"/>
    <w:rsid w:val="000B2DBD"/>
    <w:rsid w:val="000B2DD4"/>
    <w:rsid w:val="000B2EB0"/>
    <w:rsid w:val="000B2F13"/>
    <w:rsid w:val="000B3052"/>
    <w:rsid w:val="000B30D4"/>
    <w:rsid w:val="000B3126"/>
    <w:rsid w:val="000B314F"/>
    <w:rsid w:val="000B31EA"/>
    <w:rsid w:val="000B320A"/>
    <w:rsid w:val="000B3283"/>
    <w:rsid w:val="000B3336"/>
    <w:rsid w:val="000B3384"/>
    <w:rsid w:val="000B3417"/>
    <w:rsid w:val="000B355F"/>
    <w:rsid w:val="000B35D6"/>
    <w:rsid w:val="000B3737"/>
    <w:rsid w:val="000B3749"/>
    <w:rsid w:val="000B3758"/>
    <w:rsid w:val="000B3800"/>
    <w:rsid w:val="000B38C9"/>
    <w:rsid w:val="000B3926"/>
    <w:rsid w:val="000B3A08"/>
    <w:rsid w:val="000B3B54"/>
    <w:rsid w:val="000B3BFC"/>
    <w:rsid w:val="000B3DBF"/>
    <w:rsid w:val="000B3DE2"/>
    <w:rsid w:val="000B3DEB"/>
    <w:rsid w:val="000B3E5B"/>
    <w:rsid w:val="000B3E9A"/>
    <w:rsid w:val="000B3F07"/>
    <w:rsid w:val="000B3FBE"/>
    <w:rsid w:val="000B3FF9"/>
    <w:rsid w:val="000B41E7"/>
    <w:rsid w:val="000B41E8"/>
    <w:rsid w:val="000B425F"/>
    <w:rsid w:val="000B4431"/>
    <w:rsid w:val="000B459C"/>
    <w:rsid w:val="000B45CD"/>
    <w:rsid w:val="000B45E3"/>
    <w:rsid w:val="000B46C7"/>
    <w:rsid w:val="000B46F9"/>
    <w:rsid w:val="000B471D"/>
    <w:rsid w:val="000B47F6"/>
    <w:rsid w:val="000B4982"/>
    <w:rsid w:val="000B4CC9"/>
    <w:rsid w:val="000B4CD6"/>
    <w:rsid w:val="000B4D0C"/>
    <w:rsid w:val="000B4DE1"/>
    <w:rsid w:val="000B4E00"/>
    <w:rsid w:val="000B4F01"/>
    <w:rsid w:val="000B4F4B"/>
    <w:rsid w:val="000B51A2"/>
    <w:rsid w:val="000B51E2"/>
    <w:rsid w:val="000B539B"/>
    <w:rsid w:val="000B53C1"/>
    <w:rsid w:val="000B5450"/>
    <w:rsid w:val="000B545E"/>
    <w:rsid w:val="000B548E"/>
    <w:rsid w:val="000B5514"/>
    <w:rsid w:val="000B551D"/>
    <w:rsid w:val="000B5569"/>
    <w:rsid w:val="000B5631"/>
    <w:rsid w:val="000B567B"/>
    <w:rsid w:val="000B5689"/>
    <w:rsid w:val="000B576D"/>
    <w:rsid w:val="000B581B"/>
    <w:rsid w:val="000B5934"/>
    <w:rsid w:val="000B5988"/>
    <w:rsid w:val="000B5C16"/>
    <w:rsid w:val="000B5CFE"/>
    <w:rsid w:val="000B5ECE"/>
    <w:rsid w:val="000B5ED0"/>
    <w:rsid w:val="000B5F41"/>
    <w:rsid w:val="000B5F5A"/>
    <w:rsid w:val="000B6150"/>
    <w:rsid w:val="000B622D"/>
    <w:rsid w:val="000B62AF"/>
    <w:rsid w:val="000B62E8"/>
    <w:rsid w:val="000B6310"/>
    <w:rsid w:val="000B6354"/>
    <w:rsid w:val="000B64B6"/>
    <w:rsid w:val="000B659B"/>
    <w:rsid w:val="000B65E8"/>
    <w:rsid w:val="000B6623"/>
    <w:rsid w:val="000B6851"/>
    <w:rsid w:val="000B6906"/>
    <w:rsid w:val="000B6B2C"/>
    <w:rsid w:val="000B6BB2"/>
    <w:rsid w:val="000B6D0A"/>
    <w:rsid w:val="000B6D9C"/>
    <w:rsid w:val="000B6DC1"/>
    <w:rsid w:val="000B6E13"/>
    <w:rsid w:val="000B6E77"/>
    <w:rsid w:val="000B705F"/>
    <w:rsid w:val="000B7184"/>
    <w:rsid w:val="000B71D4"/>
    <w:rsid w:val="000B71EE"/>
    <w:rsid w:val="000B725E"/>
    <w:rsid w:val="000B72A5"/>
    <w:rsid w:val="000B7339"/>
    <w:rsid w:val="000B747C"/>
    <w:rsid w:val="000B75C1"/>
    <w:rsid w:val="000B779A"/>
    <w:rsid w:val="000B7870"/>
    <w:rsid w:val="000B7936"/>
    <w:rsid w:val="000B79BA"/>
    <w:rsid w:val="000B79FC"/>
    <w:rsid w:val="000B7A2B"/>
    <w:rsid w:val="000B7A42"/>
    <w:rsid w:val="000B7BC7"/>
    <w:rsid w:val="000B7F04"/>
    <w:rsid w:val="000C0166"/>
    <w:rsid w:val="000C019B"/>
    <w:rsid w:val="000C01B9"/>
    <w:rsid w:val="000C02DB"/>
    <w:rsid w:val="000C037C"/>
    <w:rsid w:val="000C04B9"/>
    <w:rsid w:val="000C05FF"/>
    <w:rsid w:val="000C0738"/>
    <w:rsid w:val="000C0799"/>
    <w:rsid w:val="000C07BB"/>
    <w:rsid w:val="000C07BC"/>
    <w:rsid w:val="000C0886"/>
    <w:rsid w:val="000C0887"/>
    <w:rsid w:val="000C0A4D"/>
    <w:rsid w:val="000C0BB2"/>
    <w:rsid w:val="000C0BFF"/>
    <w:rsid w:val="000C0DC3"/>
    <w:rsid w:val="000C0F16"/>
    <w:rsid w:val="000C1083"/>
    <w:rsid w:val="000C10A8"/>
    <w:rsid w:val="000C118E"/>
    <w:rsid w:val="000C11A8"/>
    <w:rsid w:val="000C11D6"/>
    <w:rsid w:val="000C13BC"/>
    <w:rsid w:val="000C1451"/>
    <w:rsid w:val="000C145E"/>
    <w:rsid w:val="000C1462"/>
    <w:rsid w:val="000C156E"/>
    <w:rsid w:val="000C157B"/>
    <w:rsid w:val="000C15E7"/>
    <w:rsid w:val="000C161B"/>
    <w:rsid w:val="000C1640"/>
    <w:rsid w:val="000C17C5"/>
    <w:rsid w:val="000C180C"/>
    <w:rsid w:val="000C18A6"/>
    <w:rsid w:val="000C18B1"/>
    <w:rsid w:val="000C191D"/>
    <w:rsid w:val="000C194C"/>
    <w:rsid w:val="000C19DA"/>
    <w:rsid w:val="000C1BFA"/>
    <w:rsid w:val="000C1D40"/>
    <w:rsid w:val="000C1D87"/>
    <w:rsid w:val="000C1E5B"/>
    <w:rsid w:val="000C1F33"/>
    <w:rsid w:val="000C2055"/>
    <w:rsid w:val="000C2193"/>
    <w:rsid w:val="000C23D4"/>
    <w:rsid w:val="000C25B0"/>
    <w:rsid w:val="000C25D2"/>
    <w:rsid w:val="000C25DA"/>
    <w:rsid w:val="000C267E"/>
    <w:rsid w:val="000C26A4"/>
    <w:rsid w:val="000C2788"/>
    <w:rsid w:val="000C278E"/>
    <w:rsid w:val="000C2991"/>
    <w:rsid w:val="000C29A6"/>
    <w:rsid w:val="000C2A54"/>
    <w:rsid w:val="000C2B38"/>
    <w:rsid w:val="000C2BDA"/>
    <w:rsid w:val="000C2C47"/>
    <w:rsid w:val="000C2D7E"/>
    <w:rsid w:val="000C2E16"/>
    <w:rsid w:val="000C301D"/>
    <w:rsid w:val="000C30FD"/>
    <w:rsid w:val="000C310F"/>
    <w:rsid w:val="000C312E"/>
    <w:rsid w:val="000C3137"/>
    <w:rsid w:val="000C3195"/>
    <w:rsid w:val="000C322E"/>
    <w:rsid w:val="000C32BC"/>
    <w:rsid w:val="000C3466"/>
    <w:rsid w:val="000C3557"/>
    <w:rsid w:val="000C35E5"/>
    <w:rsid w:val="000C3714"/>
    <w:rsid w:val="000C379F"/>
    <w:rsid w:val="000C37EE"/>
    <w:rsid w:val="000C399F"/>
    <w:rsid w:val="000C39E4"/>
    <w:rsid w:val="000C3A54"/>
    <w:rsid w:val="000C3A8F"/>
    <w:rsid w:val="000C3ABC"/>
    <w:rsid w:val="000C3BB4"/>
    <w:rsid w:val="000C3BF9"/>
    <w:rsid w:val="000C3C34"/>
    <w:rsid w:val="000C3C9C"/>
    <w:rsid w:val="000C3CB2"/>
    <w:rsid w:val="000C3EBA"/>
    <w:rsid w:val="000C40FF"/>
    <w:rsid w:val="000C413A"/>
    <w:rsid w:val="000C41F0"/>
    <w:rsid w:val="000C4407"/>
    <w:rsid w:val="000C44B9"/>
    <w:rsid w:val="000C44DF"/>
    <w:rsid w:val="000C4782"/>
    <w:rsid w:val="000C47C0"/>
    <w:rsid w:val="000C49D9"/>
    <w:rsid w:val="000C4AC0"/>
    <w:rsid w:val="000C4C11"/>
    <w:rsid w:val="000C4D8C"/>
    <w:rsid w:val="000C4E35"/>
    <w:rsid w:val="000C4E4C"/>
    <w:rsid w:val="000C4EB5"/>
    <w:rsid w:val="000C5184"/>
    <w:rsid w:val="000C51D7"/>
    <w:rsid w:val="000C528E"/>
    <w:rsid w:val="000C537D"/>
    <w:rsid w:val="000C540B"/>
    <w:rsid w:val="000C5463"/>
    <w:rsid w:val="000C548D"/>
    <w:rsid w:val="000C54B5"/>
    <w:rsid w:val="000C555B"/>
    <w:rsid w:val="000C5637"/>
    <w:rsid w:val="000C5645"/>
    <w:rsid w:val="000C57DC"/>
    <w:rsid w:val="000C583B"/>
    <w:rsid w:val="000C5846"/>
    <w:rsid w:val="000C58A2"/>
    <w:rsid w:val="000C58F5"/>
    <w:rsid w:val="000C5B3D"/>
    <w:rsid w:val="000C5B77"/>
    <w:rsid w:val="000C5C79"/>
    <w:rsid w:val="000C5D1B"/>
    <w:rsid w:val="000C5F43"/>
    <w:rsid w:val="000C5FCD"/>
    <w:rsid w:val="000C5FD8"/>
    <w:rsid w:val="000C5FE3"/>
    <w:rsid w:val="000C602B"/>
    <w:rsid w:val="000C60D2"/>
    <w:rsid w:val="000C61E0"/>
    <w:rsid w:val="000C62D4"/>
    <w:rsid w:val="000C6325"/>
    <w:rsid w:val="000C636C"/>
    <w:rsid w:val="000C65E6"/>
    <w:rsid w:val="000C675C"/>
    <w:rsid w:val="000C6894"/>
    <w:rsid w:val="000C695D"/>
    <w:rsid w:val="000C698F"/>
    <w:rsid w:val="000C6B00"/>
    <w:rsid w:val="000C6BE9"/>
    <w:rsid w:val="000C6BEB"/>
    <w:rsid w:val="000C6CBB"/>
    <w:rsid w:val="000C6CE9"/>
    <w:rsid w:val="000C6D54"/>
    <w:rsid w:val="000C6D92"/>
    <w:rsid w:val="000C6DBE"/>
    <w:rsid w:val="000C6DF0"/>
    <w:rsid w:val="000C6EDC"/>
    <w:rsid w:val="000C6F14"/>
    <w:rsid w:val="000C6FD3"/>
    <w:rsid w:val="000C700F"/>
    <w:rsid w:val="000C71BE"/>
    <w:rsid w:val="000C7289"/>
    <w:rsid w:val="000C72E9"/>
    <w:rsid w:val="000C7324"/>
    <w:rsid w:val="000C7333"/>
    <w:rsid w:val="000C7406"/>
    <w:rsid w:val="000C74DF"/>
    <w:rsid w:val="000C75B2"/>
    <w:rsid w:val="000C76CB"/>
    <w:rsid w:val="000C7807"/>
    <w:rsid w:val="000C78CC"/>
    <w:rsid w:val="000C78DE"/>
    <w:rsid w:val="000C794B"/>
    <w:rsid w:val="000C7A2D"/>
    <w:rsid w:val="000C7B40"/>
    <w:rsid w:val="000C7BCB"/>
    <w:rsid w:val="000C7C6B"/>
    <w:rsid w:val="000C7D0C"/>
    <w:rsid w:val="000C7D4E"/>
    <w:rsid w:val="000C7E82"/>
    <w:rsid w:val="000C7FD6"/>
    <w:rsid w:val="000D00D2"/>
    <w:rsid w:val="000D015D"/>
    <w:rsid w:val="000D0166"/>
    <w:rsid w:val="000D01C2"/>
    <w:rsid w:val="000D02C3"/>
    <w:rsid w:val="000D02C7"/>
    <w:rsid w:val="000D06AA"/>
    <w:rsid w:val="000D07B3"/>
    <w:rsid w:val="000D07E0"/>
    <w:rsid w:val="000D07F8"/>
    <w:rsid w:val="000D0883"/>
    <w:rsid w:val="000D093A"/>
    <w:rsid w:val="000D0987"/>
    <w:rsid w:val="000D09DF"/>
    <w:rsid w:val="000D09EE"/>
    <w:rsid w:val="000D0A01"/>
    <w:rsid w:val="000D0A17"/>
    <w:rsid w:val="000D0A9D"/>
    <w:rsid w:val="000D0AC0"/>
    <w:rsid w:val="000D0AD9"/>
    <w:rsid w:val="000D0B9E"/>
    <w:rsid w:val="000D0BF4"/>
    <w:rsid w:val="000D0D64"/>
    <w:rsid w:val="000D0D6A"/>
    <w:rsid w:val="000D0F53"/>
    <w:rsid w:val="000D1079"/>
    <w:rsid w:val="000D1126"/>
    <w:rsid w:val="000D11F4"/>
    <w:rsid w:val="000D12DB"/>
    <w:rsid w:val="000D13EA"/>
    <w:rsid w:val="000D1849"/>
    <w:rsid w:val="000D1927"/>
    <w:rsid w:val="000D197B"/>
    <w:rsid w:val="000D1A37"/>
    <w:rsid w:val="000D1A9B"/>
    <w:rsid w:val="000D1AE0"/>
    <w:rsid w:val="000D1B73"/>
    <w:rsid w:val="000D1C4F"/>
    <w:rsid w:val="000D1D72"/>
    <w:rsid w:val="000D1D7C"/>
    <w:rsid w:val="000D1DCF"/>
    <w:rsid w:val="000D1E80"/>
    <w:rsid w:val="000D2019"/>
    <w:rsid w:val="000D2044"/>
    <w:rsid w:val="000D20A4"/>
    <w:rsid w:val="000D20D3"/>
    <w:rsid w:val="000D21A1"/>
    <w:rsid w:val="000D2273"/>
    <w:rsid w:val="000D247E"/>
    <w:rsid w:val="000D24B4"/>
    <w:rsid w:val="000D2573"/>
    <w:rsid w:val="000D2676"/>
    <w:rsid w:val="000D2695"/>
    <w:rsid w:val="000D270D"/>
    <w:rsid w:val="000D2737"/>
    <w:rsid w:val="000D2814"/>
    <w:rsid w:val="000D29ED"/>
    <w:rsid w:val="000D2A1E"/>
    <w:rsid w:val="000D2A3B"/>
    <w:rsid w:val="000D2A3C"/>
    <w:rsid w:val="000D2A5E"/>
    <w:rsid w:val="000D2AB7"/>
    <w:rsid w:val="000D2B90"/>
    <w:rsid w:val="000D2BBE"/>
    <w:rsid w:val="000D2D83"/>
    <w:rsid w:val="000D31BC"/>
    <w:rsid w:val="000D32B0"/>
    <w:rsid w:val="000D33EB"/>
    <w:rsid w:val="000D3407"/>
    <w:rsid w:val="000D35F5"/>
    <w:rsid w:val="000D36DB"/>
    <w:rsid w:val="000D371C"/>
    <w:rsid w:val="000D3793"/>
    <w:rsid w:val="000D3823"/>
    <w:rsid w:val="000D3C2C"/>
    <w:rsid w:val="000D3C3F"/>
    <w:rsid w:val="000D3CB0"/>
    <w:rsid w:val="000D3D67"/>
    <w:rsid w:val="000D3D6D"/>
    <w:rsid w:val="000D3E14"/>
    <w:rsid w:val="000D3E1A"/>
    <w:rsid w:val="000D3F08"/>
    <w:rsid w:val="000D413E"/>
    <w:rsid w:val="000D41D6"/>
    <w:rsid w:val="000D41EB"/>
    <w:rsid w:val="000D421A"/>
    <w:rsid w:val="000D4299"/>
    <w:rsid w:val="000D42B0"/>
    <w:rsid w:val="000D4397"/>
    <w:rsid w:val="000D442D"/>
    <w:rsid w:val="000D44C8"/>
    <w:rsid w:val="000D4578"/>
    <w:rsid w:val="000D4761"/>
    <w:rsid w:val="000D47A5"/>
    <w:rsid w:val="000D47FE"/>
    <w:rsid w:val="000D4A38"/>
    <w:rsid w:val="000D4B7D"/>
    <w:rsid w:val="000D4BAA"/>
    <w:rsid w:val="000D4BB9"/>
    <w:rsid w:val="000D4E95"/>
    <w:rsid w:val="000D4F2D"/>
    <w:rsid w:val="000D4F9E"/>
    <w:rsid w:val="000D514D"/>
    <w:rsid w:val="000D51BF"/>
    <w:rsid w:val="000D51CC"/>
    <w:rsid w:val="000D51CE"/>
    <w:rsid w:val="000D51DE"/>
    <w:rsid w:val="000D533A"/>
    <w:rsid w:val="000D53FC"/>
    <w:rsid w:val="000D560B"/>
    <w:rsid w:val="000D560C"/>
    <w:rsid w:val="000D5629"/>
    <w:rsid w:val="000D56AB"/>
    <w:rsid w:val="000D56CD"/>
    <w:rsid w:val="000D5774"/>
    <w:rsid w:val="000D5A0C"/>
    <w:rsid w:val="000D5A32"/>
    <w:rsid w:val="000D5AD5"/>
    <w:rsid w:val="000D5AE2"/>
    <w:rsid w:val="000D5B69"/>
    <w:rsid w:val="000D5B73"/>
    <w:rsid w:val="000D5C5E"/>
    <w:rsid w:val="000D5D61"/>
    <w:rsid w:val="000D5D9B"/>
    <w:rsid w:val="000D5DCD"/>
    <w:rsid w:val="000D5F53"/>
    <w:rsid w:val="000D6001"/>
    <w:rsid w:val="000D6082"/>
    <w:rsid w:val="000D62B5"/>
    <w:rsid w:val="000D62E7"/>
    <w:rsid w:val="000D6341"/>
    <w:rsid w:val="000D63B0"/>
    <w:rsid w:val="000D64D1"/>
    <w:rsid w:val="000D6526"/>
    <w:rsid w:val="000D65DF"/>
    <w:rsid w:val="000D6620"/>
    <w:rsid w:val="000D6658"/>
    <w:rsid w:val="000D66F6"/>
    <w:rsid w:val="000D676B"/>
    <w:rsid w:val="000D6781"/>
    <w:rsid w:val="000D67B8"/>
    <w:rsid w:val="000D67D6"/>
    <w:rsid w:val="000D68A2"/>
    <w:rsid w:val="000D6952"/>
    <w:rsid w:val="000D6B4C"/>
    <w:rsid w:val="000D6D68"/>
    <w:rsid w:val="000D6FFE"/>
    <w:rsid w:val="000D7129"/>
    <w:rsid w:val="000D7219"/>
    <w:rsid w:val="000D72CE"/>
    <w:rsid w:val="000D72F9"/>
    <w:rsid w:val="000D7492"/>
    <w:rsid w:val="000D7C53"/>
    <w:rsid w:val="000D7CA0"/>
    <w:rsid w:val="000D7CD6"/>
    <w:rsid w:val="000D7CD8"/>
    <w:rsid w:val="000D7CF1"/>
    <w:rsid w:val="000D7DB0"/>
    <w:rsid w:val="000D7DB3"/>
    <w:rsid w:val="000D7E3D"/>
    <w:rsid w:val="000D7EB3"/>
    <w:rsid w:val="000E01B7"/>
    <w:rsid w:val="000E02C2"/>
    <w:rsid w:val="000E0442"/>
    <w:rsid w:val="000E06A6"/>
    <w:rsid w:val="000E084F"/>
    <w:rsid w:val="000E086E"/>
    <w:rsid w:val="000E08AC"/>
    <w:rsid w:val="000E090B"/>
    <w:rsid w:val="000E0A10"/>
    <w:rsid w:val="000E0ADA"/>
    <w:rsid w:val="000E0D19"/>
    <w:rsid w:val="000E0D69"/>
    <w:rsid w:val="000E0DD0"/>
    <w:rsid w:val="000E0F18"/>
    <w:rsid w:val="000E0F2C"/>
    <w:rsid w:val="000E0F6B"/>
    <w:rsid w:val="000E1019"/>
    <w:rsid w:val="000E1368"/>
    <w:rsid w:val="000E140E"/>
    <w:rsid w:val="000E14D8"/>
    <w:rsid w:val="000E150A"/>
    <w:rsid w:val="000E1604"/>
    <w:rsid w:val="000E16E5"/>
    <w:rsid w:val="000E17D0"/>
    <w:rsid w:val="000E181E"/>
    <w:rsid w:val="000E19D4"/>
    <w:rsid w:val="000E1D9C"/>
    <w:rsid w:val="000E1EA1"/>
    <w:rsid w:val="000E1ECA"/>
    <w:rsid w:val="000E1EE6"/>
    <w:rsid w:val="000E1F36"/>
    <w:rsid w:val="000E1FAC"/>
    <w:rsid w:val="000E1FBB"/>
    <w:rsid w:val="000E1FEC"/>
    <w:rsid w:val="000E2024"/>
    <w:rsid w:val="000E20E9"/>
    <w:rsid w:val="000E213C"/>
    <w:rsid w:val="000E214D"/>
    <w:rsid w:val="000E214E"/>
    <w:rsid w:val="000E21BD"/>
    <w:rsid w:val="000E21F2"/>
    <w:rsid w:val="000E222C"/>
    <w:rsid w:val="000E235A"/>
    <w:rsid w:val="000E2361"/>
    <w:rsid w:val="000E2582"/>
    <w:rsid w:val="000E27E5"/>
    <w:rsid w:val="000E28D0"/>
    <w:rsid w:val="000E28E3"/>
    <w:rsid w:val="000E2982"/>
    <w:rsid w:val="000E2985"/>
    <w:rsid w:val="000E2A0D"/>
    <w:rsid w:val="000E2AC9"/>
    <w:rsid w:val="000E2D17"/>
    <w:rsid w:val="000E2E23"/>
    <w:rsid w:val="000E2F22"/>
    <w:rsid w:val="000E2F29"/>
    <w:rsid w:val="000E2F48"/>
    <w:rsid w:val="000E3040"/>
    <w:rsid w:val="000E307A"/>
    <w:rsid w:val="000E309F"/>
    <w:rsid w:val="000E314F"/>
    <w:rsid w:val="000E3159"/>
    <w:rsid w:val="000E32A3"/>
    <w:rsid w:val="000E32DA"/>
    <w:rsid w:val="000E3386"/>
    <w:rsid w:val="000E34C5"/>
    <w:rsid w:val="000E3580"/>
    <w:rsid w:val="000E35EE"/>
    <w:rsid w:val="000E36B1"/>
    <w:rsid w:val="000E3717"/>
    <w:rsid w:val="000E37D0"/>
    <w:rsid w:val="000E385F"/>
    <w:rsid w:val="000E38BA"/>
    <w:rsid w:val="000E392C"/>
    <w:rsid w:val="000E3B4D"/>
    <w:rsid w:val="000E3BAC"/>
    <w:rsid w:val="000E3C7A"/>
    <w:rsid w:val="000E3CFF"/>
    <w:rsid w:val="000E3E34"/>
    <w:rsid w:val="000E3F05"/>
    <w:rsid w:val="000E3F09"/>
    <w:rsid w:val="000E3F78"/>
    <w:rsid w:val="000E402F"/>
    <w:rsid w:val="000E40D4"/>
    <w:rsid w:val="000E4202"/>
    <w:rsid w:val="000E4394"/>
    <w:rsid w:val="000E44AB"/>
    <w:rsid w:val="000E44C7"/>
    <w:rsid w:val="000E44DE"/>
    <w:rsid w:val="000E4599"/>
    <w:rsid w:val="000E46C9"/>
    <w:rsid w:val="000E46F7"/>
    <w:rsid w:val="000E47B4"/>
    <w:rsid w:val="000E47DF"/>
    <w:rsid w:val="000E4874"/>
    <w:rsid w:val="000E4A1B"/>
    <w:rsid w:val="000E4A23"/>
    <w:rsid w:val="000E4AFD"/>
    <w:rsid w:val="000E4C0A"/>
    <w:rsid w:val="000E4DE8"/>
    <w:rsid w:val="000E4EC4"/>
    <w:rsid w:val="000E5250"/>
    <w:rsid w:val="000E530F"/>
    <w:rsid w:val="000E5324"/>
    <w:rsid w:val="000E5432"/>
    <w:rsid w:val="000E547C"/>
    <w:rsid w:val="000E5640"/>
    <w:rsid w:val="000E5658"/>
    <w:rsid w:val="000E5782"/>
    <w:rsid w:val="000E5879"/>
    <w:rsid w:val="000E59B8"/>
    <w:rsid w:val="000E5A05"/>
    <w:rsid w:val="000E5CA6"/>
    <w:rsid w:val="000E5CD7"/>
    <w:rsid w:val="000E5E9C"/>
    <w:rsid w:val="000E5F3E"/>
    <w:rsid w:val="000E5FB8"/>
    <w:rsid w:val="000E600B"/>
    <w:rsid w:val="000E6047"/>
    <w:rsid w:val="000E605C"/>
    <w:rsid w:val="000E605D"/>
    <w:rsid w:val="000E60DE"/>
    <w:rsid w:val="000E6101"/>
    <w:rsid w:val="000E6137"/>
    <w:rsid w:val="000E6175"/>
    <w:rsid w:val="000E631D"/>
    <w:rsid w:val="000E6355"/>
    <w:rsid w:val="000E63CF"/>
    <w:rsid w:val="000E640A"/>
    <w:rsid w:val="000E6415"/>
    <w:rsid w:val="000E645C"/>
    <w:rsid w:val="000E64C9"/>
    <w:rsid w:val="000E6501"/>
    <w:rsid w:val="000E6505"/>
    <w:rsid w:val="000E654F"/>
    <w:rsid w:val="000E65C4"/>
    <w:rsid w:val="000E66D6"/>
    <w:rsid w:val="000E66D8"/>
    <w:rsid w:val="000E671F"/>
    <w:rsid w:val="000E673F"/>
    <w:rsid w:val="000E6747"/>
    <w:rsid w:val="000E6816"/>
    <w:rsid w:val="000E69D1"/>
    <w:rsid w:val="000E69EB"/>
    <w:rsid w:val="000E6A80"/>
    <w:rsid w:val="000E6AFA"/>
    <w:rsid w:val="000E6C46"/>
    <w:rsid w:val="000E6C69"/>
    <w:rsid w:val="000E6DB2"/>
    <w:rsid w:val="000E6EE0"/>
    <w:rsid w:val="000E6FCB"/>
    <w:rsid w:val="000E70CB"/>
    <w:rsid w:val="000E70EF"/>
    <w:rsid w:val="000E72A0"/>
    <w:rsid w:val="000E735B"/>
    <w:rsid w:val="000E750F"/>
    <w:rsid w:val="000E75B8"/>
    <w:rsid w:val="000E762F"/>
    <w:rsid w:val="000E7886"/>
    <w:rsid w:val="000E7892"/>
    <w:rsid w:val="000E78F2"/>
    <w:rsid w:val="000E79A0"/>
    <w:rsid w:val="000E79BA"/>
    <w:rsid w:val="000E7A50"/>
    <w:rsid w:val="000E7A69"/>
    <w:rsid w:val="000E7B3D"/>
    <w:rsid w:val="000E7B60"/>
    <w:rsid w:val="000E7BA8"/>
    <w:rsid w:val="000E7CF9"/>
    <w:rsid w:val="000E7CFC"/>
    <w:rsid w:val="000E7EFF"/>
    <w:rsid w:val="000F00D4"/>
    <w:rsid w:val="000F012B"/>
    <w:rsid w:val="000F0130"/>
    <w:rsid w:val="000F01BD"/>
    <w:rsid w:val="000F01E8"/>
    <w:rsid w:val="000F027D"/>
    <w:rsid w:val="000F0348"/>
    <w:rsid w:val="000F03D7"/>
    <w:rsid w:val="000F04D7"/>
    <w:rsid w:val="000F04DE"/>
    <w:rsid w:val="000F0516"/>
    <w:rsid w:val="000F0673"/>
    <w:rsid w:val="000F06BC"/>
    <w:rsid w:val="000F06FB"/>
    <w:rsid w:val="000F0728"/>
    <w:rsid w:val="000F073F"/>
    <w:rsid w:val="000F0841"/>
    <w:rsid w:val="000F0911"/>
    <w:rsid w:val="000F0A23"/>
    <w:rsid w:val="000F0A74"/>
    <w:rsid w:val="000F0A82"/>
    <w:rsid w:val="000F0B1D"/>
    <w:rsid w:val="000F0C64"/>
    <w:rsid w:val="000F0CB9"/>
    <w:rsid w:val="000F0DE1"/>
    <w:rsid w:val="000F0EA6"/>
    <w:rsid w:val="000F0F1B"/>
    <w:rsid w:val="000F0FB6"/>
    <w:rsid w:val="000F1073"/>
    <w:rsid w:val="000F10F6"/>
    <w:rsid w:val="000F11B0"/>
    <w:rsid w:val="000F11F5"/>
    <w:rsid w:val="000F11FC"/>
    <w:rsid w:val="000F1306"/>
    <w:rsid w:val="000F1355"/>
    <w:rsid w:val="000F1562"/>
    <w:rsid w:val="000F1582"/>
    <w:rsid w:val="000F15CE"/>
    <w:rsid w:val="000F1622"/>
    <w:rsid w:val="000F1744"/>
    <w:rsid w:val="000F17B9"/>
    <w:rsid w:val="000F17CA"/>
    <w:rsid w:val="000F18A0"/>
    <w:rsid w:val="000F1903"/>
    <w:rsid w:val="000F1981"/>
    <w:rsid w:val="000F1B6D"/>
    <w:rsid w:val="000F1BBA"/>
    <w:rsid w:val="000F1D78"/>
    <w:rsid w:val="000F1E01"/>
    <w:rsid w:val="000F1F1D"/>
    <w:rsid w:val="000F1F5F"/>
    <w:rsid w:val="000F206A"/>
    <w:rsid w:val="000F2073"/>
    <w:rsid w:val="000F2171"/>
    <w:rsid w:val="000F21B9"/>
    <w:rsid w:val="000F2229"/>
    <w:rsid w:val="000F2243"/>
    <w:rsid w:val="000F228B"/>
    <w:rsid w:val="000F2291"/>
    <w:rsid w:val="000F235F"/>
    <w:rsid w:val="000F23AF"/>
    <w:rsid w:val="000F23B6"/>
    <w:rsid w:val="000F23DF"/>
    <w:rsid w:val="000F23F1"/>
    <w:rsid w:val="000F23FA"/>
    <w:rsid w:val="000F2418"/>
    <w:rsid w:val="000F247C"/>
    <w:rsid w:val="000F24AE"/>
    <w:rsid w:val="000F24EE"/>
    <w:rsid w:val="000F2687"/>
    <w:rsid w:val="000F2688"/>
    <w:rsid w:val="000F2697"/>
    <w:rsid w:val="000F2752"/>
    <w:rsid w:val="000F27D6"/>
    <w:rsid w:val="000F2859"/>
    <w:rsid w:val="000F2B77"/>
    <w:rsid w:val="000F2C7E"/>
    <w:rsid w:val="000F2CCB"/>
    <w:rsid w:val="000F2E4B"/>
    <w:rsid w:val="000F2E4F"/>
    <w:rsid w:val="000F2E71"/>
    <w:rsid w:val="000F2EAF"/>
    <w:rsid w:val="000F2EEA"/>
    <w:rsid w:val="000F2F83"/>
    <w:rsid w:val="000F2FD5"/>
    <w:rsid w:val="000F3076"/>
    <w:rsid w:val="000F30C5"/>
    <w:rsid w:val="000F30FC"/>
    <w:rsid w:val="000F3173"/>
    <w:rsid w:val="000F34AD"/>
    <w:rsid w:val="000F3528"/>
    <w:rsid w:val="000F35AE"/>
    <w:rsid w:val="000F35D0"/>
    <w:rsid w:val="000F366C"/>
    <w:rsid w:val="000F36C2"/>
    <w:rsid w:val="000F36CE"/>
    <w:rsid w:val="000F38D9"/>
    <w:rsid w:val="000F3904"/>
    <w:rsid w:val="000F3919"/>
    <w:rsid w:val="000F391F"/>
    <w:rsid w:val="000F39AC"/>
    <w:rsid w:val="000F39C0"/>
    <w:rsid w:val="000F3AE4"/>
    <w:rsid w:val="000F3AED"/>
    <w:rsid w:val="000F3AF3"/>
    <w:rsid w:val="000F3BAE"/>
    <w:rsid w:val="000F3C36"/>
    <w:rsid w:val="000F3C67"/>
    <w:rsid w:val="000F3F05"/>
    <w:rsid w:val="000F3F5B"/>
    <w:rsid w:val="000F404F"/>
    <w:rsid w:val="000F4082"/>
    <w:rsid w:val="000F40E3"/>
    <w:rsid w:val="000F4146"/>
    <w:rsid w:val="000F41AC"/>
    <w:rsid w:val="000F43C6"/>
    <w:rsid w:val="000F4598"/>
    <w:rsid w:val="000F45BB"/>
    <w:rsid w:val="000F4646"/>
    <w:rsid w:val="000F4703"/>
    <w:rsid w:val="000F4805"/>
    <w:rsid w:val="000F483F"/>
    <w:rsid w:val="000F4842"/>
    <w:rsid w:val="000F48F0"/>
    <w:rsid w:val="000F491B"/>
    <w:rsid w:val="000F4B03"/>
    <w:rsid w:val="000F4BA4"/>
    <w:rsid w:val="000F4BCA"/>
    <w:rsid w:val="000F4BE0"/>
    <w:rsid w:val="000F4BEF"/>
    <w:rsid w:val="000F50EE"/>
    <w:rsid w:val="000F513C"/>
    <w:rsid w:val="000F518B"/>
    <w:rsid w:val="000F519F"/>
    <w:rsid w:val="000F51C6"/>
    <w:rsid w:val="000F51D4"/>
    <w:rsid w:val="000F52C5"/>
    <w:rsid w:val="000F5340"/>
    <w:rsid w:val="000F5534"/>
    <w:rsid w:val="000F5537"/>
    <w:rsid w:val="000F5561"/>
    <w:rsid w:val="000F5674"/>
    <w:rsid w:val="000F5873"/>
    <w:rsid w:val="000F589F"/>
    <w:rsid w:val="000F58DE"/>
    <w:rsid w:val="000F5AE3"/>
    <w:rsid w:val="000F5B4D"/>
    <w:rsid w:val="000F5B59"/>
    <w:rsid w:val="000F5CD8"/>
    <w:rsid w:val="000F5CD9"/>
    <w:rsid w:val="000F5D43"/>
    <w:rsid w:val="000F5D60"/>
    <w:rsid w:val="000F5E79"/>
    <w:rsid w:val="000F5E81"/>
    <w:rsid w:val="000F5ED9"/>
    <w:rsid w:val="000F5F22"/>
    <w:rsid w:val="000F60C4"/>
    <w:rsid w:val="000F60F0"/>
    <w:rsid w:val="000F60FD"/>
    <w:rsid w:val="000F62BD"/>
    <w:rsid w:val="000F6304"/>
    <w:rsid w:val="000F64C2"/>
    <w:rsid w:val="000F689D"/>
    <w:rsid w:val="000F69AA"/>
    <w:rsid w:val="000F69D5"/>
    <w:rsid w:val="000F6AC4"/>
    <w:rsid w:val="000F6AEF"/>
    <w:rsid w:val="000F6BDB"/>
    <w:rsid w:val="000F6BF6"/>
    <w:rsid w:val="000F6C3E"/>
    <w:rsid w:val="000F6C88"/>
    <w:rsid w:val="000F6CD4"/>
    <w:rsid w:val="000F6D0F"/>
    <w:rsid w:val="000F6D11"/>
    <w:rsid w:val="000F6E91"/>
    <w:rsid w:val="000F6F7A"/>
    <w:rsid w:val="000F6FB1"/>
    <w:rsid w:val="000F6FDC"/>
    <w:rsid w:val="000F71CC"/>
    <w:rsid w:val="000F7294"/>
    <w:rsid w:val="000F75B6"/>
    <w:rsid w:val="000F75FA"/>
    <w:rsid w:val="000F7632"/>
    <w:rsid w:val="000F76CC"/>
    <w:rsid w:val="000F76D9"/>
    <w:rsid w:val="000F7742"/>
    <w:rsid w:val="000F776D"/>
    <w:rsid w:val="000F77D7"/>
    <w:rsid w:val="000F789D"/>
    <w:rsid w:val="000F792C"/>
    <w:rsid w:val="000F79BF"/>
    <w:rsid w:val="000F79ED"/>
    <w:rsid w:val="000F79F0"/>
    <w:rsid w:val="000F7AA2"/>
    <w:rsid w:val="000F7AD2"/>
    <w:rsid w:val="000F7B0F"/>
    <w:rsid w:val="000F7BDA"/>
    <w:rsid w:val="000F7C76"/>
    <w:rsid w:val="000F7DFF"/>
    <w:rsid w:val="000F7EA9"/>
    <w:rsid w:val="000F7EFF"/>
    <w:rsid w:val="00100095"/>
    <w:rsid w:val="001002F9"/>
    <w:rsid w:val="001003A6"/>
    <w:rsid w:val="001003CF"/>
    <w:rsid w:val="0010048E"/>
    <w:rsid w:val="001004D5"/>
    <w:rsid w:val="0010062B"/>
    <w:rsid w:val="00100801"/>
    <w:rsid w:val="00100925"/>
    <w:rsid w:val="001009CB"/>
    <w:rsid w:val="00100A70"/>
    <w:rsid w:val="00100A75"/>
    <w:rsid w:val="00100CC6"/>
    <w:rsid w:val="00100D23"/>
    <w:rsid w:val="00100D44"/>
    <w:rsid w:val="00100DC8"/>
    <w:rsid w:val="00100EC7"/>
    <w:rsid w:val="00100FFD"/>
    <w:rsid w:val="0010109E"/>
    <w:rsid w:val="001010F3"/>
    <w:rsid w:val="00101249"/>
    <w:rsid w:val="0010128C"/>
    <w:rsid w:val="001013CE"/>
    <w:rsid w:val="00101513"/>
    <w:rsid w:val="00101535"/>
    <w:rsid w:val="00101569"/>
    <w:rsid w:val="0010158E"/>
    <w:rsid w:val="0010164E"/>
    <w:rsid w:val="00101898"/>
    <w:rsid w:val="00101A0D"/>
    <w:rsid w:val="00101A48"/>
    <w:rsid w:val="00101B9E"/>
    <w:rsid w:val="00101BD6"/>
    <w:rsid w:val="00101E7A"/>
    <w:rsid w:val="00101FCF"/>
    <w:rsid w:val="0010210F"/>
    <w:rsid w:val="00102253"/>
    <w:rsid w:val="00102359"/>
    <w:rsid w:val="001023EC"/>
    <w:rsid w:val="00102511"/>
    <w:rsid w:val="00102556"/>
    <w:rsid w:val="00102608"/>
    <w:rsid w:val="001026A9"/>
    <w:rsid w:val="0010282C"/>
    <w:rsid w:val="00102A0F"/>
    <w:rsid w:val="00102B2E"/>
    <w:rsid w:val="00102BBF"/>
    <w:rsid w:val="00102C0F"/>
    <w:rsid w:val="00102CFF"/>
    <w:rsid w:val="00102D84"/>
    <w:rsid w:val="00102DE4"/>
    <w:rsid w:val="00102E7C"/>
    <w:rsid w:val="00102ED5"/>
    <w:rsid w:val="00102ED6"/>
    <w:rsid w:val="00102EE3"/>
    <w:rsid w:val="00102F2C"/>
    <w:rsid w:val="00102F5B"/>
    <w:rsid w:val="00102F7F"/>
    <w:rsid w:val="00103065"/>
    <w:rsid w:val="001030CA"/>
    <w:rsid w:val="0010331C"/>
    <w:rsid w:val="00103356"/>
    <w:rsid w:val="00103359"/>
    <w:rsid w:val="001033A0"/>
    <w:rsid w:val="001036C7"/>
    <w:rsid w:val="0010385B"/>
    <w:rsid w:val="001039FE"/>
    <w:rsid w:val="00103A08"/>
    <w:rsid w:val="00103B42"/>
    <w:rsid w:val="00103B95"/>
    <w:rsid w:val="00103D03"/>
    <w:rsid w:val="00103D46"/>
    <w:rsid w:val="00103D85"/>
    <w:rsid w:val="00103D98"/>
    <w:rsid w:val="00103F33"/>
    <w:rsid w:val="001041CD"/>
    <w:rsid w:val="00104232"/>
    <w:rsid w:val="00104356"/>
    <w:rsid w:val="001043E2"/>
    <w:rsid w:val="0010442F"/>
    <w:rsid w:val="00104448"/>
    <w:rsid w:val="00104497"/>
    <w:rsid w:val="00104498"/>
    <w:rsid w:val="001044A2"/>
    <w:rsid w:val="001044D7"/>
    <w:rsid w:val="00104870"/>
    <w:rsid w:val="001049E7"/>
    <w:rsid w:val="00104A17"/>
    <w:rsid w:val="00104A8F"/>
    <w:rsid w:val="00104B62"/>
    <w:rsid w:val="00104C03"/>
    <w:rsid w:val="00104C58"/>
    <w:rsid w:val="00104CA7"/>
    <w:rsid w:val="00104D09"/>
    <w:rsid w:val="00104DAC"/>
    <w:rsid w:val="00104E2B"/>
    <w:rsid w:val="00104F6E"/>
    <w:rsid w:val="00104FAA"/>
    <w:rsid w:val="001050EB"/>
    <w:rsid w:val="001051BE"/>
    <w:rsid w:val="001052AF"/>
    <w:rsid w:val="001053A5"/>
    <w:rsid w:val="00105434"/>
    <w:rsid w:val="0010544A"/>
    <w:rsid w:val="0010544C"/>
    <w:rsid w:val="001054FB"/>
    <w:rsid w:val="00105500"/>
    <w:rsid w:val="001056DD"/>
    <w:rsid w:val="00105701"/>
    <w:rsid w:val="00105739"/>
    <w:rsid w:val="00105897"/>
    <w:rsid w:val="00105A99"/>
    <w:rsid w:val="00105AA7"/>
    <w:rsid w:val="00105AC4"/>
    <w:rsid w:val="00105B39"/>
    <w:rsid w:val="00105BD8"/>
    <w:rsid w:val="00105CD0"/>
    <w:rsid w:val="00105D17"/>
    <w:rsid w:val="00105F5B"/>
    <w:rsid w:val="00105FB7"/>
    <w:rsid w:val="00105FEC"/>
    <w:rsid w:val="00106130"/>
    <w:rsid w:val="00106248"/>
    <w:rsid w:val="00106302"/>
    <w:rsid w:val="0010635B"/>
    <w:rsid w:val="0010654B"/>
    <w:rsid w:val="00106565"/>
    <w:rsid w:val="001065E6"/>
    <w:rsid w:val="00106622"/>
    <w:rsid w:val="00106664"/>
    <w:rsid w:val="00106714"/>
    <w:rsid w:val="00106782"/>
    <w:rsid w:val="001067C0"/>
    <w:rsid w:val="0010699C"/>
    <w:rsid w:val="001069FA"/>
    <w:rsid w:val="00106CB3"/>
    <w:rsid w:val="00106D13"/>
    <w:rsid w:val="00106E50"/>
    <w:rsid w:val="001070D0"/>
    <w:rsid w:val="00107235"/>
    <w:rsid w:val="00107278"/>
    <w:rsid w:val="001072B5"/>
    <w:rsid w:val="0010732A"/>
    <w:rsid w:val="0010739F"/>
    <w:rsid w:val="0010745B"/>
    <w:rsid w:val="0010751B"/>
    <w:rsid w:val="00107550"/>
    <w:rsid w:val="001075F8"/>
    <w:rsid w:val="001076B0"/>
    <w:rsid w:val="00107768"/>
    <w:rsid w:val="00107876"/>
    <w:rsid w:val="00107A18"/>
    <w:rsid w:val="00107B3B"/>
    <w:rsid w:val="00107C44"/>
    <w:rsid w:val="00107CCC"/>
    <w:rsid w:val="00107D00"/>
    <w:rsid w:val="00107D4E"/>
    <w:rsid w:val="00107ED1"/>
    <w:rsid w:val="00107FF4"/>
    <w:rsid w:val="0011006F"/>
    <w:rsid w:val="0011008B"/>
    <w:rsid w:val="001100A0"/>
    <w:rsid w:val="001101DE"/>
    <w:rsid w:val="0011027B"/>
    <w:rsid w:val="00110334"/>
    <w:rsid w:val="0011039F"/>
    <w:rsid w:val="00110761"/>
    <w:rsid w:val="001107C5"/>
    <w:rsid w:val="0011089D"/>
    <w:rsid w:val="001109CF"/>
    <w:rsid w:val="00110A1B"/>
    <w:rsid w:val="00110A3A"/>
    <w:rsid w:val="00110A82"/>
    <w:rsid w:val="00110BD3"/>
    <w:rsid w:val="00110C9B"/>
    <w:rsid w:val="00110D4D"/>
    <w:rsid w:val="00110E55"/>
    <w:rsid w:val="00110E5E"/>
    <w:rsid w:val="00111337"/>
    <w:rsid w:val="00111385"/>
    <w:rsid w:val="0011155E"/>
    <w:rsid w:val="0011172F"/>
    <w:rsid w:val="0011181C"/>
    <w:rsid w:val="00111A43"/>
    <w:rsid w:val="00111B46"/>
    <w:rsid w:val="00111BB3"/>
    <w:rsid w:val="00111BE0"/>
    <w:rsid w:val="00111F79"/>
    <w:rsid w:val="00112037"/>
    <w:rsid w:val="001120D4"/>
    <w:rsid w:val="001121E1"/>
    <w:rsid w:val="001122B1"/>
    <w:rsid w:val="00112312"/>
    <w:rsid w:val="001123A5"/>
    <w:rsid w:val="001123F3"/>
    <w:rsid w:val="0011247F"/>
    <w:rsid w:val="001124C3"/>
    <w:rsid w:val="00112701"/>
    <w:rsid w:val="00112723"/>
    <w:rsid w:val="00112818"/>
    <w:rsid w:val="00112897"/>
    <w:rsid w:val="00112AD9"/>
    <w:rsid w:val="00112B12"/>
    <w:rsid w:val="00112D19"/>
    <w:rsid w:val="00112E81"/>
    <w:rsid w:val="00112EF9"/>
    <w:rsid w:val="001130B0"/>
    <w:rsid w:val="0011313A"/>
    <w:rsid w:val="00113149"/>
    <w:rsid w:val="001131AB"/>
    <w:rsid w:val="0011323D"/>
    <w:rsid w:val="00113273"/>
    <w:rsid w:val="001133A4"/>
    <w:rsid w:val="0011354B"/>
    <w:rsid w:val="001135BB"/>
    <w:rsid w:val="0011362C"/>
    <w:rsid w:val="001136AD"/>
    <w:rsid w:val="0011378C"/>
    <w:rsid w:val="00113831"/>
    <w:rsid w:val="00113917"/>
    <w:rsid w:val="00113A0B"/>
    <w:rsid w:val="00113B30"/>
    <w:rsid w:val="00113B50"/>
    <w:rsid w:val="00113C30"/>
    <w:rsid w:val="00113C44"/>
    <w:rsid w:val="00113CAC"/>
    <w:rsid w:val="00113DA4"/>
    <w:rsid w:val="00113DD9"/>
    <w:rsid w:val="00113FEB"/>
    <w:rsid w:val="0011400B"/>
    <w:rsid w:val="001140EC"/>
    <w:rsid w:val="0011427C"/>
    <w:rsid w:val="001142B3"/>
    <w:rsid w:val="00114308"/>
    <w:rsid w:val="00114373"/>
    <w:rsid w:val="001143D5"/>
    <w:rsid w:val="0011440A"/>
    <w:rsid w:val="001144CF"/>
    <w:rsid w:val="001144DB"/>
    <w:rsid w:val="00114599"/>
    <w:rsid w:val="00114692"/>
    <w:rsid w:val="001146C7"/>
    <w:rsid w:val="00114806"/>
    <w:rsid w:val="0011488F"/>
    <w:rsid w:val="001148AC"/>
    <w:rsid w:val="0011494D"/>
    <w:rsid w:val="00114A1C"/>
    <w:rsid w:val="00114AA1"/>
    <w:rsid w:val="00114ADC"/>
    <w:rsid w:val="00114C96"/>
    <w:rsid w:val="00114D9A"/>
    <w:rsid w:val="00114E11"/>
    <w:rsid w:val="00114F8E"/>
    <w:rsid w:val="00114F99"/>
    <w:rsid w:val="00115055"/>
    <w:rsid w:val="0011522D"/>
    <w:rsid w:val="00115324"/>
    <w:rsid w:val="0011543E"/>
    <w:rsid w:val="001154A6"/>
    <w:rsid w:val="00115663"/>
    <w:rsid w:val="00115691"/>
    <w:rsid w:val="001156B5"/>
    <w:rsid w:val="001156D7"/>
    <w:rsid w:val="00115729"/>
    <w:rsid w:val="0011574D"/>
    <w:rsid w:val="0011575E"/>
    <w:rsid w:val="001157A9"/>
    <w:rsid w:val="001158BC"/>
    <w:rsid w:val="001158C5"/>
    <w:rsid w:val="001158F2"/>
    <w:rsid w:val="00115AD1"/>
    <w:rsid w:val="00115ADF"/>
    <w:rsid w:val="00115B54"/>
    <w:rsid w:val="00115B7D"/>
    <w:rsid w:val="00115C24"/>
    <w:rsid w:val="00115C8A"/>
    <w:rsid w:val="00115E6F"/>
    <w:rsid w:val="0011601A"/>
    <w:rsid w:val="00116043"/>
    <w:rsid w:val="00116339"/>
    <w:rsid w:val="00116366"/>
    <w:rsid w:val="001163A3"/>
    <w:rsid w:val="0011642C"/>
    <w:rsid w:val="0011646F"/>
    <w:rsid w:val="00116486"/>
    <w:rsid w:val="0011665D"/>
    <w:rsid w:val="0011669E"/>
    <w:rsid w:val="001166E5"/>
    <w:rsid w:val="001168F1"/>
    <w:rsid w:val="00116932"/>
    <w:rsid w:val="00116B86"/>
    <w:rsid w:val="00116BD9"/>
    <w:rsid w:val="00116C7A"/>
    <w:rsid w:val="00116CA3"/>
    <w:rsid w:val="00116D8F"/>
    <w:rsid w:val="00116E85"/>
    <w:rsid w:val="00117033"/>
    <w:rsid w:val="00117112"/>
    <w:rsid w:val="00117202"/>
    <w:rsid w:val="00117288"/>
    <w:rsid w:val="001172E5"/>
    <w:rsid w:val="00117508"/>
    <w:rsid w:val="001175AD"/>
    <w:rsid w:val="00117882"/>
    <w:rsid w:val="00117954"/>
    <w:rsid w:val="00117A7B"/>
    <w:rsid w:val="00117BBD"/>
    <w:rsid w:val="00117FA6"/>
    <w:rsid w:val="0012005A"/>
    <w:rsid w:val="00120098"/>
    <w:rsid w:val="0012015D"/>
    <w:rsid w:val="001201C7"/>
    <w:rsid w:val="0012025E"/>
    <w:rsid w:val="001202BB"/>
    <w:rsid w:val="001202F5"/>
    <w:rsid w:val="0012047E"/>
    <w:rsid w:val="0012048B"/>
    <w:rsid w:val="0012064B"/>
    <w:rsid w:val="001206EC"/>
    <w:rsid w:val="001207B6"/>
    <w:rsid w:val="00120801"/>
    <w:rsid w:val="00120CE1"/>
    <w:rsid w:val="00120DA6"/>
    <w:rsid w:val="00120DD1"/>
    <w:rsid w:val="00120E48"/>
    <w:rsid w:val="00120E63"/>
    <w:rsid w:val="00120E94"/>
    <w:rsid w:val="00120FBC"/>
    <w:rsid w:val="00121156"/>
    <w:rsid w:val="00121187"/>
    <w:rsid w:val="001211C3"/>
    <w:rsid w:val="0012128C"/>
    <w:rsid w:val="001212D1"/>
    <w:rsid w:val="0012130D"/>
    <w:rsid w:val="0012131C"/>
    <w:rsid w:val="001214EB"/>
    <w:rsid w:val="0012152B"/>
    <w:rsid w:val="0012156E"/>
    <w:rsid w:val="0012158B"/>
    <w:rsid w:val="001215D6"/>
    <w:rsid w:val="001216A3"/>
    <w:rsid w:val="00121728"/>
    <w:rsid w:val="001217CA"/>
    <w:rsid w:val="00121836"/>
    <w:rsid w:val="001218D4"/>
    <w:rsid w:val="001218ED"/>
    <w:rsid w:val="001219F0"/>
    <w:rsid w:val="00121A0A"/>
    <w:rsid w:val="00121A87"/>
    <w:rsid w:val="00121B17"/>
    <w:rsid w:val="00121B64"/>
    <w:rsid w:val="00121C42"/>
    <w:rsid w:val="00121CC2"/>
    <w:rsid w:val="00121EC4"/>
    <w:rsid w:val="00121FB4"/>
    <w:rsid w:val="00122020"/>
    <w:rsid w:val="001220BF"/>
    <w:rsid w:val="00122142"/>
    <w:rsid w:val="001221F4"/>
    <w:rsid w:val="0012220B"/>
    <w:rsid w:val="0012222D"/>
    <w:rsid w:val="00122231"/>
    <w:rsid w:val="0012245B"/>
    <w:rsid w:val="001225BE"/>
    <w:rsid w:val="00122675"/>
    <w:rsid w:val="00122693"/>
    <w:rsid w:val="00122999"/>
    <w:rsid w:val="00122A77"/>
    <w:rsid w:val="00122B2F"/>
    <w:rsid w:val="00122BF8"/>
    <w:rsid w:val="00122C70"/>
    <w:rsid w:val="00122E17"/>
    <w:rsid w:val="00122ED2"/>
    <w:rsid w:val="00122F09"/>
    <w:rsid w:val="00122FE5"/>
    <w:rsid w:val="001230C3"/>
    <w:rsid w:val="00123447"/>
    <w:rsid w:val="00123498"/>
    <w:rsid w:val="001234D4"/>
    <w:rsid w:val="0012354A"/>
    <w:rsid w:val="00123702"/>
    <w:rsid w:val="001238CC"/>
    <w:rsid w:val="0012390F"/>
    <w:rsid w:val="00123986"/>
    <w:rsid w:val="00123A1F"/>
    <w:rsid w:val="00123A80"/>
    <w:rsid w:val="00123AA7"/>
    <w:rsid w:val="00123C5C"/>
    <w:rsid w:val="00123DD5"/>
    <w:rsid w:val="00123E10"/>
    <w:rsid w:val="0012410E"/>
    <w:rsid w:val="00124387"/>
    <w:rsid w:val="001244BC"/>
    <w:rsid w:val="00124582"/>
    <w:rsid w:val="00124662"/>
    <w:rsid w:val="001247F5"/>
    <w:rsid w:val="001249B1"/>
    <w:rsid w:val="00124A24"/>
    <w:rsid w:val="00124A45"/>
    <w:rsid w:val="00124BBF"/>
    <w:rsid w:val="00124C8E"/>
    <w:rsid w:val="00124D30"/>
    <w:rsid w:val="00124E5A"/>
    <w:rsid w:val="00124F71"/>
    <w:rsid w:val="00124FA2"/>
    <w:rsid w:val="00124FE9"/>
    <w:rsid w:val="00125005"/>
    <w:rsid w:val="00125016"/>
    <w:rsid w:val="0012506A"/>
    <w:rsid w:val="00125090"/>
    <w:rsid w:val="00125159"/>
    <w:rsid w:val="001253B9"/>
    <w:rsid w:val="001253D0"/>
    <w:rsid w:val="00125483"/>
    <w:rsid w:val="00125595"/>
    <w:rsid w:val="001255D1"/>
    <w:rsid w:val="001256D7"/>
    <w:rsid w:val="00125709"/>
    <w:rsid w:val="001257F1"/>
    <w:rsid w:val="0012583A"/>
    <w:rsid w:val="00125AAA"/>
    <w:rsid w:val="00125B70"/>
    <w:rsid w:val="00125C59"/>
    <w:rsid w:val="00125CAA"/>
    <w:rsid w:val="00125E0F"/>
    <w:rsid w:val="00125E1C"/>
    <w:rsid w:val="001260B9"/>
    <w:rsid w:val="00126129"/>
    <w:rsid w:val="00126223"/>
    <w:rsid w:val="001263E2"/>
    <w:rsid w:val="00126414"/>
    <w:rsid w:val="00126533"/>
    <w:rsid w:val="00126576"/>
    <w:rsid w:val="001266E4"/>
    <w:rsid w:val="0012670F"/>
    <w:rsid w:val="00126787"/>
    <w:rsid w:val="00126805"/>
    <w:rsid w:val="001268EA"/>
    <w:rsid w:val="001268FE"/>
    <w:rsid w:val="001269E2"/>
    <w:rsid w:val="00126A07"/>
    <w:rsid w:val="00126AEC"/>
    <w:rsid w:val="00126B31"/>
    <w:rsid w:val="00126D3E"/>
    <w:rsid w:val="00126EAB"/>
    <w:rsid w:val="00126EC8"/>
    <w:rsid w:val="00126FB0"/>
    <w:rsid w:val="00126FC9"/>
    <w:rsid w:val="001270AC"/>
    <w:rsid w:val="001270EE"/>
    <w:rsid w:val="001271CF"/>
    <w:rsid w:val="0012722C"/>
    <w:rsid w:val="0012723D"/>
    <w:rsid w:val="001272E9"/>
    <w:rsid w:val="0012743C"/>
    <w:rsid w:val="0012746F"/>
    <w:rsid w:val="001275DC"/>
    <w:rsid w:val="001275E0"/>
    <w:rsid w:val="0012766C"/>
    <w:rsid w:val="001277DF"/>
    <w:rsid w:val="001279D8"/>
    <w:rsid w:val="00127A05"/>
    <w:rsid w:val="00127A7F"/>
    <w:rsid w:val="00127AF1"/>
    <w:rsid w:val="00127B9D"/>
    <w:rsid w:val="00127C1C"/>
    <w:rsid w:val="00127CED"/>
    <w:rsid w:val="00127DA8"/>
    <w:rsid w:val="00127E31"/>
    <w:rsid w:val="001300D0"/>
    <w:rsid w:val="00130112"/>
    <w:rsid w:val="001301AD"/>
    <w:rsid w:val="001302EE"/>
    <w:rsid w:val="00130395"/>
    <w:rsid w:val="00130471"/>
    <w:rsid w:val="0013060D"/>
    <w:rsid w:val="0013064E"/>
    <w:rsid w:val="0013070D"/>
    <w:rsid w:val="00130786"/>
    <w:rsid w:val="001308B0"/>
    <w:rsid w:val="0013092B"/>
    <w:rsid w:val="001309B5"/>
    <w:rsid w:val="001309FC"/>
    <w:rsid w:val="00130A8C"/>
    <w:rsid w:val="00130AED"/>
    <w:rsid w:val="00130AF1"/>
    <w:rsid w:val="00130BA9"/>
    <w:rsid w:val="00130C09"/>
    <w:rsid w:val="00130D57"/>
    <w:rsid w:val="00130E08"/>
    <w:rsid w:val="00130E9D"/>
    <w:rsid w:val="00130F91"/>
    <w:rsid w:val="00130FEA"/>
    <w:rsid w:val="00131017"/>
    <w:rsid w:val="00131063"/>
    <w:rsid w:val="001310D8"/>
    <w:rsid w:val="0013110A"/>
    <w:rsid w:val="00131156"/>
    <w:rsid w:val="001311D7"/>
    <w:rsid w:val="001312DD"/>
    <w:rsid w:val="001312EF"/>
    <w:rsid w:val="001314BC"/>
    <w:rsid w:val="001315F0"/>
    <w:rsid w:val="001317D9"/>
    <w:rsid w:val="001318B5"/>
    <w:rsid w:val="001318E7"/>
    <w:rsid w:val="00131A27"/>
    <w:rsid w:val="00131AB2"/>
    <w:rsid w:val="00131AD5"/>
    <w:rsid w:val="00131B17"/>
    <w:rsid w:val="00131B5C"/>
    <w:rsid w:val="00131C60"/>
    <w:rsid w:val="00131E4B"/>
    <w:rsid w:val="00131EBB"/>
    <w:rsid w:val="00131EC7"/>
    <w:rsid w:val="00131F0D"/>
    <w:rsid w:val="00131FD8"/>
    <w:rsid w:val="0013201E"/>
    <w:rsid w:val="0013218E"/>
    <w:rsid w:val="001321A1"/>
    <w:rsid w:val="001321E9"/>
    <w:rsid w:val="001323DC"/>
    <w:rsid w:val="0013242F"/>
    <w:rsid w:val="00132460"/>
    <w:rsid w:val="00132500"/>
    <w:rsid w:val="001325FE"/>
    <w:rsid w:val="00132611"/>
    <w:rsid w:val="00132956"/>
    <w:rsid w:val="00132A6B"/>
    <w:rsid w:val="00132A84"/>
    <w:rsid w:val="00132B66"/>
    <w:rsid w:val="00132D3C"/>
    <w:rsid w:val="00132D3E"/>
    <w:rsid w:val="00132E88"/>
    <w:rsid w:val="00132FF2"/>
    <w:rsid w:val="0013302D"/>
    <w:rsid w:val="001330CC"/>
    <w:rsid w:val="00133248"/>
    <w:rsid w:val="00133251"/>
    <w:rsid w:val="0013327C"/>
    <w:rsid w:val="001333CC"/>
    <w:rsid w:val="001333F7"/>
    <w:rsid w:val="001334AA"/>
    <w:rsid w:val="001335DF"/>
    <w:rsid w:val="0013376D"/>
    <w:rsid w:val="001337AA"/>
    <w:rsid w:val="001337D9"/>
    <w:rsid w:val="001338DE"/>
    <w:rsid w:val="0013393F"/>
    <w:rsid w:val="00133965"/>
    <w:rsid w:val="001339AE"/>
    <w:rsid w:val="001339FB"/>
    <w:rsid w:val="00133A1E"/>
    <w:rsid w:val="00133AAD"/>
    <w:rsid w:val="00133AAE"/>
    <w:rsid w:val="00133D13"/>
    <w:rsid w:val="00133D7A"/>
    <w:rsid w:val="00133D9F"/>
    <w:rsid w:val="00133E32"/>
    <w:rsid w:val="00133E3E"/>
    <w:rsid w:val="00133E63"/>
    <w:rsid w:val="00133EDD"/>
    <w:rsid w:val="00134105"/>
    <w:rsid w:val="00134150"/>
    <w:rsid w:val="00134264"/>
    <w:rsid w:val="001342BF"/>
    <w:rsid w:val="00134339"/>
    <w:rsid w:val="001343B3"/>
    <w:rsid w:val="001345B0"/>
    <w:rsid w:val="001345EF"/>
    <w:rsid w:val="00134650"/>
    <w:rsid w:val="00134687"/>
    <w:rsid w:val="001346A2"/>
    <w:rsid w:val="001346B7"/>
    <w:rsid w:val="001346F0"/>
    <w:rsid w:val="0013475C"/>
    <w:rsid w:val="00134862"/>
    <w:rsid w:val="001349AC"/>
    <w:rsid w:val="001349B3"/>
    <w:rsid w:val="001349EB"/>
    <w:rsid w:val="00134AB0"/>
    <w:rsid w:val="00134C41"/>
    <w:rsid w:val="00134C4F"/>
    <w:rsid w:val="00134CFF"/>
    <w:rsid w:val="00134D2C"/>
    <w:rsid w:val="00134D41"/>
    <w:rsid w:val="00134E25"/>
    <w:rsid w:val="00134EC3"/>
    <w:rsid w:val="0013503C"/>
    <w:rsid w:val="001350EE"/>
    <w:rsid w:val="00135228"/>
    <w:rsid w:val="001352D3"/>
    <w:rsid w:val="0013551D"/>
    <w:rsid w:val="0013556B"/>
    <w:rsid w:val="001355AE"/>
    <w:rsid w:val="0013579A"/>
    <w:rsid w:val="001358B3"/>
    <w:rsid w:val="00135913"/>
    <w:rsid w:val="001359EF"/>
    <w:rsid w:val="00135AA9"/>
    <w:rsid w:val="00135BEC"/>
    <w:rsid w:val="00135CB1"/>
    <w:rsid w:val="00135CEC"/>
    <w:rsid w:val="00135E3E"/>
    <w:rsid w:val="00135E98"/>
    <w:rsid w:val="00135EC7"/>
    <w:rsid w:val="00135F16"/>
    <w:rsid w:val="00135FBB"/>
    <w:rsid w:val="00136096"/>
    <w:rsid w:val="001360EB"/>
    <w:rsid w:val="00136153"/>
    <w:rsid w:val="001361DF"/>
    <w:rsid w:val="0013651E"/>
    <w:rsid w:val="00136551"/>
    <w:rsid w:val="00136683"/>
    <w:rsid w:val="00136740"/>
    <w:rsid w:val="00136786"/>
    <w:rsid w:val="00136981"/>
    <w:rsid w:val="00136C61"/>
    <w:rsid w:val="00136CFA"/>
    <w:rsid w:val="00136DB9"/>
    <w:rsid w:val="00136DE7"/>
    <w:rsid w:val="00136E46"/>
    <w:rsid w:val="00136FA7"/>
    <w:rsid w:val="00136FA9"/>
    <w:rsid w:val="0013708D"/>
    <w:rsid w:val="001370B5"/>
    <w:rsid w:val="001372A3"/>
    <w:rsid w:val="001372FE"/>
    <w:rsid w:val="0013742B"/>
    <w:rsid w:val="0013746A"/>
    <w:rsid w:val="00137561"/>
    <w:rsid w:val="001375D2"/>
    <w:rsid w:val="0013762E"/>
    <w:rsid w:val="001376BC"/>
    <w:rsid w:val="0013779A"/>
    <w:rsid w:val="001378A2"/>
    <w:rsid w:val="001378E3"/>
    <w:rsid w:val="00137A41"/>
    <w:rsid w:val="00137A91"/>
    <w:rsid w:val="00137B03"/>
    <w:rsid w:val="00137BE5"/>
    <w:rsid w:val="00137CE6"/>
    <w:rsid w:val="00137DE3"/>
    <w:rsid w:val="001400A1"/>
    <w:rsid w:val="00140273"/>
    <w:rsid w:val="0014030C"/>
    <w:rsid w:val="001403E0"/>
    <w:rsid w:val="00140420"/>
    <w:rsid w:val="001405E7"/>
    <w:rsid w:val="001406D3"/>
    <w:rsid w:val="001407AC"/>
    <w:rsid w:val="00140825"/>
    <w:rsid w:val="00140853"/>
    <w:rsid w:val="001408C0"/>
    <w:rsid w:val="0014093C"/>
    <w:rsid w:val="00140A10"/>
    <w:rsid w:val="00140B1F"/>
    <w:rsid w:val="00140D0B"/>
    <w:rsid w:val="00140E4F"/>
    <w:rsid w:val="00140EA3"/>
    <w:rsid w:val="00140ED8"/>
    <w:rsid w:val="00140F95"/>
    <w:rsid w:val="0014114A"/>
    <w:rsid w:val="0014122B"/>
    <w:rsid w:val="001412FD"/>
    <w:rsid w:val="0014135B"/>
    <w:rsid w:val="00141390"/>
    <w:rsid w:val="0014148A"/>
    <w:rsid w:val="00141596"/>
    <w:rsid w:val="00141604"/>
    <w:rsid w:val="00141643"/>
    <w:rsid w:val="00141645"/>
    <w:rsid w:val="00141649"/>
    <w:rsid w:val="00141739"/>
    <w:rsid w:val="001417AD"/>
    <w:rsid w:val="00141880"/>
    <w:rsid w:val="001418A7"/>
    <w:rsid w:val="001418AD"/>
    <w:rsid w:val="0014193E"/>
    <w:rsid w:val="00141A92"/>
    <w:rsid w:val="00141B1F"/>
    <w:rsid w:val="00141BBD"/>
    <w:rsid w:val="00141C68"/>
    <w:rsid w:val="00141C96"/>
    <w:rsid w:val="00141CA1"/>
    <w:rsid w:val="00141E05"/>
    <w:rsid w:val="00141F44"/>
    <w:rsid w:val="00141F5B"/>
    <w:rsid w:val="00142042"/>
    <w:rsid w:val="00142043"/>
    <w:rsid w:val="001421E2"/>
    <w:rsid w:val="0014241E"/>
    <w:rsid w:val="00142448"/>
    <w:rsid w:val="001424F5"/>
    <w:rsid w:val="00142527"/>
    <w:rsid w:val="00142554"/>
    <w:rsid w:val="00142599"/>
    <w:rsid w:val="00142712"/>
    <w:rsid w:val="001428EC"/>
    <w:rsid w:val="00142937"/>
    <w:rsid w:val="001429A9"/>
    <w:rsid w:val="00142A36"/>
    <w:rsid w:val="00142A39"/>
    <w:rsid w:val="00142B25"/>
    <w:rsid w:val="00142B45"/>
    <w:rsid w:val="00142BB8"/>
    <w:rsid w:val="00142BDF"/>
    <w:rsid w:val="00142C25"/>
    <w:rsid w:val="00142C7B"/>
    <w:rsid w:val="00142D1B"/>
    <w:rsid w:val="00142DA7"/>
    <w:rsid w:val="00142E4F"/>
    <w:rsid w:val="00142EA2"/>
    <w:rsid w:val="00142F40"/>
    <w:rsid w:val="0014304E"/>
    <w:rsid w:val="00143124"/>
    <w:rsid w:val="0014330E"/>
    <w:rsid w:val="00143369"/>
    <w:rsid w:val="001433C1"/>
    <w:rsid w:val="0014340F"/>
    <w:rsid w:val="00143413"/>
    <w:rsid w:val="0014348A"/>
    <w:rsid w:val="001434E1"/>
    <w:rsid w:val="001436DC"/>
    <w:rsid w:val="0014375E"/>
    <w:rsid w:val="0014386A"/>
    <w:rsid w:val="00143AA2"/>
    <w:rsid w:val="00143B0A"/>
    <w:rsid w:val="00143B48"/>
    <w:rsid w:val="00143B7D"/>
    <w:rsid w:val="00143C71"/>
    <w:rsid w:val="00143C7D"/>
    <w:rsid w:val="00143D33"/>
    <w:rsid w:val="00143D75"/>
    <w:rsid w:val="00143D91"/>
    <w:rsid w:val="00143E73"/>
    <w:rsid w:val="00143E90"/>
    <w:rsid w:val="00143EB3"/>
    <w:rsid w:val="00143EC8"/>
    <w:rsid w:val="00143F07"/>
    <w:rsid w:val="00143F43"/>
    <w:rsid w:val="00143F4F"/>
    <w:rsid w:val="00143F9F"/>
    <w:rsid w:val="00143FCC"/>
    <w:rsid w:val="00144158"/>
    <w:rsid w:val="001441A3"/>
    <w:rsid w:val="001443AB"/>
    <w:rsid w:val="001443F4"/>
    <w:rsid w:val="001445D8"/>
    <w:rsid w:val="001445EC"/>
    <w:rsid w:val="001446B6"/>
    <w:rsid w:val="001447E2"/>
    <w:rsid w:val="00144865"/>
    <w:rsid w:val="0014486F"/>
    <w:rsid w:val="0014489B"/>
    <w:rsid w:val="00144A57"/>
    <w:rsid w:val="00144B3A"/>
    <w:rsid w:val="00144CF3"/>
    <w:rsid w:val="00144DFD"/>
    <w:rsid w:val="00144E05"/>
    <w:rsid w:val="00144EB5"/>
    <w:rsid w:val="00144F3C"/>
    <w:rsid w:val="00144FF9"/>
    <w:rsid w:val="0014508B"/>
    <w:rsid w:val="00145153"/>
    <w:rsid w:val="0014519D"/>
    <w:rsid w:val="00145250"/>
    <w:rsid w:val="0014526D"/>
    <w:rsid w:val="00145274"/>
    <w:rsid w:val="0014547E"/>
    <w:rsid w:val="00145508"/>
    <w:rsid w:val="001455E4"/>
    <w:rsid w:val="0014560E"/>
    <w:rsid w:val="00145614"/>
    <w:rsid w:val="00145686"/>
    <w:rsid w:val="00145695"/>
    <w:rsid w:val="001457B3"/>
    <w:rsid w:val="001457CC"/>
    <w:rsid w:val="001458E2"/>
    <w:rsid w:val="001459DA"/>
    <w:rsid w:val="00145B68"/>
    <w:rsid w:val="00145BBE"/>
    <w:rsid w:val="00145BC9"/>
    <w:rsid w:val="00145D07"/>
    <w:rsid w:val="00145DE6"/>
    <w:rsid w:val="00145E47"/>
    <w:rsid w:val="00145E9E"/>
    <w:rsid w:val="00145EA1"/>
    <w:rsid w:val="00145ED0"/>
    <w:rsid w:val="00145F31"/>
    <w:rsid w:val="00145FB7"/>
    <w:rsid w:val="00146091"/>
    <w:rsid w:val="00146187"/>
    <w:rsid w:val="001462C8"/>
    <w:rsid w:val="00146393"/>
    <w:rsid w:val="001463A9"/>
    <w:rsid w:val="001463D8"/>
    <w:rsid w:val="0014649C"/>
    <w:rsid w:val="001465BA"/>
    <w:rsid w:val="00146622"/>
    <w:rsid w:val="00146678"/>
    <w:rsid w:val="001466AE"/>
    <w:rsid w:val="001466D1"/>
    <w:rsid w:val="00146711"/>
    <w:rsid w:val="00146874"/>
    <w:rsid w:val="001468BF"/>
    <w:rsid w:val="0014699C"/>
    <w:rsid w:val="00146BB8"/>
    <w:rsid w:val="00146C03"/>
    <w:rsid w:val="00146C90"/>
    <w:rsid w:val="00146D4A"/>
    <w:rsid w:val="00146DAD"/>
    <w:rsid w:val="00146E2F"/>
    <w:rsid w:val="00146FBE"/>
    <w:rsid w:val="00147049"/>
    <w:rsid w:val="001470BB"/>
    <w:rsid w:val="001472CB"/>
    <w:rsid w:val="00147411"/>
    <w:rsid w:val="00147459"/>
    <w:rsid w:val="001474CF"/>
    <w:rsid w:val="00147B24"/>
    <w:rsid w:val="00147B55"/>
    <w:rsid w:val="00147B77"/>
    <w:rsid w:val="00147C74"/>
    <w:rsid w:val="00147D61"/>
    <w:rsid w:val="00150178"/>
    <w:rsid w:val="0015018C"/>
    <w:rsid w:val="00150247"/>
    <w:rsid w:val="001503AB"/>
    <w:rsid w:val="00150443"/>
    <w:rsid w:val="0015065D"/>
    <w:rsid w:val="00150678"/>
    <w:rsid w:val="001506B6"/>
    <w:rsid w:val="00150856"/>
    <w:rsid w:val="0015089D"/>
    <w:rsid w:val="00150B59"/>
    <w:rsid w:val="00150B89"/>
    <w:rsid w:val="00150BE3"/>
    <w:rsid w:val="00150C6E"/>
    <w:rsid w:val="00150D14"/>
    <w:rsid w:val="00150EB7"/>
    <w:rsid w:val="00150ECD"/>
    <w:rsid w:val="00150EF8"/>
    <w:rsid w:val="00150F19"/>
    <w:rsid w:val="00151009"/>
    <w:rsid w:val="0015100F"/>
    <w:rsid w:val="001510FE"/>
    <w:rsid w:val="0015118E"/>
    <w:rsid w:val="00151204"/>
    <w:rsid w:val="0015134C"/>
    <w:rsid w:val="001513A5"/>
    <w:rsid w:val="001516A0"/>
    <w:rsid w:val="001517C7"/>
    <w:rsid w:val="00151846"/>
    <w:rsid w:val="0015185B"/>
    <w:rsid w:val="00151867"/>
    <w:rsid w:val="00151943"/>
    <w:rsid w:val="00151995"/>
    <w:rsid w:val="001519EE"/>
    <w:rsid w:val="00151A75"/>
    <w:rsid w:val="00151B8B"/>
    <w:rsid w:val="00151CA8"/>
    <w:rsid w:val="00151CAB"/>
    <w:rsid w:val="00151E05"/>
    <w:rsid w:val="00151E7D"/>
    <w:rsid w:val="00151EE0"/>
    <w:rsid w:val="00152024"/>
    <w:rsid w:val="00152084"/>
    <w:rsid w:val="0015218D"/>
    <w:rsid w:val="001522AF"/>
    <w:rsid w:val="001523A4"/>
    <w:rsid w:val="001523C0"/>
    <w:rsid w:val="001524B0"/>
    <w:rsid w:val="00152532"/>
    <w:rsid w:val="001525DD"/>
    <w:rsid w:val="001526EE"/>
    <w:rsid w:val="0015271B"/>
    <w:rsid w:val="001527BB"/>
    <w:rsid w:val="0015289A"/>
    <w:rsid w:val="0015292A"/>
    <w:rsid w:val="00152980"/>
    <w:rsid w:val="00152B16"/>
    <w:rsid w:val="00152B37"/>
    <w:rsid w:val="00152BB8"/>
    <w:rsid w:val="00152C9C"/>
    <w:rsid w:val="00152CC5"/>
    <w:rsid w:val="00152D5B"/>
    <w:rsid w:val="00152E22"/>
    <w:rsid w:val="00152E4A"/>
    <w:rsid w:val="00152EE6"/>
    <w:rsid w:val="00152F1C"/>
    <w:rsid w:val="00152FA6"/>
    <w:rsid w:val="00153091"/>
    <w:rsid w:val="001530FF"/>
    <w:rsid w:val="0015319C"/>
    <w:rsid w:val="001531CD"/>
    <w:rsid w:val="001531D9"/>
    <w:rsid w:val="0015320B"/>
    <w:rsid w:val="0015320D"/>
    <w:rsid w:val="0015327C"/>
    <w:rsid w:val="00153291"/>
    <w:rsid w:val="00153368"/>
    <w:rsid w:val="0015349A"/>
    <w:rsid w:val="001534F5"/>
    <w:rsid w:val="0015358D"/>
    <w:rsid w:val="00153612"/>
    <w:rsid w:val="00153688"/>
    <w:rsid w:val="00153744"/>
    <w:rsid w:val="0015378C"/>
    <w:rsid w:val="001537B7"/>
    <w:rsid w:val="001538FF"/>
    <w:rsid w:val="00153971"/>
    <w:rsid w:val="001539EE"/>
    <w:rsid w:val="00153A05"/>
    <w:rsid w:val="00153EB7"/>
    <w:rsid w:val="00153F98"/>
    <w:rsid w:val="00153FCA"/>
    <w:rsid w:val="00153FE0"/>
    <w:rsid w:val="00154076"/>
    <w:rsid w:val="001540A7"/>
    <w:rsid w:val="001540D2"/>
    <w:rsid w:val="001541ED"/>
    <w:rsid w:val="0015432A"/>
    <w:rsid w:val="001543FE"/>
    <w:rsid w:val="0015440F"/>
    <w:rsid w:val="001544E1"/>
    <w:rsid w:val="001545A5"/>
    <w:rsid w:val="001545B3"/>
    <w:rsid w:val="00154619"/>
    <w:rsid w:val="001547A2"/>
    <w:rsid w:val="001548AC"/>
    <w:rsid w:val="001549FC"/>
    <w:rsid w:val="00154A2A"/>
    <w:rsid w:val="00154AC8"/>
    <w:rsid w:val="00154D78"/>
    <w:rsid w:val="00155020"/>
    <w:rsid w:val="00155092"/>
    <w:rsid w:val="001550A0"/>
    <w:rsid w:val="00155284"/>
    <w:rsid w:val="001552E3"/>
    <w:rsid w:val="00155302"/>
    <w:rsid w:val="00155305"/>
    <w:rsid w:val="00155338"/>
    <w:rsid w:val="001553CC"/>
    <w:rsid w:val="00155512"/>
    <w:rsid w:val="00155589"/>
    <w:rsid w:val="0015558A"/>
    <w:rsid w:val="0015568C"/>
    <w:rsid w:val="00155762"/>
    <w:rsid w:val="001559A8"/>
    <w:rsid w:val="00155A15"/>
    <w:rsid w:val="00155AF1"/>
    <w:rsid w:val="00155AF3"/>
    <w:rsid w:val="00155B09"/>
    <w:rsid w:val="00155BB6"/>
    <w:rsid w:val="00155C33"/>
    <w:rsid w:val="00155C6E"/>
    <w:rsid w:val="00155DC4"/>
    <w:rsid w:val="00155E41"/>
    <w:rsid w:val="00155E8B"/>
    <w:rsid w:val="00155F1E"/>
    <w:rsid w:val="00155FB0"/>
    <w:rsid w:val="001560BD"/>
    <w:rsid w:val="001561C4"/>
    <w:rsid w:val="0015633B"/>
    <w:rsid w:val="001563D5"/>
    <w:rsid w:val="00156446"/>
    <w:rsid w:val="0015646B"/>
    <w:rsid w:val="0015649D"/>
    <w:rsid w:val="001564AA"/>
    <w:rsid w:val="001564AB"/>
    <w:rsid w:val="001565FB"/>
    <w:rsid w:val="00156673"/>
    <w:rsid w:val="001566B9"/>
    <w:rsid w:val="001566E7"/>
    <w:rsid w:val="00156749"/>
    <w:rsid w:val="00156859"/>
    <w:rsid w:val="001568A7"/>
    <w:rsid w:val="001568B6"/>
    <w:rsid w:val="0015696D"/>
    <w:rsid w:val="00156BE3"/>
    <w:rsid w:val="00156C59"/>
    <w:rsid w:val="00156D1C"/>
    <w:rsid w:val="00156DB6"/>
    <w:rsid w:val="00156DCC"/>
    <w:rsid w:val="00156E15"/>
    <w:rsid w:val="00156E41"/>
    <w:rsid w:val="0015705B"/>
    <w:rsid w:val="001570DB"/>
    <w:rsid w:val="00157394"/>
    <w:rsid w:val="001573E5"/>
    <w:rsid w:val="001576A4"/>
    <w:rsid w:val="0015790C"/>
    <w:rsid w:val="00157948"/>
    <w:rsid w:val="00157A18"/>
    <w:rsid w:val="00157A1B"/>
    <w:rsid w:val="00157A9B"/>
    <w:rsid w:val="00157AEB"/>
    <w:rsid w:val="00157B02"/>
    <w:rsid w:val="00157BF0"/>
    <w:rsid w:val="00157C2B"/>
    <w:rsid w:val="00157C4D"/>
    <w:rsid w:val="00157C84"/>
    <w:rsid w:val="00157C8E"/>
    <w:rsid w:val="00157E80"/>
    <w:rsid w:val="00157ED6"/>
    <w:rsid w:val="00157F67"/>
    <w:rsid w:val="001601D8"/>
    <w:rsid w:val="00160257"/>
    <w:rsid w:val="001602F1"/>
    <w:rsid w:val="001603A3"/>
    <w:rsid w:val="00160404"/>
    <w:rsid w:val="001604B4"/>
    <w:rsid w:val="0016057A"/>
    <w:rsid w:val="001605BA"/>
    <w:rsid w:val="001606FA"/>
    <w:rsid w:val="0016073F"/>
    <w:rsid w:val="0016082E"/>
    <w:rsid w:val="00160845"/>
    <w:rsid w:val="001608BA"/>
    <w:rsid w:val="00160987"/>
    <w:rsid w:val="001609AC"/>
    <w:rsid w:val="00160BF6"/>
    <w:rsid w:val="00160C4E"/>
    <w:rsid w:val="00160C5B"/>
    <w:rsid w:val="00160CC1"/>
    <w:rsid w:val="00160CC2"/>
    <w:rsid w:val="00160D61"/>
    <w:rsid w:val="00160DA6"/>
    <w:rsid w:val="00160DDD"/>
    <w:rsid w:val="00161121"/>
    <w:rsid w:val="0016113F"/>
    <w:rsid w:val="0016129F"/>
    <w:rsid w:val="00161314"/>
    <w:rsid w:val="00161317"/>
    <w:rsid w:val="0016132D"/>
    <w:rsid w:val="001613C1"/>
    <w:rsid w:val="001613D5"/>
    <w:rsid w:val="00161491"/>
    <w:rsid w:val="001614AE"/>
    <w:rsid w:val="001617A4"/>
    <w:rsid w:val="0016192C"/>
    <w:rsid w:val="00161A83"/>
    <w:rsid w:val="00161AAC"/>
    <w:rsid w:val="00161BF7"/>
    <w:rsid w:val="00161CB5"/>
    <w:rsid w:val="00161CC1"/>
    <w:rsid w:val="00161D5E"/>
    <w:rsid w:val="00161DA0"/>
    <w:rsid w:val="00161DBF"/>
    <w:rsid w:val="00161E8B"/>
    <w:rsid w:val="00161ED2"/>
    <w:rsid w:val="00161F87"/>
    <w:rsid w:val="00162006"/>
    <w:rsid w:val="0016217A"/>
    <w:rsid w:val="00162318"/>
    <w:rsid w:val="00162372"/>
    <w:rsid w:val="001624E3"/>
    <w:rsid w:val="001624FF"/>
    <w:rsid w:val="001629F5"/>
    <w:rsid w:val="00162A69"/>
    <w:rsid w:val="00162AB9"/>
    <w:rsid w:val="00162B27"/>
    <w:rsid w:val="00162D10"/>
    <w:rsid w:val="0016300B"/>
    <w:rsid w:val="0016305E"/>
    <w:rsid w:val="00163073"/>
    <w:rsid w:val="00163137"/>
    <w:rsid w:val="001631AA"/>
    <w:rsid w:val="001631E6"/>
    <w:rsid w:val="0016339D"/>
    <w:rsid w:val="00163443"/>
    <w:rsid w:val="00163480"/>
    <w:rsid w:val="001635B8"/>
    <w:rsid w:val="0016380D"/>
    <w:rsid w:val="001638C0"/>
    <w:rsid w:val="00163912"/>
    <w:rsid w:val="0016397F"/>
    <w:rsid w:val="0016398C"/>
    <w:rsid w:val="00163B0D"/>
    <w:rsid w:val="00163BF3"/>
    <w:rsid w:val="00163D8A"/>
    <w:rsid w:val="00163ECA"/>
    <w:rsid w:val="00163F2D"/>
    <w:rsid w:val="00164215"/>
    <w:rsid w:val="0016421C"/>
    <w:rsid w:val="00164365"/>
    <w:rsid w:val="00164405"/>
    <w:rsid w:val="00164414"/>
    <w:rsid w:val="001644A3"/>
    <w:rsid w:val="00164615"/>
    <w:rsid w:val="001647B9"/>
    <w:rsid w:val="001647D1"/>
    <w:rsid w:val="001647DB"/>
    <w:rsid w:val="00164975"/>
    <w:rsid w:val="0016499A"/>
    <w:rsid w:val="00164A54"/>
    <w:rsid w:val="00164A5F"/>
    <w:rsid w:val="00164A76"/>
    <w:rsid w:val="00164B8B"/>
    <w:rsid w:val="00164CB4"/>
    <w:rsid w:val="00164CB8"/>
    <w:rsid w:val="00165025"/>
    <w:rsid w:val="0016516C"/>
    <w:rsid w:val="00165199"/>
    <w:rsid w:val="0016529A"/>
    <w:rsid w:val="001653B8"/>
    <w:rsid w:val="00165433"/>
    <w:rsid w:val="00165478"/>
    <w:rsid w:val="00165483"/>
    <w:rsid w:val="001655E5"/>
    <w:rsid w:val="0016564C"/>
    <w:rsid w:val="00165726"/>
    <w:rsid w:val="001657C2"/>
    <w:rsid w:val="001657E9"/>
    <w:rsid w:val="001659D0"/>
    <w:rsid w:val="00165A28"/>
    <w:rsid w:val="00165A94"/>
    <w:rsid w:val="00165B07"/>
    <w:rsid w:val="00165B72"/>
    <w:rsid w:val="00165B8B"/>
    <w:rsid w:val="00165B9D"/>
    <w:rsid w:val="00165BA0"/>
    <w:rsid w:val="00165CA1"/>
    <w:rsid w:val="00165CA7"/>
    <w:rsid w:val="00165CDF"/>
    <w:rsid w:val="00165EB8"/>
    <w:rsid w:val="00165FBA"/>
    <w:rsid w:val="0016602D"/>
    <w:rsid w:val="00166090"/>
    <w:rsid w:val="00166112"/>
    <w:rsid w:val="00166140"/>
    <w:rsid w:val="00166170"/>
    <w:rsid w:val="00166181"/>
    <w:rsid w:val="00166262"/>
    <w:rsid w:val="001662A3"/>
    <w:rsid w:val="001662E0"/>
    <w:rsid w:val="001663A1"/>
    <w:rsid w:val="001663AC"/>
    <w:rsid w:val="001664A6"/>
    <w:rsid w:val="001664BA"/>
    <w:rsid w:val="00166541"/>
    <w:rsid w:val="00166AC6"/>
    <w:rsid w:val="00166B94"/>
    <w:rsid w:val="00166C9B"/>
    <w:rsid w:val="00166CE5"/>
    <w:rsid w:val="00166D6E"/>
    <w:rsid w:val="00166DA0"/>
    <w:rsid w:val="00166F92"/>
    <w:rsid w:val="00167088"/>
    <w:rsid w:val="00167184"/>
    <w:rsid w:val="001673A6"/>
    <w:rsid w:val="001673DC"/>
    <w:rsid w:val="00167614"/>
    <w:rsid w:val="001676AF"/>
    <w:rsid w:val="0016784C"/>
    <w:rsid w:val="00167942"/>
    <w:rsid w:val="001679C6"/>
    <w:rsid w:val="001679D9"/>
    <w:rsid w:val="00167AF8"/>
    <w:rsid w:val="00167B6A"/>
    <w:rsid w:val="00167C22"/>
    <w:rsid w:val="00167C23"/>
    <w:rsid w:val="00167CFE"/>
    <w:rsid w:val="00167E8B"/>
    <w:rsid w:val="00170046"/>
    <w:rsid w:val="001700C3"/>
    <w:rsid w:val="00170190"/>
    <w:rsid w:val="00170309"/>
    <w:rsid w:val="00170495"/>
    <w:rsid w:val="0017051E"/>
    <w:rsid w:val="00170565"/>
    <w:rsid w:val="0017058A"/>
    <w:rsid w:val="001705BD"/>
    <w:rsid w:val="0017070A"/>
    <w:rsid w:val="00170722"/>
    <w:rsid w:val="001707BF"/>
    <w:rsid w:val="001707C5"/>
    <w:rsid w:val="00170938"/>
    <w:rsid w:val="00170A55"/>
    <w:rsid w:val="00170AE3"/>
    <w:rsid w:val="00170AF5"/>
    <w:rsid w:val="00170B72"/>
    <w:rsid w:val="00170BAE"/>
    <w:rsid w:val="00170CCF"/>
    <w:rsid w:val="00170F13"/>
    <w:rsid w:val="001711A4"/>
    <w:rsid w:val="00171298"/>
    <w:rsid w:val="001712BE"/>
    <w:rsid w:val="00171345"/>
    <w:rsid w:val="00171357"/>
    <w:rsid w:val="001713EF"/>
    <w:rsid w:val="001713FA"/>
    <w:rsid w:val="0017149E"/>
    <w:rsid w:val="00171562"/>
    <w:rsid w:val="0017164C"/>
    <w:rsid w:val="00171689"/>
    <w:rsid w:val="00171811"/>
    <w:rsid w:val="0017181F"/>
    <w:rsid w:val="001718B7"/>
    <w:rsid w:val="001719AF"/>
    <w:rsid w:val="00171A0F"/>
    <w:rsid w:val="00171A74"/>
    <w:rsid w:val="00171B0D"/>
    <w:rsid w:val="00171C66"/>
    <w:rsid w:val="00171CFD"/>
    <w:rsid w:val="00171D0E"/>
    <w:rsid w:val="00171D1B"/>
    <w:rsid w:val="00171D34"/>
    <w:rsid w:val="00171D96"/>
    <w:rsid w:val="00171DCC"/>
    <w:rsid w:val="00171EFF"/>
    <w:rsid w:val="00171F76"/>
    <w:rsid w:val="00171FEE"/>
    <w:rsid w:val="00172016"/>
    <w:rsid w:val="001721C8"/>
    <w:rsid w:val="001721F7"/>
    <w:rsid w:val="0017226E"/>
    <w:rsid w:val="001722B3"/>
    <w:rsid w:val="0017232D"/>
    <w:rsid w:val="0017233A"/>
    <w:rsid w:val="0017246E"/>
    <w:rsid w:val="00172532"/>
    <w:rsid w:val="0017257D"/>
    <w:rsid w:val="001725F9"/>
    <w:rsid w:val="00172741"/>
    <w:rsid w:val="0017279E"/>
    <w:rsid w:val="0017289A"/>
    <w:rsid w:val="001728BA"/>
    <w:rsid w:val="00172A00"/>
    <w:rsid w:val="00172A55"/>
    <w:rsid w:val="00172B54"/>
    <w:rsid w:val="00172BDF"/>
    <w:rsid w:val="00172BF1"/>
    <w:rsid w:val="00172CFB"/>
    <w:rsid w:val="00172E08"/>
    <w:rsid w:val="00172F31"/>
    <w:rsid w:val="00172F62"/>
    <w:rsid w:val="0017303B"/>
    <w:rsid w:val="001731DB"/>
    <w:rsid w:val="00173286"/>
    <w:rsid w:val="00173304"/>
    <w:rsid w:val="0017334D"/>
    <w:rsid w:val="0017334E"/>
    <w:rsid w:val="001733D8"/>
    <w:rsid w:val="00173600"/>
    <w:rsid w:val="00173751"/>
    <w:rsid w:val="001737C7"/>
    <w:rsid w:val="00173837"/>
    <w:rsid w:val="00173866"/>
    <w:rsid w:val="001738F3"/>
    <w:rsid w:val="00173957"/>
    <w:rsid w:val="00173A4E"/>
    <w:rsid w:val="00173B2A"/>
    <w:rsid w:val="00173B9D"/>
    <w:rsid w:val="00173C4B"/>
    <w:rsid w:val="00173EA5"/>
    <w:rsid w:val="00173EF7"/>
    <w:rsid w:val="00173F1B"/>
    <w:rsid w:val="00173FEF"/>
    <w:rsid w:val="00174060"/>
    <w:rsid w:val="001741F1"/>
    <w:rsid w:val="00174242"/>
    <w:rsid w:val="0017427D"/>
    <w:rsid w:val="0017446A"/>
    <w:rsid w:val="00174600"/>
    <w:rsid w:val="00174626"/>
    <w:rsid w:val="001746EB"/>
    <w:rsid w:val="00174926"/>
    <w:rsid w:val="00174A33"/>
    <w:rsid w:val="00174BDF"/>
    <w:rsid w:val="00174D6E"/>
    <w:rsid w:val="00174FAD"/>
    <w:rsid w:val="00174FE5"/>
    <w:rsid w:val="00175179"/>
    <w:rsid w:val="00175221"/>
    <w:rsid w:val="001752F2"/>
    <w:rsid w:val="0017531D"/>
    <w:rsid w:val="00175368"/>
    <w:rsid w:val="001753D1"/>
    <w:rsid w:val="00175473"/>
    <w:rsid w:val="001754CE"/>
    <w:rsid w:val="001755DF"/>
    <w:rsid w:val="001755E2"/>
    <w:rsid w:val="00175631"/>
    <w:rsid w:val="00175866"/>
    <w:rsid w:val="001758E9"/>
    <w:rsid w:val="00175978"/>
    <w:rsid w:val="00175A38"/>
    <w:rsid w:val="00175AFF"/>
    <w:rsid w:val="00175B44"/>
    <w:rsid w:val="00175C5D"/>
    <w:rsid w:val="00175CD2"/>
    <w:rsid w:val="00175CD4"/>
    <w:rsid w:val="00175D46"/>
    <w:rsid w:val="00175EFD"/>
    <w:rsid w:val="00175F36"/>
    <w:rsid w:val="0017600A"/>
    <w:rsid w:val="0017609F"/>
    <w:rsid w:val="001762B1"/>
    <w:rsid w:val="00176405"/>
    <w:rsid w:val="0017655E"/>
    <w:rsid w:val="00176593"/>
    <w:rsid w:val="0017661E"/>
    <w:rsid w:val="0017668A"/>
    <w:rsid w:val="00176978"/>
    <w:rsid w:val="00176A7E"/>
    <w:rsid w:val="00176C67"/>
    <w:rsid w:val="00176CA4"/>
    <w:rsid w:val="00176D03"/>
    <w:rsid w:val="00176E77"/>
    <w:rsid w:val="00176E9F"/>
    <w:rsid w:val="00176FE2"/>
    <w:rsid w:val="0017710E"/>
    <w:rsid w:val="00177266"/>
    <w:rsid w:val="00177410"/>
    <w:rsid w:val="00177616"/>
    <w:rsid w:val="0017766C"/>
    <w:rsid w:val="001776A6"/>
    <w:rsid w:val="001776B3"/>
    <w:rsid w:val="001776DE"/>
    <w:rsid w:val="00177828"/>
    <w:rsid w:val="00177879"/>
    <w:rsid w:val="001778EC"/>
    <w:rsid w:val="00177996"/>
    <w:rsid w:val="00177A95"/>
    <w:rsid w:val="00177AA7"/>
    <w:rsid w:val="00177D0E"/>
    <w:rsid w:val="00177D36"/>
    <w:rsid w:val="00177DA1"/>
    <w:rsid w:val="00177DC9"/>
    <w:rsid w:val="00177E4B"/>
    <w:rsid w:val="00177F1A"/>
    <w:rsid w:val="00177F3C"/>
    <w:rsid w:val="0018000F"/>
    <w:rsid w:val="0018007B"/>
    <w:rsid w:val="001801DB"/>
    <w:rsid w:val="0018028C"/>
    <w:rsid w:val="001802CE"/>
    <w:rsid w:val="0018042F"/>
    <w:rsid w:val="00180476"/>
    <w:rsid w:val="001804F2"/>
    <w:rsid w:val="00180651"/>
    <w:rsid w:val="00180670"/>
    <w:rsid w:val="00180776"/>
    <w:rsid w:val="00180787"/>
    <w:rsid w:val="001807B0"/>
    <w:rsid w:val="00180936"/>
    <w:rsid w:val="00180A7C"/>
    <w:rsid w:val="00180CC8"/>
    <w:rsid w:val="00180D22"/>
    <w:rsid w:val="00180D6B"/>
    <w:rsid w:val="00180EA9"/>
    <w:rsid w:val="00180F23"/>
    <w:rsid w:val="00180F43"/>
    <w:rsid w:val="00180F9A"/>
    <w:rsid w:val="00180F9C"/>
    <w:rsid w:val="00180FD3"/>
    <w:rsid w:val="00180FE8"/>
    <w:rsid w:val="001812EE"/>
    <w:rsid w:val="001817A6"/>
    <w:rsid w:val="001817BA"/>
    <w:rsid w:val="00181833"/>
    <w:rsid w:val="001819C1"/>
    <w:rsid w:val="001819CF"/>
    <w:rsid w:val="00181A84"/>
    <w:rsid w:val="00181B64"/>
    <w:rsid w:val="00181D2A"/>
    <w:rsid w:val="00181E22"/>
    <w:rsid w:val="00181FAF"/>
    <w:rsid w:val="0018202D"/>
    <w:rsid w:val="00182079"/>
    <w:rsid w:val="001821A9"/>
    <w:rsid w:val="001821D3"/>
    <w:rsid w:val="001824AD"/>
    <w:rsid w:val="001824BE"/>
    <w:rsid w:val="00182534"/>
    <w:rsid w:val="001825D6"/>
    <w:rsid w:val="0018262F"/>
    <w:rsid w:val="00182655"/>
    <w:rsid w:val="001826CE"/>
    <w:rsid w:val="00182781"/>
    <w:rsid w:val="001827A1"/>
    <w:rsid w:val="0018280A"/>
    <w:rsid w:val="0018280F"/>
    <w:rsid w:val="001828D5"/>
    <w:rsid w:val="001829EA"/>
    <w:rsid w:val="00182AEE"/>
    <w:rsid w:val="00182C90"/>
    <w:rsid w:val="00182CFF"/>
    <w:rsid w:val="00182E86"/>
    <w:rsid w:val="00182F42"/>
    <w:rsid w:val="0018308E"/>
    <w:rsid w:val="001831A0"/>
    <w:rsid w:val="0018328B"/>
    <w:rsid w:val="00183353"/>
    <w:rsid w:val="0018349E"/>
    <w:rsid w:val="0018350C"/>
    <w:rsid w:val="001835F9"/>
    <w:rsid w:val="00183618"/>
    <w:rsid w:val="00183679"/>
    <w:rsid w:val="001836C3"/>
    <w:rsid w:val="001836D8"/>
    <w:rsid w:val="001838D6"/>
    <w:rsid w:val="001838FE"/>
    <w:rsid w:val="00183997"/>
    <w:rsid w:val="001839D2"/>
    <w:rsid w:val="00183A38"/>
    <w:rsid w:val="00183D45"/>
    <w:rsid w:val="0018418D"/>
    <w:rsid w:val="001842B6"/>
    <w:rsid w:val="00184459"/>
    <w:rsid w:val="0018451D"/>
    <w:rsid w:val="0018455A"/>
    <w:rsid w:val="00184573"/>
    <w:rsid w:val="001846C4"/>
    <w:rsid w:val="001847C5"/>
    <w:rsid w:val="001847EF"/>
    <w:rsid w:val="00184816"/>
    <w:rsid w:val="00184938"/>
    <w:rsid w:val="0018494F"/>
    <w:rsid w:val="00184B40"/>
    <w:rsid w:val="00184B5B"/>
    <w:rsid w:val="00184D2C"/>
    <w:rsid w:val="00184EE2"/>
    <w:rsid w:val="00184EFA"/>
    <w:rsid w:val="00184FD4"/>
    <w:rsid w:val="00185038"/>
    <w:rsid w:val="001850BF"/>
    <w:rsid w:val="00185148"/>
    <w:rsid w:val="0018517E"/>
    <w:rsid w:val="0018523C"/>
    <w:rsid w:val="001853EC"/>
    <w:rsid w:val="00185413"/>
    <w:rsid w:val="0018553F"/>
    <w:rsid w:val="00185557"/>
    <w:rsid w:val="001855F5"/>
    <w:rsid w:val="001856DC"/>
    <w:rsid w:val="0018578F"/>
    <w:rsid w:val="001857A8"/>
    <w:rsid w:val="001857AC"/>
    <w:rsid w:val="00185869"/>
    <w:rsid w:val="00185A76"/>
    <w:rsid w:val="00185A92"/>
    <w:rsid w:val="00185A9C"/>
    <w:rsid w:val="00185B3D"/>
    <w:rsid w:val="00185D10"/>
    <w:rsid w:val="00185D63"/>
    <w:rsid w:val="00185E14"/>
    <w:rsid w:val="00185E67"/>
    <w:rsid w:val="00185EFA"/>
    <w:rsid w:val="00185EFC"/>
    <w:rsid w:val="00186033"/>
    <w:rsid w:val="001860D8"/>
    <w:rsid w:val="00186113"/>
    <w:rsid w:val="00186350"/>
    <w:rsid w:val="001863F3"/>
    <w:rsid w:val="0018668B"/>
    <w:rsid w:val="0018668C"/>
    <w:rsid w:val="001866C1"/>
    <w:rsid w:val="00186715"/>
    <w:rsid w:val="0018671A"/>
    <w:rsid w:val="0018676E"/>
    <w:rsid w:val="001868E8"/>
    <w:rsid w:val="0018691E"/>
    <w:rsid w:val="001869D0"/>
    <w:rsid w:val="00186BCD"/>
    <w:rsid w:val="00186BDE"/>
    <w:rsid w:val="00186C96"/>
    <w:rsid w:val="00186D35"/>
    <w:rsid w:val="00186D4F"/>
    <w:rsid w:val="00186E92"/>
    <w:rsid w:val="00186F2A"/>
    <w:rsid w:val="001873DF"/>
    <w:rsid w:val="001874AE"/>
    <w:rsid w:val="001874E3"/>
    <w:rsid w:val="001875F7"/>
    <w:rsid w:val="0018760B"/>
    <w:rsid w:val="00187653"/>
    <w:rsid w:val="0018782C"/>
    <w:rsid w:val="00187850"/>
    <w:rsid w:val="001878AC"/>
    <w:rsid w:val="00187918"/>
    <w:rsid w:val="0018799F"/>
    <w:rsid w:val="00187ABC"/>
    <w:rsid w:val="00187B49"/>
    <w:rsid w:val="00187BAA"/>
    <w:rsid w:val="00187C4D"/>
    <w:rsid w:val="00187D2D"/>
    <w:rsid w:val="00187D56"/>
    <w:rsid w:val="00187D67"/>
    <w:rsid w:val="00187D7C"/>
    <w:rsid w:val="00187E55"/>
    <w:rsid w:val="00190014"/>
    <w:rsid w:val="00190173"/>
    <w:rsid w:val="00190190"/>
    <w:rsid w:val="00190302"/>
    <w:rsid w:val="0019036D"/>
    <w:rsid w:val="00190393"/>
    <w:rsid w:val="001903B8"/>
    <w:rsid w:val="001904C5"/>
    <w:rsid w:val="001904E8"/>
    <w:rsid w:val="00190624"/>
    <w:rsid w:val="0019065E"/>
    <w:rsid w:val="00190756"/>
    <w:rsid w:val="001907AA"/>
    <w:rsid w:val="001907B9"/>
    <w:rsid w:val="00190C2F"/>
    <w:rsid w:val="00190D55"/>
    <w:rsid w:val="00190DA7"/>
    <w:rsid w:val="00190DC1"/>
    <w:rsid w:val="00190FBA"/>
    <w:rsid w:val="001910AB"/>
    <w:rsid w:val="001910EF"/>
    <w:rsid w:val="001911BE"/>
    <w:rsid w:val="00191283"/>
    <w:rsid w:val="001912CA"/>
    <w:rsid w:val="00191368"/>
    <w:rsid w:val="00191501"/>
    <w:rsid w:val="00191954"/>
    <w:rsid w:val="0019195C"/>
    <w:rsid w:val="00191966"/>
    <w:rsid w:val="0019197C"/>
    <w:rsid w:val="001919AB"/>
    <w:rsid w:val="001919D8"/>
    <w:rsid w:val="00191D76"/>
    <w:rsid w:val="00191FF5"/>
    <w:rsid w:val="001921BF"/>
    <w:rsid w:val="0019228A"/>
    <w:rsid w:val="001922C8"/>
    <w:rsid w:val="001923CE"/>
    <w:rsid w:val="001923E2"/>
    <w:rsid w:val="00192527"/>
    <w:rsid w:val="00192690"/>
    <w:rsid w:val="00192779"/>
    <w:rsid w:val="00192A01"/>
    <w:rsid w:val="00192A08"/>
    <w:rsid w:val="00192A41"/>
    <w:rsid w:val="00192B7A"/>
    <w:rsid w:val="00192BAC"/>
    <w:rsid w:val="00192C4F"/>
    <w:rsid w:val="00192D7D"/>
    <w:rsid w:val="00192DA9"/>
    <w:rsid w:val="00192E70"/>
    <w:rsid w:val="00192FCE"/>
    <w:rsid w:val="00192FE7"/>
    <w:rsid w:val="0019308C"/>
    <w:rsid w:val="001930D0"/>
    <w:rsid w:val="00193182"/>
    <w:rsid w:val="0019319E"/>
    <w:rsid w:val="00193313"/>
    <w:rsid w:val="00193314"/>
    <w:rsid w:val="0019336A"/>
    <w:rsid w:val="0019352D"/>
    <w:rsid w:val="00193676"/>
    <w:rsid w:val="001936C4"/>
    <w:rsid w:val="001936E1"/>
    <w:rsid w:val="0019379B"/>
    <w:rsid w:val="00193838"/>
    <w:rsid w:val="001938A6"/>
    <w:rsid w:val="001938D6"/>
    <w:rsid w:val="00193A8E"/>
    <w:rsid w:val="00193B24"/>
    <w:rsid w:val="00193B66"/>
    <w:rsid w:val="00193B68"/>
    <w:rsid w:val="00193BB0"/>
    <w:rsid w:val="00193C66"/>
    <w:rsid w:val="00193C9E"/>
    <w:rsid w:val="00193D32"/>
    <w:rsid w:val="00193E4D"/>
    <w:rsid w:val="00193F7B"/>
    <w:rsid w:val="0019402F"/>
    <w:rsid w:val="001940C9"/>
    <w:rsid w:val="0019416A"/>
    <w:rsid w:val="00194244"/>
    <w:rsid w:val="00194289"/>
    <w:rsid w:val="0019428C"/>
    <w:rsid w:val="00194353"/>
    <w:rsid w:val="00194362"/>
    <w:rsid w:val="00194384"/>
    <w:rsid w:val="00194404"/>
    <w:rsid w:val="0019447F"/>
    <w:rsid w:val="00194542"/>
    <w:rsid w:val="001948D8"/>
    <w:rsid w:val="001949D3"/>
    <w:rsid w:val="001949EA"/>
    <w:rsid w:val="00194A60"/>
    <w:rsid w:val="00194B97"/>
    <w:rsid w:val="00194C08"/>
    <w:rsid w:val="00194C1A"/>
    <w:rsid w:val="00194DFD"/>
    <w:rsid w:val="00194F97"/>
    <w:rsid w:val="00194F9E"/>
    <w:rsid w:val="00194FB8"/>
    <w:rsid w:val="0019514A"/>
    <w:rsid w:val="0019522E"/>
    <w:rsid w:val="00195344"/>
    <w:rsid w:val="001953D7"/>
    <w:rsid w:val="001955BA"/>
    <w:rsid w:val="00195849"/>
    <w:rsid w:val="001958CB"/>
    <w:rsid w:val="001959A7"/>
    <w:rsid w:val="001959F8"/>
    <w:rsid w:val="00195A21"/>
    <w:rsid w:val="00195A45"/>
    <w:rsid w:val="00195AFD"/>
    <w:rsid w:val="00195B12"/>
    <w:rsid w:val="00195BC5"/>
    <w:rsid w:val="00195BD3"/>
    <w:rsid w:val="00195C33"/>
    <w:rsid w:val="00195CB0"/>
    <w:rsid w:val="00195CC0"/>
    <w:rsid w:val="00195D58"/>
    <w:rsid w:val="00195D67"/>
    <w:rsid w:val="00195D6E"/>
    <w:rsid w:val="00195E24"/>
    <w:rsid w:val="00195FAA"/>
    <w:rsid w:val="00196057"/>
    <w:rsid w:val="0019612E"/>
    <w:rsid w:val="001961A6"/>
    <w:rsid w:val="0019624B"/>
    <w:rsid w:val="00196282"/>
    <w:rsid w:val="001962FC"/>
    <w:rsid w:val="001963C2"/>
    <w:rsid w:val="001964F8"/>
    <w:rsid w:val="00196502"/>
    <w:rsid w:val="0019651C"/>
    <w:rsid w:val="001965A7"/>
    <w:rsid w:val="00196688"/>
    <w:rsid w:val="00196695"/>
    <w:rsid w:val="0019677B"/>
    <w:rsid w:val="00196804"/>
    <w:rsid w:val="001968D7"/>
    <w:rsid w:val="00196A55"/>
    <w:rsid w:val="00196B98"/>
    <w:rsid w:val="00196BB7"/>
    <w:rsid w:val="00196DA8"/>
    <w:rsid w:val="00196E3A"/>
    <w:rsid w:val="00196EBD"/>
    <w:rsid w:val="00196F24"/>
    <w:rsid w:val="00196FAE"/>
    <w:rsid w:val="00196FF9"/>
    <w:rsid w:val="00197030"/>
    <w:rsid w:val="00197128"/>
    <w:rsid w:val="00197209"/>
    <w:rsid w:val="00197294"/>
    <w:rsid w:val="001973E6"/>
    <w:rsid w:val="0019744B"/>
    <w:rsid w:val="00197628"/>
    <w:rsid w:val="0019764E"/>
    <w:rsid w:val="00197759"/>
    <w:rsid w:val="001978B3"/>
    <w:rsid w:val="00197996"/>
    <w:rsid w:val="001979E4"/>
    <w:rsid w:val="00197BA6"/>
    <w:rsid w:val="00197D61"/>
    <w:rsid w:val="00197D7F"/>
    <w:rsid w:val="001A0140"/>
    <w:rsid w:val="001A017A"/>
    <w:rsid w:val="001A01B5"/>
    <w:rsid w:val="001A01E4"/>
    <w:rsid w:val="001A0256"/>
    <w:rsid w:val="001A02AE"/>
    <w:rsid w:val="001A02DC"/>
    <w:rsid w:val="001A02DD"/>
    <w:rsid w:val="001A0339"/>
    <w:rsid w:val="001A039B"/>
    <w:rsid w:val="001A03AB"/>
    <w:rsid w:val="001A03C0"/>
    <w:rsid w:val="001A047B"/>
    <w:rsid w:val="001A0627"/>
    <w:rsid w:val="001A0774"/>
    <w:rsid w:val="001A08E9"/>
    <w:rsid w:val="001A08ED"/>
    <w:rsid w:val="001A0987"/>
    <w:rsid w:val="001A0AA5"/>
    <w:rsid w:val="001A0BA7"/>
    <w:rsid w:val="001A0BEA"/>
    <w:rsid w:val="001A0CD4"/>
    <w:rsid w:val="001A0D10"/>
    <w:rsid w:val="001A0D61"/>
    <w:rsid w:val="001A0D95"/>
    <w:rsid w:val="001A0E23"/>
    <w:rsid w:val="001A0E98"/>
    <w:rsid w:val="001A0ED9"/>
    <w:rsid w:val="001A1244"/>
    <w:rsid w:val="001A124F"/>
    <w:rsid w:val="001A12AA"/>
    <w:rsid w:val="001A12CD"/>
    <w:rsid w:val="001A135E"/>
    <w:rsid w:val="001A13AC"/>
    <w:rsid w:val="001A1549"/>
    <w:rsid w:val="001A154A"/>
    <w:rsid w:val="001A160F"/>
    <w:rsid w:val="001A1611"/>
    <w:rsid w:val="001A1612"/>
    <w:rsid w:val="001A162F"/>
    <w:rsid w:val="001A17C9"/>
    <w:rsid w:val="001A1839"/>
    <w:rsid w:val="001A1971"/>
    <w:rsid w:val="001A1993"/>
    <w:rsid w:val="001A1A5C"/>
    <w:rsid w:val="001A1AB3"/>
    <w:rsid w:val="001A1AE2"/>
    <w:rsid w:val="001A1C9E"/>
    <w:rsid w:val="001A1CEF"/>
    <w:rsid w:val="001A1DBE"/>
    <w:rsid w:val="001A1DCD"/>
    <w:rsid w:val="001A1E11"/>
    <w:rsid w:val="001A1FB0"/>
    <w:rsid w:val="001A2021"/>
    <w:rsid w:val="001A21FF"/>
    <w:rsid w:val="001A22FB"/>
    <w:rsid w:val="001A2365"/>
    <w:rsid w:val="001A23C2"/>
    <w:rsid w:val="001A2439"/>
    <w:rsid w:val="001A2468"/>
    <w:rsid w:val="001A25FC"/>
    <w:rsid w:val="001A2683"/>
    <w:rsid w:val="001A26BB"/>
    <w:rsid w:val="001A27D8"/>
    <w:rsid w:val="001A28B7"/>
    <w:rsid w:val="001A28DD"/>
    <w:rsid w:val="001A29D0"/>
    <w:rsid w:val="001A2A0E"/>
    <w:rsid w:val="001A2A3D"/>
    <w:rsid w:val="001A2C17"/>
    <w:rsid w:val="001A2C38"/>
    <w:rsid w:val="001A2C93"/>
    <w:rsid w:val="001A2D4A"/>
    <w:rsid w:val="001A2EAB"/>
    <w:rsid w:val="001A2EC5"/>
    <w:rsid w:val="001A2FEA"/>
    <w:rsid w:val="001A301B"/>
    <w:rsid w:val="001A308D"/>
    <w:rsid w:val="001A309E"/>
    <w:rsid w:val="001A310A"/>
    <w:rsid w:val="001A31C5"/>
    <w:rsid w:val="001A31D1"/>
    <w:rsid w:val="001A323C"/>
    <w:rsid w:val="001A342B"/>
    <w:rsid w:val="001A34DD"/>
    <w:rsid w:val="001A35AE"/>
    <w:rsid w:val="001A3670"/>
    <w:rsid w:val="001A384A"/>
    <w:rsid w:val="001A3950"/>
    <w:rsid w:val="001A3986"/>
    <w:rsid w:val="001A3A52"/>
    <w:rsid w:val="001A3C9E"/>
    <w:rsid w:val="001A3D7C"/>
    <w:rsid w:val="001A3D96"/>
    <w:rsid w:val="001A3DA4"/>
    <w:rsid w:val="001A3F06"/>
    <w:rsid w:val="001A4005"/>
    <w:rsid w:val="001A416B"/>
    <w:rsid w:val="001A4274"/>
    <w:rsid w:val="001A4382"/>
    <w:rsid w:val="001A4430"/>
    <w:rsid w:val="001A449F"/>
    <w:rsid w:val="001A4506"/>
    <w:rsid w:val="001A4598"/>
    <w:rsid w:val="001A46BC"/>
    <w:rsid w:val="001A47F8"/>
    <w:rsid w:val="001A483A"/>
    <w:rsid w:val="001A4AD3"/>
    <w:rsid w:val="001A4C0E"/>
    <w:rsid w:val="001A4C4B"/>
    <w:rsid w:val="001A4C6D"/>
    <w:rsid w:val="001A4DC7"/>
    <w:rsid w:val="001A4E59"/>
    <w:rsid w:val="001A5005"/>
    <w:rsid w:val="001A501B"/>
    <w:rsid w:val="001A5172"/>
    <w:rsid w:val="001A540E"/>
    <w:rsid w:val="001A54E4"/>
    <w:rsid w:val="001A54EB"/>
    <w:rsid w:val="001A552E"/>
    <w:rsid w:val="001A55AC"/>
    <w:rsid w:val="001A55F0"/>
    <w:rsid w:val="001A576D"/>
    <w:rsid w:val="001A588F"/>
    <w:rsid w:val="001A5931"/>
    <w:rsid w:val="001A5951"/>
    <w:rsid w:val="001A595F"/>
    <w:rsid w:val="001A5A17"/>
    <w:rsid w:val="001A5B00"/>
    <w:rsid w:val="001A5B36"/>
    <w:rsid w:val="001A5BF4"/>
    <w:rsid w:val="001A5EB6"/>
    <w:rsid w:val="001A6088"/>
    <w:rsid w:val="001A609A"/>
    <w:rsid w:val="001A6118"/>
    <w:rsid w:val="001A6160"/>
    <w:rsid w:val="001A6182"/>
    <w:rsid w:val="001A65A1"/>
    <w:rsid w:val="001A65E3"/>
    <w:rsid w:val="001A6605"/>
    <w:rsid w:val="001A6614"/>
    <w:rsid w:val="001A66B9"/>
    <w:rsid w:val="001A6702"/>
    <w:rsid w:val="001A682D"/>
    <w:rsid w:val="001A68B9"/>
    <w:rsid w:val="001A6969"/>
    <w:rsid w:val="001A69C2"/>
    <w:rsid w:val="001A69C6"/>
    <w:rsid w:val="001A6A06"/>
    <w:rsid w:val="001A6ACE"/>
    <w:rsid w:val="001A6B8D"/>
    <w:rsid w:val="001A6CAA"/>
    <w:rsid w:val="001A6D7E"/>
    <w:rsid w:val="001A6DFE"/>
    <w:rsid w:val="001A6E41"/>
    <w:rsid w:val="001A6F56"/>
    <w:rsid w:val="001A6F71"/>
    <w:rsid w:val="001A6F82"/>
    <w:rsid w:val="001A6FDC"/>
    <w:rsid w:val="001A701C"/>
    <w:rsid w:val="001A7100"/>
    <w:rsid w:val="001A72E5"/>
    <w:rsid w:val="001A7323"/>
    <w:rsid w:val="001A732E"/>
    <w:rsid w:val="001A7486"/>
    <w:rsid w:val="001A74AD"/>
    <w:rsid w:val="001A7512"/>
    <w:rsid w:val="001A75BC"/>
    <w:rsid w:val="001A75FE"/>
    <w:rsid w:val="001A7707"/>
    <w:rsid w:val="001A7749"/>
    <w:rsid w:val="001A7762"/>
    <w:rsid w:val="001A782C"/>
    <w:rsid w:val="001A7840"/>
    <w:rsid w:val="001A7896"/>
    <w:rsid w:val="001A79C8"/>
    <w:rsid w:val="001A7A24"/>
    <w:rsid w:val="001A7A39"/>
    <w:rsid w:val="001A7B07"/>
    <w:rsid w:val="001A7BBE"/>
    <w:rsid w:val="001A7C3A"/>
    <w:rsid w:val="001A7CFC"/>
    <w:rsid w:val="001A7D07"/>
    <w:rsid w:val="001A7D63"/>
    <w:rsid w:val="001A7D7C"/>
    <w:rsid w:val="001A7E9E"/>
    <w:rsid w:val="001A7EE9"/>
    <w:rsid w:val="001A7F3C"/>
    <w:rsid w:val="001B0059"/>
    <w:rsid w:val="001B01C1"/>
    <w:rsid w:val="001B0297"/>
    <w:rsid w:val="001B0348"/>
    <w:rsid w:val="001B050D"/>
    <w:rsid w:val="001B0629"/>
    <w:rsid w:val="001B06C3"/>
    <w:rsid w:val="001B06FE"/>
    <w:rsid w:val="001B0889"/>
    <w:rsid w:val="001B08B5"/>
    <w:rsid w:val="001B0910"/>
    <w:rsid w:val="001B0B93"/>
    <w:rsid w:val="001B0C20"/>
    <w:rsid w:val="001B0F14"/>
    <w:rsid w:val="001B0F78"/>
    <w:rsid w:val="001B1066"/>
    <w:rsid w:val="001B107C"/>
    <w:rsid w:val="001B10B3"/>
    <w:rsid w:val="001B10CB"/>
    <w:rsid w:val="001B11DA"/>
    <w:rsid w:val="001B13AB"/>
    <w:rsid w:val="001B13BD"/>
    <w:rsid w:val="001B14EF"/>
    <w:rsid w:val="001B14FD"/>
    <w:rsid w:val="001B1562"/>
    <w:rsid w:val="001B15F2"/>
    <w:rsid w:val="001B16A1"/>
    <w:rsid w:val="001B16E2"/>
    <w:rsid w:val="001B1932"/>
    <w:rsid w:val="001B1946"/>
    <w:rsid w:val="001B1B02"/>
    <w:rsid w:val="001B1B50"/>
    <w:rsid w:val="001B1BD2"/>
    <w:rsid w:val="001B1BDE"/>
    <w:rsid w:val="001B1CDB"/>
    <w:rsid w:val="001B1D9D"/>
    <w:rsid w:val="001B1DE9"/>
    <w:rsid w:val="001B1E05"/>
    <w:rsid w:val="001B1E43"/>
    <w:rsid w:val="001B1F06"/>
    <w:rsid w:val="001B1F1B"/>
    <w:rsid w:val="001B1F7F"/>
    <w:rsid w:val="001B1FEC"/>
    <w:rsid w:val="001B202F"/>
    <w:rsid w:val="001B207B"/>
    <w:rsid w:val="001B2158"/>
    <w:rsid w:val="001B23CB"/>
    <w:rsid w:val="001B23EC"/>
    <w:rsid w:val="001B2470"/>
    <w:rsid w:val="001B2588"/>
    <w:rsid w:val="001B2731"/>
    <w:rsid w:val="001B276B"/>
    <w:rsid w:val="001B280A"/>
    <w:rsid w:val="001B290B"/>
    <w:rsid w:val="001B2912"/>
    <w:rsid w:val="001B2959"/>
    <w:rsid w:val="001B2A7F"/>
    <w:rsid w:val="001B2A99"/>
    <w:rsid w:val="001B2B83"/>
    <w:rsid w:val="001B2BE2"/>
    <w:rsid w:val="001B2C45"/>
    <w:rsid w:val="001B2E18"/>
    <w:rsid w:val="001B2F2F"/>
    <w:rsid w:val="001B2FEC"/>
    <w:rsid w:val="001B3026"/>
    <w:rsid w:val="001B3168"/>
    <w:rsid w:val="001B31C9"/>
    <w:rsid w:val="001B33C1"/>
    <w:rsid w:val="001B33FD"/>
    <w:rsid w:val="001B3409"/>
    <w:rsid w:val="001B3468"/>
    <w:rsid w:val="001B3593"/>
    <w:rsid w:val="001B35AB"/>
    <w:rsid w:val="001B3640"/>
    <w:rsid w:val="001B381A"/>
    <w:rsid w:val="001B38BE"/>
    <w:rsid w:val="001B3962"/>
    <w:rsid w:val="001B39F1"/>
    <w:rsid w:val="001B3AB2"/>
    <w:rsid w:val="001B3BC2"/>
    <w:rsid w:val="001B3C8C"/>
    <w:rsid w:val="001B3C9C"/>
    <w:rsid w:val="001B3D3D"/>
    <w:rsid w:val="001B3D56"/>
    <w:rsid w:val="001B3E5B"/>
    <w:rsid w:val="001B3F12"/>
    <w:rsid w:val="001B3FBC"/>
    <w:rsid w:val="001B3FEE"/>
    <w:rsid w:val="001B4028"/>
    <w:rsid w:val="001B410E"/>
    <w:rsid w:val="001B41A6"/>
    <w:rsid w:val="001B43B0"/>
    <w:rsid w:val="001B4439"/>
    <w:rsid w:val="001B4723"/>
    <w:rsid w:val="001B4741"/>
    <w:rsid w:val="001B47F4"/>
    <w:rsid w:val="001B490A"/>
    <w:rsid w:val="001B4B43"/>
    <w:rsid w:val="001B4B48"/>
    <w:rsid w:val="001B4B91"/>
    <w:rsid w:val="001B4D48"/>
    <w:rsid w:val="001B4F57"/>
    <w:rsid w:val="001B502F"/>
    <w:rsid w:val="001B517E"/>
    <w:rsid w:val="001B518A"/>
    <w:rsid w:val="001B525D"/>
    <w:rsid w:val="001B5264"/>
    <w:rsid w:val="001B53B6"/>
    <w:rsid w:val="001B55C5"/>
    <w:rsid w:val="001B561D"/>
    <w:rsid w:val="001B576C"/>
    <w:rsid w:val="001B5796"/>
    <w:rsid w:val="001B57C2"/>
    <w:rsid w:val="001B58C4"/>
    <w:rsid w:val="001B5B49"/>
    <w:rsid w:val="001B5B9B"/>
    <w:rsid w:val="001B5BC3"/>
    <w:rsid w:val="001B5C31"/>
    <w:rsid w:val="001B5D2A"/>
    <w:rsid w:val="001B5DB9"/>
    <w:rsid w:val="001B5E14"/>
    <w:rsid w:val="001B5E44"/>
    <w:rsid w:val="001B5E7F"/>
    <w:rsid w:val="001B5ECD"/>
    <w:rsid w:val="001B5F73"/>
    <w:rsid w:val="001B6014"/>
    <w:rsid w:val="001B60A0"/>
    <w:rsid w:val="001B60BA"/>
    <w:rsid w:val="001B6190"/>
    <w:rsid w:val="001B61BC"/>
    <w:rsid w:val="001B6255"/>
    <w:rsid w:val="001B646F"/>
    <w:rsid w:val="001B64F3"/>
    <w:rsid w:val="001B652D"/>
    <w:rsid w:val="001B675E"/>
    <w:rsid w:val="001B679D"/>
    <w:rsid w:val="001B6892"/>
    <w:rsid w:val="001B68AA"/>
    <w:rsid w:val="001B6A12"/>
    <w:rsid w:val="001B6A5A"/>
    <w:rsid w:val="001B6B8D"/>
    <w:rsid w:val="001B6C49"/>
    <w:rsid w:val="001B6CC1"/>
    <w:rsid w:val="001B6D27"/>
    <w:rsid w:val="001B6E78"/>
    <w:rsid w:val="001B6EEA"/>
    <w:rsid w:val="001B6FCD"/>
    <w:rsid w:val="001B705A"/>
    <w:rsid w:val="001B71E1"/>
    <w:rsid w:val="001B72C5"/>
    <w:rsid w:val="001B72FF"/>
    <w:rsid w:val="001B736C"/>
    <w:rsid w:val="001B73FE"/>
    <w:rsid w:val="001B7468"/>
    <w:rsid w:val="001B7487"/>
    <w:rsid w:val="001B74D1"/>
    <w:rsid w:val="001B7554"/>
    <w:rsid w:val="001B7563"/>
    <w:rsid w:val="001B761D"/>
    <w:rsid w:val="001B777B"/>
    <w:rsid w:val="001B777F"/>
    <w:rsid w:val="001B77D2"/>
    <w:rsid w:val="001B7810"/>
    <w:rsid w:val="001B78AD"/>
    <w:rsid w:val="001B7907"/>
    <w:rsid w:val="001B790C"/>
    <w:rsid w:val="001B7A02"/>
    <w:rsid w:val="001B7B22"/>
    <w:rsid w:val="001B7B47"/>
    <w:rsid w:val="001B7BD0"/>
    <w:rsid w:val="001B7BF0"/>
    <w:rsid w:val="001B7E22"/>
    <w:rsid w:val="001B7E35"/>
    <w:rsid w:val="001B7F5B"/>
    <w:rsid w:val="001B7FD5"/>
    <w:rsid w:val="001B7FE7"/>
    <w:rsid w:val="001C000F"/>
    <w:rsid w:val="001C0051"/>
    <w:rsid w:val="001C0137"/>
    <w:rsid w:val="001C014A"/>
    <w:rsid w:val="001C0166"/>
    <w:rsid w:val="001C03FC"/>
    <w:rsid w:val="001C0476"/>
    <w:rsid w:val="001C06FD"/>
    <w:rsid w:val="001C071B"/>
    <w:rsid w:val="001C0851"/>
    <w:rsid w:val="001C08C9"/>
    <w:rsid w:val="001C099C"/>
    <w:rsid w:val="001C09F2"/>
    <w:rsid w:val="001C0BA5"/>
    <w:rsid w:val="001C0BB8"/>
    <w:rsid w:val="001C0C47"/>
    <w:rsid w:val="001C0CBD"/>
    <w:rsid w:val="001C0D38"/>
    <w:rsid w:val="001C0E7C"/>
    <w:rsid w:val="001C114B"/>
    <w:rsid w:val="001C118A"/>
    <w:rsid w:val="001C123B"/>
    <w:rsid w:val="001C124C"/>
    <w:rsid w:val="001C1258"/>
    <w:rsid w:val="001C127D"/>
    <w:rsid w:val="001C12E0"/>
    <w:rsid w:val="001C140E"/>
    <w:rsid w:val="001C142D"/>
    <w:rsid w:val="001C14F0"/>
    <w:rsid w:val="001C1515"/>
    <w:rsid w:val="001C156F"/>
    <w:rsid w:val="001C1753"/>
    <w:rsid w:val="001C177B"/>
    <w:rsid w:val="001C17DC"/>
    <w:rsid w:val="001C18AB"/>
    <w:rsid w:val="001C1999"/>
    <w:rsid w:val="001C1A6E"/>
    <w:rsid w:val="001C1B84"/>
    <w:rsid w:val="001C1D6B"/>
    <w:rsid w:val="001C1DDE"/>
    <w:rsid w:val="001C1FF2"/>
    <w:rsid w:val="001C2100"/>
    <w:rsid w:val="001C2161"/>
    <w:rsid w:val="001C21A4"/>
    <w:rsid w:val="001C21E7"/>
    <w:rsid w:val="001C222C"/>
    <w:rsid w:val="001C2391"/>
    <w:rsid w:val="001C2445"/>
    <w:rsid w:val="001C24B6"/>
    <w:rsid w:val="001C255F"/>
    <w:rsid w:val="001C26F0"/>
    <w:rsid w:val="001C2710"/>
    <w:rsid w:val="001C299E"/>
    <w:rsid w:val="001C2B55"/>
    <w:rsid w:val="001C2C5A"/>
    <w:rsid w:val="001C2C5D"/>
    <w:rsid w:val="001C2D46"/>
    <w:rsid w:val="001C2D9B"/>
    <w:rsid w:val="001C2EFE"/>
    <w:rsid w:val="001C305D"/>
    <w:rsid w:val="001C30B7"/>
    <w:rsid w:val="001C312C"/>
    <w:rsid w:val="001C3222"/>
    <w:rsid w:val="001C32EE"/>
    <w:rsid w:val="001C3469"/>
    <w:rsid w:val="001C3508"/>
    <w:rsid w:val="001C3533"/>
    <w:rsid w:val="001C361D"/>
    <w:rsid w:val="001C3695"/>
    <w:rsid w:val="001C37EB"/>
    <w:rsid w:val="001C38AC"/>
    <w:rsid w:val="001C397F"/>
    <w:rsid w:val="001C39A1"/>
    <w:rsid w:val="001C3BB6"/>
    <w:rsid w:val="001C3C50"/>
    <w:rsid w:val="001C3C7B"/>
    <w:rsid w:val="001C3C7C"/>
    <w:rsid w:val="001C3C96"/>
    <w:rsid w:val="001C3CA5"/>
    <w:rsid w:val="001C3CA9"/>
    <w:rsid w:val="001C3D9D"/>
    <w:rsid w:val="001C3F08"/>
    <w:rsid w:val="001C3F4B"/>
    <w:rsid w:val="001C3F6C"/>
    <w:rsid w:val="001C3F76"/>
    <w:rsid w:val="001C4014"/>
    <w:rsid w:val="001C4093"/>
    <w:rsid w:val="001C4695"/>
    <w:rsid w:val="001C48F4"/>
    <w:rsid w:val="001C4A40"/>
    <w:rsid w:val="001C4A90"/>
    <w:rsid w:val="001C4A94"/>
    <w:rsid w:val="001C4BFA"/>
    <w:rsid w:val="001C4E7A"/>
    <w:rsid w:val="001C4E8D"/>
    <w:rsid w:val="001C507D"/>
    <w:rsid w:val="001C5199"/>
    <w:rsid w:val="001C51A0"/>
    <w:rsid w:val="001C520D"/>
    <w:rsid w:val="001C52E2"/>
    <w:rsid w:val="001C5338"/>
    <w:rsid w:val="001C5503"/>
    <w:rsid w:val="001C550D"/>
    <w:rsid w:val="001C555C"/>
    <w:rsid w:val="001C5642"/>
    <w:rsid w:val="001C56EE"/>
    <w:rsid w:val="001C5817"/>
    <w:rsid w:val="001C5896"/>
    <w:rsid w:val="001C5901"/>
    <w:rsid w:val="001C59A0"/>
    <w:rsid w:val="001C59AD"/>
    <w:rsid w:val="001C59F1"/>
    <w:rsid w:val="001C5A1D"/>
    <w:rsid w:val="001C5ABF"/>
    <w:rsid w:val="001C5AD3"/>
    <w:rsid w:val="001C5BF1"/>
    <w:rsid w:val="001C5E31"/>
    <w:rsid w:val="001C5EEA"/>
    <w:rsid w:val="001C5EEF"/>
    <w:rsid w:val="001C5F60"/>
    <w:rsid w:val="001C6024"/>
    <w:rsid w:val="001C60DA"/>
    <w:rsid w:val="001C6108"/>
    <w:rsid w:val="001C611A"/>
    <w:rsid w:val="001C61C3"/>
    <w:rsid w:val="001C6246"/>
    <w:rsid w:val="001C6263"/>
    <w:rsid w:val="001C63D3"/>
    <w:rsid w:val="001C652B"/>
    <w:rsid w:val="001C653A"/>
    <w:rsid w:val="001C657B"/>
    <w:rsid w:val="001C660B"/>
    <w:rsid w:val="001C6641"/>
    <w:rsid w:val="001C670C"/>
    <w:rsid w:val="001C6785"/>
    <w:rsid w:val="001C6B24"/>
    <w:rsid w:val="001C6B44"/>
    <w:rsid w:val="001C6C41"/>
    <w:rsid w:val="001C6DD9"/>
    <w:rsid w:val="001C6DFF"/>
    <w:rsid w:val="001C6E3A"/>
    <w:rsid w:val="001C6F5E"/>
    <w:rsid w:val="001C6FAD"/>
    <w:rsid w:val="001C7261"/>
    <w:rsid w:val="001C72B2"/>
    <w:rsid w:val="001C72E0"/>
    <w:rsid w:val="001C7342"/>
    <w:rsid w:val="001C7370"/>
    <w:rsid w:val="001C7466"/>
    <w:rsid w:val="001C7553"/>
    <w:rsid w:val="001C768B"/>
    <w:rsid w:val="001C76E1"/>
    <w:rsid w:val="001C7768"/>
    <w:rsid w:val="001C7855"/>
    <w:rsid w:val="001C79CA"/>
    <w:rsid w:val="001C7AEA"/>
    <w:rsid w:val="001C7BA8"/>
    <w:rsid w:val="001C7BDA"/>
    <w:rsid w:val="001C7D18"/>
    <w:rsid w:val="001C7EAA"/>
    <w:rsid w:val="001C7F74"/>
    <w:rsid w:val="001D00C2"/>
    <w:rsid w:val="001D028B"/>
    <w:rsid w:val="001D03BF"/>
    <w:rsid w:val="001D0525"/>
    <w:rsid w:val="001D054D"/>
    <w:rsid w:val="001D05B6"/>
    <w:rsid w:val="001D0603"/>
    <w:rsid w:val="001D0633"/>
    <w:rsid w:val="001D0699"/>
    <w:rsid w:val="001D070A"/>
    <w:rsid w:val="001D0733"/>
    <w:rsid w:val="001D07AE"/>
    <w:rsid w:val="001D091F"/>
    <w:rsid w:val="001D095B"/>
    <w:rsid w:val="001D0A8E"/>
    <w:rsid w:val="001D0D5F"/>
    <w:rsid w:val="001D0E8F"/>
    <w:rsid w:val="001D0ED0"/>
    <w:rsid w:val="001D0F60"/>
    <w:rsid w:val="001D1096"/>
    <w:rsid w:val="001D122F"/>
    <w:rsid w:val="001D12C2"/>
    <w:rsid w:val="001D146C"/>
    <w:rsid w:val="001D14DF"/>
    <w:rsid w:val="001D166B"/>
    <w:rsid w:val="001D1725"/>
    <w:rsid w:val="001D1769"/>
    <w:rsid w:val="001D17B6"/>
    <w:rsid w:val="001D17EF"/>
    <w:rsid w:val="001D17F1"/>
    <w:rsid w:val="001D1819"/>
    <w:rsid w:val="001D1867"/>
    <w:rsid w:val="001D18E4"/>
    <w:rsid w:val="001D1912"/>
    <w:rsid w:val="001D1922"/>
    <w:rsid w:val="001D1CA2"/>
    <w:rsid w:val="001D1D86"/>
    <w:rsid w:val="001D1DAB"/>
    <w:rsid w:val="001D1DF7"/>
    <w:rsid w:val="001D1E6D"/>
    <w:rsid w:val="001D1E77"/>
    <w:rsid w:val="001D1ECB"/>
    <w:rsid w:val="001D2024"/>
    <w:rsid w:val="001D2083"/>
    <w:rsid w:val="001D20C5"/>
    <w:rsid w:val="001D20E1"/>
    <w:rsid w:val="001D216A"/>
    <w:rsid w:val="001D21A6"/>
    <w:rsid w:val="001D22F6"/>
    <w:rsid w:val="001D26CF"/>
    <w:rsid w:val="001D26F1"/>
    <w:rsid w:val="001D27BC"/>
    <w:rsid w:val="001D2844"/>
    <w:rsid w:val="001D28E1"/>
    <w:rsid w:val="001D299A"/>
    <w:rsid w:val="001D29A6"/>
    <w:rsid w:val="001D29DA"/>
    <w:rsid w:val="001D2AC4"/>
    <w:rsid w:val="001D2BB1"/>
    <w:rsid w:val="001D2D5D"/>
    <w:rsid w:val="001D2D91"/>
    <w:rsid w:val="001D2DFF"/>
    <w:rsid w:val="001D2EBB"/>
    <w:rsid w:val="001D3070"/>
    <w:rsid w:val="001D313D"/>
    <w:rsid w:val="001D3341"/>
    <w:rsid w:val="001D3394"/>
    <w:rsid w:val="001D33D4"/>
    <w:rsid w:val="001D35BA"/>
    <w:rsid w:val="001D37F0"/>
    <w:rsid w:val="001D3829"/>
    <w:rsid w:val="001D38C6"/>
    <w:rsid w:val="001D3902"/>
    <w:rsid w:val="001D3A98"/>
    <w:rsid w:val="001D3D49"/>
    <w:rsid w:val="001D3D5E"/>
    <w:rsid w:val="001D3DA3"/>
    <w:rsid w:val="001D3E73"/>
    <w:rsid w:val="001D3EA8"/>
    <w:rsid w:val="001D41C1"/>
    <w:rsid w:val="001D41C9"/>
    <w:rsid w:val="001D424A"/>
    <w:rsid w:val="001D42D5"/>
    <w:rsid w:val="001D4350"/>
    <w:rsid w:val="001D4417"/>
    <w:rsid w:val="001D441D"/>
    <w:rsid w:val="001D4511"/>
    <w:rsid w:val="001D46F1"/>
    <w:rsid w:val="001D4860"/>
    <w:rsid w:val="001D4924"/>
    <w:rsid w:val="001D49F9"/>
    <w:rsid w:val="001D49FB"/>
    <w:rsid w:val="001D4A39"/>
    <w:rsid w:val="001D4A3C"/>
    <w:rsid w:val="001D4A3E"/>
    <w:rsid w:val="001D4A88"/>
    <w:rsid w:val="001D4B06"/>
    <w:rsid w:val="001D4B2B"/>
    <w:rsid w:val="001D4C63"/>
    <w:rsid w:val="001D4CBC"/>
    <w:rsid w:val="001D4CF3"/>
    <w:rsid w:val="001D4DAD"/>
    <w:rsid w:val="001D4DEB"/>
    <w:rsid w:val="001D4E12"/>
    <w:rsid w:val="001D4F3C"/>
    <w:rsid w:val="001D502B"/>
    <w:rsid w:val="001D50FF"/>
    <w:rsid w:val="001D513A"/>
    <w:rsid w:val="001D517B"/>
    <w:rsid w:val="001D52A9"/>
    <w:rsid w:val="001D5325"/>
    <w:rsid w:val="001D5360"/>
    <w:rsid w:val="001D5442"/>
    <w:rsid w:val="001D54D3"/>
    <w:rsid w:val="001D552B"/>
    <w:rsid w:val="001D55FE"/>
    <w:rsid w:val="001D56E4"/>
    <w:rsid w:val="001D5723"/>
    <w:rsid w:val="001D5765"/>
    <w:rsid w:val="001D57E3"/>
    <w:rsid w:val="001D5860"/>
    <w:rsid w:val="001D5B34"/>
    <w:rsid w:val="001D5BF1"/>
    <w:rsid w:val="001D5C34"/>
    <w:rsid w:val="001D5C6F"/>
    <w:rsid w:val="001D5E4F"/>
    <w:rsid w:val="001D5F16"/>
    <w:rsid w:val="001D5F47"/>
    <w:rsid w:val="001D5FCA"/>
    <w:rsid w:val="001D6042"/>
    <w:rsid w:val="001D60CE"/>
    <w:rsid w:val="001D60F6"/>
    <w:rsid w:val="001D61B4"/>
    <w:rsid w:val="001D62C0"/>
    <w:rsid w:val="001D6381"/>
    <w:rsid w:val="001D63B1"/>
    <w:rsid w:val="001D63D3"/>
    <w:rsid w:val="001D6445"/>
    <w:rsid w:val="001D6537"/>
    <w:rsid w:val="001D658C"/>
    <w:rsid w:val="001D67AC"/>
    <w:rsid w:val="001D6A71"/>
    <w:rsid w:val="001D6B31"/>
    <w:rsid w:val="001D6D54"/>
    <w:rsid w:val="001D6DA2"/>
    <w:rsid w:val="001D6E03"/>
    <w:rsid w:val="001D6E15"/>
    <w:rsid w:val="001D6EB1"/>
    <w:rsid w:val="001D6F1E"/>
    <w:rsid w:val="001D7125"/>
    <w:rsid w:val="001D7143"/>
    <w:rsid w:val="001D7176"/>
    <w:rsid w:val="001D7271"/>
    <w:rsid w:val="001D72DE"/>
    <w:rsid w:val="001D735B"/>
    <w:rsid w:val="001D73CA"/>
    <w:rsid w:val="001D73DC"/>
    <w:rsid w:val="001D7521"/>
    <w:rsid w:val="001D75F7"/>
    <w:rsid w:val="001D76B1"/>
    <w:rsid w:val="001D77B0"/>
    <w:rsid w:val="001D7844"/>
    <w:rsid w:val="001D7925"/>
    <w:rsid w:val="001D7C7D"/>
    <w:rsid w:val="001D7D14"/>
    <w:rsid w:val="001D7D40"/>
    <w:rsid w:val="001D7D43"/>
    <w:rsid w:val="001D7F81"/>
    <w:rsid w:val="001D7F8F"/>
    <w:rsid w:val="001E00F4"/>
    <w:rsid w:val="001E0131"/>
    <w:rsid w:val="001E01EA"/>
    <w:rsid w:val="001E0344"/>
    <w:rsid w:val="001E04BE"/>
    <w:rsid w:val="001E05CC"/>
    <w:rsid w:val="001E05E4"/>
    <w:rsid w:val="001E067E"/>
    <w:rsid w:val="001E0689"/>
    <w:rsid w:val="001E070A"/>
    <w:rsid w:val="001E0777"/>
    <w:rsid w:val="001E07B2"/>
    <w:rsid w:val="001E07C7"/>
    <w:rsid w:val="001E097C"/>
    <w:rsid w:val="001E0980"/>
    <w:rsid w:val="001E09BC"/>
    <w:rsid w:val="001E09F9"/>
    <w:rsid w:val="001E0A4F"/>
    <w:rsid w:val="001E0B01"/>
    <w:rsid w:val="001E0B35"/>
    <w:rsid w:val="001E0BE1"/>
    <w:rsid w:val="001E0C4B"/>
    <w:rsid w:val="001E0D3D"/>
    <w:rsid w:val="001E0D7E"/>
    <w:rsid w:val="001E0F4B"/>
    <w:rsid w:val="001E0FDD"/>
    <w:rsid w:val="001E1039"/>
    <w:rsid w:val="001E1082"/>
    <w:rsid w:val="001E10BA"/>
    <w:rsid w:val="001E12BF"/>
    <w:rsid w:val="001E12C3"/>
    <w:rsid w:val="001E12CD"/>
    <w:rsid w:val="001E1401"/>
    <w:rsid w:val="001E14BF"/>
    <w:rsid w:val="001E1515"/>
    <w:rsid w:val="001E1531"/>
    <w:rsid w:val="001E15FA"/>
    <w:rsid w:val="001E1623"/>
    <w:rsid w:val="001E1673"/>
    <w:rsid w:val="001E172E"/>
    <w:rsid w:val="001E17C5"/>
    <w:rsid w:val="001E1865"/>
    <w:rsid w:val="001E18B9"/>
    <w:rsid w:val="001E1931"/>
    <w:rsid w:val="001E1954"/>
    <w:rsid w:val="001E19CD"/>
    <w:rsid w:val="001E1AB0"/>
    <w:rsid w:val="001E1B92"/>
    <w:rsid w:val="001E1BD2"/>
    <w:rsid w:val="001E1C54"/>
    <w:rsid w:val="001E1E1C"/>
    <w:rsid w:val="001E1E27"/>
    <w:rsid w:val="001E1ED5"/>
    <w:rsid w:val="001E1FC8"/>
    <w:rsid w:val="001E2138"/>
    <w:rsid w:val="001E220F"/>
    <w:rsid w:val="001E229E"/>
    <w:rsid w:val="001E233B"/>
    <w:rsid w:val="001E24E9"/>
    <w:rsid w:val="001E2571"/>
    <w:rsid w:val="001E26BC"/>
    <w:rsid w:val="001E2724"/>
    <w:rsid w:val="001E2919"/>
    <w:rsid w:val="001E2990"/>
    <w:rsid w:val="001E2C09"/>
    <w:rsid w:val="001E2CD8"/>
    <w:rsid w:val="001E2D2B"/>
    <w:rsid w:val="001E2D6F"/>
    <w:rsid w:val="001E2F7B"/>
    <w:rsid w:val="001E3109"/>
    <w:rsid w:val="001E31D2"/>
    <w:rsid w:val="001E342F"/>
    <w:rsid w:val="001E34F8"/>
    <w:rsid w:val="001E355B"/>
    <w:rsid w:val="001E355D"/>
    <w:rsid w:val="001E358E"/>
    <w:rsid w:val="001E35C7"/>
    <w:rsid w:val="001E3661"/>
    <w:rsid w:val="001E36FA"/>
    <w:rsid w:val="001E370A"/>
    <w:rsid w:val="001E3838"/>
    <w:rsid w:val="001E3971"/>
    <w:rsid w:val="001E3991"/>
    <w:rsid w:val="001E39A4"/>
    <w:rsid w:val="001E3C23"/>
    <w:rsid w:val="001E3C89"/>
    <w:rsid w:val="001E3CAC"/>
    <w:rsid w:val="001E3D94"/>
    <w:rsid w:val="001E3DE0"/>
    <w:rsid w:val="001E4032"/>
    <w:rsid w:val="001E40AA"/>
    <w:rsid w:val="001E429B"/>
    <w:rsid w:val="001E4367"/>
    <w:rsid w:val="001E44F2"/>
    <w:rsid w:val="001E4691"/>
    <w:rsid w:val="001E4770"/>
    <w:rsid w:val="001E48B1"/>
    <w:rsid w:val="001E4995"/>
    <w:rsid w:val="001E49F0"/>
    <w:rsid w:val="001E4D27"/>
    <w:rsid w:val="001E4ED1"/>
    <w:rsid w:val="001E5075"/>
    <w:rsid w:val="001E51FB"/>
    <w:rsid w:val="001E52C1"/>
    <w:rsid w:val="001E52C8"/>
    <w:rsid w:val="001E5360"/>
    <w:rsid w:val="001E54BB"/>
    <w:rsid w:val="001E5568"/>
    <w:rsid w:val="001E5619"/>
    <w:rsid w:val="001E5642"/>
    <w:rsid w:val="001E56A9"/>
    <w:rsid w:val="001E57FE"/>
    <w:rsid w:val="001E5897"/>
    <w:rsid w:val="001E5915"/>
    <w:rsid w:val="001E5954"/>
    <w:rsid w:val="001E5B3E"/>
    <w:rsid w:val="001E5BDA"/>
    <w:rsid w:val="001E5CD7"/>
    <w:rsid w:val="001E5E0B"/>
    <w:rsid w:val="001E5E59"/>
    <w:rsid w:val="001E5ED8"/>
    <w:rsid w:val="001E5F46"/>
    <w:rsid w:val="001E5FF3"/>
    <w:rsid w:val="001E606A"/>
    <w:rsid w:val="001E6232"/>
    <w:rsid w:val="001E62B1"/>
    <w:rsid w:val="001E6361"/>
    <w:rsid w:val="001E6482"/>
    <w:rsid w:val="001E67BD"/>
    <w:rsid w:val="001E686F"/>
    <w:rsid w:val="001E688B"/>
    <w:rsid w:val="001E6915"/>
    <w:rsid w:val="001E69AE"/>
    <w:rsid w:val="001E69F5"/>
    <w:rsid w:val="001E6A78"/>
    <w:rsid w:val="001E6AFD"/>
    <w:rsid w:val="001E6B00"/>
    <w:rsid w:val="001E6B09"/>
    <w:rsid w:val="001E6B2B"/>
    <w:rsid w:val="001E6B9F"/>
    <w:rsid w:val="001E6BB9"/>
    <w:rsid w:val="001E6CAC"/>
    <w:rsid w:val="001E6D7F"/>
    <w:rsid w:val="001E6DE2"/>
    <w:rsid w:val="001E6E5C"/>
    <w:rsid w:val="001E6E76"/>
    <w:rsid w:val="001E6EE3"/>
    <w:rsid w:val="001E6EF9"/>
    <w:rsid w:val="001E7089"/>
    <w:rsid w:val="001E70F9"/>
    <w:rsid w:val="001E710B"/>
    <w:rsid w:val="001E7180"/>
    <w:rsid w:val="001E7473"/>
    <w:rsid w:val="001E7497"/>
    <w:rsid w:val="001E76C4"/>
    <w:rsid w:val="001E77DD"/>
    <w:rsid w:val="001E78F7"/>
    <w:rsid w:val="001E794B"/>
    <w:rsid w:val="001E79A3"/>
    <w:rsid w:val="001E7A99"/>
    <w:rsid w:val="001E7AB2"/>
    <w:rsid w:val="001E7B8F"/>
    <w:rsid w:val="001E7C5A"/>
    <w:rsid w:val="001E7C7E"/>
    <w:rsid w:val="001E7CC0"/>
    <w:rsid w:val="001E7D43"/>
    <w:rsid w:val="001E7DC6"/>
    <w:rsid w:val="001E7DF6"/>
    <w:rsid w:val="001E7E05"/>
    <w:rsid w:val="001E7E4A"/>
    <w:rsid w:val="001E7E51"/>
    <w:rsid w:val="001E7E57"/>
    <w:rsid w:val="001E7E6A"/>
    <w:rsid w:val="001E7EED"/>
    <w:rsid w:val="001E7F8C"/>
    <w:rsid w:val="001E7FA1"/>
    <w:rsid w:val="001F0019"/>
    <w:rsid w:val="001F003D"/>
    <w:rsid w:val="001F007E"/>
    <w:rsid w:val="001F0166"/>
    <w:rsid w:val="001F0186"/>
    <w:rsid w:val="001F0189"/>
    <w:rsid w:val="001F019E"/>
    <w:rsid w:val="001F01EA"/>
    <w:rsid w:val="001F0224"/>
    <w:rsid w:val="001F02FC"/>
    <w:rsid w:val="001F03A8"/>
    <w:rsid w:val="001F03E3"/>
    <w:rsid w:val="001F03F7"/>
    <w:rsid w:val="001F0417"/>
    <w:rsid w:val="001F0495"/>
    <w:rsid w:val="001F0528"/>
    <w:rsid w:val="001F0577"/>
    <w:rsid w:val="001F05A3"/>
    <w:rsid w:val="001F05D6"/>
    <w:rsid w:val="001F0722"/>
    <w:rsid w:val="001F07E1"/>
    <w:rsid w:val="001F08F9"/>
    <w:rsid w:val="001F09A6"/>
    <w:rsid w:val="001F0BBE"/>
    <w:rsid w:val="001F0CE5"/>
    <w:rsid w:val="001F0DAA"/>
    <w:rsid w:val="001F0DDD"/>
    <w:rsid w:val="001F0E86"/>
    <w:rsid w:val="001F0ECE"/>
    <w:rsid w:val="001F104C"/>
    <w:rsid w:val="001F10F8"/>
    <w:rsid w:val="001F1101"/>
    <w:rsid w:val="001F11A3"/>
    <w:rsid w:val="001F1320"/>
    <w:rsid w:val="001F137E"/>
    <w:rsid w:val="001F13B2"/>
    <w:rsid w:val="001F1441"/>
    <w:rsid w:val="001F14D2"/>
    <w:rsid w:val="001F14FE"/>
    <w:rsid w:val="001F1552"/>
    <w:rsid w:val="001F15EF"/>
    <w:rsid w:val="001F19BA"/>
    <w:rsid w:val="001F1B2A"/>
    <w:rsid w:val="001F1C33"/>
    <w:rsid w:val="001F1C41"/>
    <w:rsid w:val="001F1C63"/>
    <w:rsid w:val="001F1CDC"/>
    <w:rsid w:val="001F1CFE"/>
    <w:rsid w:val="001F1DE3"/>
    <w:rsid w:val="001F1E5F"/>
    <w:rsid w:val="001F1E9A"/>
    <w:rsid w:val="001F201A"/>
    <w:rsid w:val="001F2037"/>
    <w:rsid w:val="001F203D"/>
    <w:rsid w:val="001F2164"/>
    <w:rsid w:val="001F2213"/>
    <w:rsid w:val="001F241A"/>
    <w:rsid w:val="001F24B0"/>
    <w:rsid w:val="001F24BB"/>
    <w:rsid w:val="001F2629"/>
    <w:rsid w:val="001F269A"/>
    <w:rsid w:val="001F27B0"/>
    <w:rsid w:val="001F2A18"/>
    <w:rsid w:val="001F2AC7"/>
    <w:rsid w:val="001F2B31"/>
    <w:rsid w:val="001F2B57"/>
    <w:rsid w:val="001F2BC4"/>
    <w:rsid w:val="001F2C14"/>
    <w:rsid w:val="001F2DB0"/>
    <w:rsid w:val="001F2ED8"/>
    <w:rsid w:val="001F2EE0"/>
    <w:rsid w:val="001F2F20"/>
    <w:rsid w:val="001F2F2A"/>
    <w:rsid w:val="001F2F3F"/>
    <w:rsid w:val="001F2F51"/>
    <w:rsid w:val="001F300B"/>
    <w:rsid w:val="001F3012"/>
    <w:rsid w:val="001F3122"/>
    <w:rsid w:val="001F31CF"/>
    <w:rsid w:val="001F3279"/>
    <w:rsid w:val="001F32D1"/>
    <w:rsid w:val="001F338B"/>
    <w:rsid w:val="001F33B6"/>
    <w:rsid w:val="001F33D0"/>
    <w:rsid w:val="001F3457"/>
    <w:rsid w:val="001F34BF"/>
    <w:rsid w:val="001F3537"/>
    <w:rsid w:val="001F35B5"/>
    <w:rsid w:val="001F3706"/>
    <w:rsid w:val="001F377E"/>
    <w:rsid w:val="001F3829"/>
    <w:rsid w:val="001F39B0"/>
    <w:rsid w:val="001F3BC9"/>
    <w:rsid w:val="001F3BE4"/>
    <w:rsid w:val="001F3C01"/>
    <w:rsid w:val="001F3C62"/>
    <w:rsid w:val="001F3D3A"/>
    <w:rsid w:val="001F3DF1"/>
    <w:rsid w:val="001F3E05"/>
    <w:rsid w:val="001F3EED"/>
    <w:rsid w:val="001F41E4"/>
    <w:rsid w:val="001F41EE"/>
    <w:rsid w:val="001F4437"/>
    <w:rsid w:val="001F447F"/>
    <w:rsid w:val="001F44D3"/>
    <w:rsid w:val="001F4606"/>
    <w:rsid w:val="001F47BB"/>
    <w:rsid w:val="001F483F"/>
    <w:rsid w:val="001F4A46"/>
    <w:rsid w:val="001F4AD6"/>
    <w:rsid w:val="001F4B88"/>
    <w:rsid w:val="001F4BD7"/>
    <w:rsid w:val="001F4BE0"/>
    <w:rsid w:val="001F4C19"/>
    <w:rsid w:val="001F4CFF"/>
    <w:rsid w:val="001F4DDB"/>
    <w:rsid w:val="001F502F"/>
    <w:rsid w:val="001F5126"/>
    <w:rsid w:val="001F5217"/>
    <w:rsid w:val="001F5227"/>
    <w:rsid w:val="001F5231"/>
    <w:rsid w:val="001F53C9"/>
    <w:rsid w:val="001F549A"/>
    <w:rsid w:val="001F5560"/>
    <w:rsid w:val="001F55E8"/>
    <w:rsid w:val="001F5842"/>
    <w:rsid w:val="001F5997"/>
    <w:rsid w:val="001F5ADA"/>
    <w:rsid w:val="001F5B22"/>
    <w:rsid w:val="001F5BB1"/>
    <w:rsid w:val="001F5BB7"/>
    <w:rsid w:val="001F5C30"/>
    <w:rsid w:val="001F5EB6"/>
    <w:rsid w:val="001F5F3A"/>
    <w:rsid w:val="001F62E0"/>
    <w:rsid w:val="001F63A2"/>
    <w:rsid w:val="001F653C"/>
    <w:rsid w:val="001F65CB"/>
    <w:rsid w:val="001F65E4"/>
    <w:rsid w:val="001F667C"/>
    <w:rsid w:val="001F672B"/>
    <w:rsid w:val="001F672C"/>
    <w:rsid w:val="001F675D"/>
    <w:rsid w:val="001F68F3"/>
    <w:rsid w:val="001F692E"/>
    <w:rsid w:val="001F69C2"/>
    <w:rsid w:val="001F6A0A"/>
    <w:rsid w:val="001F6AB5"/>
    <w:rsid w:val="001F6B16"/>
    <w:rsid w:val="001F6B20"/>
    <w:rsid w:val="001F6C18"/>
    <w:rsid w:val="001F6C91"/>
    <w:rsid w:val="001F6CBB"/>
    <w:rsid w:val="001F6D61"/>
    <w:rsid w:val="001F7050"/>
    <w:rsid w:val="001F7082"/>
    <w:rsid w:val="001F70A0"/>
    <w:rsid w:val="001F7292"/>
    <w:rsid w:val="001F72B8"/>
    <w:rsid w:val="001F72F6"/>
    <w:rsid w:val="001F7482"/>
    <w:rsid w:val="001F7546"/>
    <w:rsid w:val="001F7576"/>
    <w:rsid w:val="001F757A"/>
    <w:rsid w:val="001F76BC"/>
    <w:rsid w:val="001F7853"/>
    <w:rsid w:val="001F789A"/>
    <w:rsid w:val="001F7AF0"/>
    <w:rsid w:val="001F7C51"/>
    <w:rsid w:val="001F7D66"/>
    <w:rsid w:val="001F7D7D"/>
    <w:rsid w:val="00200029"/>
    <w:rsid w:val="00200110"/>
    <w:rsid w:val="0020019A"/>
    <w:rsid w:val="002001AA"/>
    <w:rsid w:val="00200271"/>
    <w:rsid w:val="002002C8"/>
    <w:rsid w:val="002002E0"/>
    <w:rsid w:val="0020037C"/>
    <w:rsid w:val="002004E6"/>
    <w:rsid w:val="00200538"/>
    <w:rsid w:val="002005CF"/>
    <w:rsid w:val="0020061B"/>
    <w:rsid w:val="00200666"/>
    <w:rsid w:val="00200850"/>
    <w:rsid w:val="00200868"/>
    <w:rsid w:val="0020086C"/>
    <w:rsid w:val="0020091B"/>
    <w:rsid w:val="00200933"/>
    <w:rsid w:val="00200972"/>
    <w:rsid w:val="00200A2A"/>
    <w:rsid w:val="00200AD0"/>
    <w:rsid w:val="00200D32"/>
    <w:rsid w:val="00200D69"/>
    <w:rsid w:val="00200ECD"/>
    <w:rsid w:val="00201005"/>
    <w:rsid w:val="00201166"/>
    <w:rsid w:val="002011AE"/>
    <w:rsid w:val="002011D3"/>
    <w:rsid w:val="00201565"/>
    <w:rsid w:val="002015B9"/>
    <w:rsid w:val="002015F8"/>
    <w:rsid w:val="002015FD"/>
    <w:rsid w:val="002016E2"/>
    <w:rsid w:val="00201715"/>
    <w:rsid w:val="00201739"/>
    <w:rsid w:val="00201934"/>
    <w:rsid w:val="002019F2"/>
    <w:rsid w:val="00201ACD"/>
    <w:rsid w:val="00201DA6"/>
    <w:rsid w:val="00201E8A"/>
    <w:rsid w:val="00201EAD"/>
    <w:rsid w:val="00201F5E"/>
    <w:rsid w:val="00201FCB"/>
    <w:rsid w:val="002020DD"/>
    <w:rsid w:val="0020211E"/>
    <w:rsid w:val="002021F6"/>
    <w:rsid w:val="0020223E"/>
    <w:rsid w:val="002022CA"/>
    <w:rsid w:val="00202409"/>
    <w:rsid w:val="0020242D"/>
    <w:rsid w:val="0020248D"/>
    <w:rsid w:val="002024CB"/>
    <w:rsid w:val="00202523"/>
    <w:rsid w:val="002025C4"/>
    <w:rsid w:val="0020266E"/>
    <w:rsid w:val="00202806"/>
    <w:rsid w:val="00202A4F"/>
    <w:rsid w:val="00202D2C"/>
    <w:rsid w:val="00202D3D"/>
    <w:rsid w:val="00202D6B"/>
    <w:rsid w:val="00202E64"/>
    <w:rsid w:val="00202EFB"/>
    <w:rsid w:val="00202F30"/>
    <w:rsid w:val="00202FB3"/>
    <w:rsid w:val="0020309A"/>
    <w:rsid w:val="002030C3"/>
    <w:rsid w:val="002031A1"/>
    <w:rsid w:val="00203223"/>
    <w:rsid w:val="002032A7"/>
    <w:rsid w:val="0020343A"/>
    <w:rsid w:val="0020378D"/>
    <w:rsid w:val="0020381C"/>
    <w:rsid w:val="00203900"/>
    <w:rsid w:val="0020391B"/>
    <w:rsid w:val="00203B24"/>
    <w:rsid w:val="00203C1C"/>
    <w:rsid w:val="00203CA9"/>
    <w:rsid w:val="00203CF3"/>
    <w:rsid w:val="00203D45"/>
    <w:rsid w:val="00203EC3"/>
    <w:rsid w:val="00203F56"/>
    <w:rsid w:val="00203F8E"/>
    <w:rsid w:val="002040CA"/>
    <w:rsid w:val="0020410D"/>
    <w:rsid w:val="00204135"/>
    <w:rsid w:val="00204180"/>
    <w:rsid w:val="002043B5"/>
    <w:rsid w:val="0020440A"/>
    <w:rsid w:val="00204421"/>
    <w:rsid w:val="002044BF"/>
    <w:rsid w:val="002045DF"/>
    <w:rsid w:val="00204766"/>
    <w:rsid w:val="0020478F"/>
    <w:rsid w:val="00204861"/>
    <w:rsid w:val="0020487E"/>
    <w:rsid w:val="00204885"/>
    <w:rsid w:val="00204A23"/>
    <w:rsid w:val="00204A35"/>
    <w:rsid w:val="00204B61"/>
    <w:rsid w:val="00204B7A"/>
    <w:rsid w:val="00204B85"/>
    <w:rsid w:val="00204C08"/>
    <w:rsid w:val="00204C14"/>
    <w:rsid w:val="00204C2A"/>
    <w:rsid w:val="00204D98"/>
    <w:rsid w:val="00204DCB"/>
    <w:rsid w:val="00204DEE"/>
    <w:rsid w:val="00204EB9"/>
    <w:rsid w:val="00204EEF"/>
    <w:rsid w:val="00204F21"/>
    <w:rsid w:val="00204F85"/>
    <w:rsid w:val="0020508A"/>
    <w:rsid w:val="002050DE"/>
    <w:rsid w:val="002050E6"/>
    <w:rsid w:val="002051E2"/>
    <w:rsid w:val="00205285"/>
    <w:rsid w:val="002052C7"/>
    <w:rsid w:val="0020541B"/>
    <w:rsid w:val="00205442"/>
    <w:rsid w:val="0020545D"/>
    <w:rsid w:val="00205493"/>
    <w:rsid w:val="0020549C"/>
    <w:rsid w:val="002054A5"/>
    <w:rsid w:val="00205947"/>
    <w:rsid w:val="00205964"/>
    <w:rsid w:val="00205A1E"/>
    <w:rsid w:val="00205A3F"/>
    <w:rsid w:val="00205C5C"/>
    <w:rsid w:val="00205CCE"/>
    <w:rsid w:val="00205D34"/>
    <w:rsid w:val="00205D4E"/>
    <w:rsid w:val="00205D72"/>
    <w:rsid w:val="00205DE8"/>
    <w:rsid w:val="00205F82"/>
    <w:rsid w:val="00205FE5"/>
    <w:rsid w:val="002061FB"/>
    <w:rsid w:val="00206330"/>
    <w:rsid w:val="0020642B"/>
    <w:rsid w:val="00206471"/>
    <w:rsid w:val="00206617"/>
    <w:rsid w:val="00206623"/>
    <w:rsid w:val="00206676"/>
    <w:rsid w:val="00206755"/>
    <w:rsid w:val="0020693C"/>
    <w:rsid w:val="00206961"/>
    <w:rsid w:val="00206A8E"/>
    <w:rsid w:val="00206B2D"/>
    <w:rsid w:val="00206B3B"/>
    <w:rsid w:val="00206B54"/>
    <w:rsid w:val="00206BE5"/>
    <w:rsid w:val="00206C0B"/>
    <w:rsid w:val="00206DCB"/>
    <w:rsid w:val="00206E14"/>
    <w:rsid w:val="00206E78"/>
    <w:rsid w:val="00206EB6"/>
    <w:rsid w:val="00206EEB"/>
    <w:rsid w:val="00206F2F"/>
    <w:rsid w:val="00206FA2"/>
    <w:rsid w:val="00206FD4"/>
    <w:rsid w:val="0020700A"/>
    <w:rsid w:val="00207051"/>
    <w:rsid w:val="00207064"/>
    <w:rsid w:val="002070A6"/>
    <w:rsid w:val="00207222"/>
    <w:rsid w:val="002075AE"/>
    <w:rsid w:val="002076D6"/>
    <w:rsid w:val="0020774A"/>
    <w:rsid w:val="002077B9"/>
    <w:rsid w:val="002078A5"/>
    <w:rsid w:val="00207A5E"/>
    <w:rsid w:val="00207BB5"/>
    <w:rsid w:val="00207DB3"/>
    <w:rsid w:val="00207F97"/>
    <w:rsid w:val="00207F9A"/>
    <w:rsid w:val="00210009"/>
    <w:rsid w:val="002100BE"/>
    <w:rsid w:val="0021046F"/>
    <w:rsid w:val="002104FB"/>
    <w:rsid w:val="0021050C"/>
    <w:rsid w:val="002105D1"/>
    <w:rsid w:val="002105FF"/>
    <w:rsid w:val="00210641"/>
    <w:rsid w:val="00210698"/>
    <w:rsid w:val="0021069B"/>
    <w:rsid w:val="002106A4"/>
    <w:rsid w:val="0021081A"/>
    <w:rsid w:val="00210867"/>
    <w:rsid w:val="0021088C"/>
    <w:rsid w:val="0021094A"/>
    <w:rsid w:val="00210993"/>
    <w:rsid w:val="00210A2E"/>
    <w:rsid w:val="00210A98"/>
    <w:rsid w:val="00210B10"/>
    <w:rsid w:val="00210BC3"/>
    <w:rsid w:val="00210D50"/>
    <w:rsid w:val="00210E83"/>
    <w:rsid w:val="00210E8F"/>
    <w:rsid w:val="00210EBD"/>
    <w:rsid w:val="00211003"/>
    <w:rsid w:val="0021101E"/>
    <w:rsid w:val="00211020"/>
    <w:rsid w:val="00211057"/>
    <w:rsid w:val="002112D9"/>
    <w:rsid w:val="0021153B"/>
    <w:rsid w:val="00211595"/>
    <w:rsid w:val="002115B9"/>
    <w:rsid w:val="0021165A"/>
    <w:rsid w:val="00211680"/>
    <w:rsid w:val="00211762"/>
    <w:rsid w:val="00211874"/>
    <w:rsid w:val="002118D7"/>
    <w:rsid w:val="002118E3"/>
    <w:rsid w:val="002119FB"/>
    <w:rsid w:val="00211A7C"/>
    <w:rsid w:val="00211F44"/>
    <w:rsid w:val="00211F97"/>
    <w:rsid w:val="0021205C"/>
    <w:rsid w:val="00212179"/>
    <w:rsid w:val="0021223B"/>
    <w:rsid w:val="00212282"/>
    <w:rsid w:val="00212293"/>
    <w:rsid w:val="002122E2"/>
    <w:rsid w:val="00212415"/>
    <w:rsid w:val="002125A2"/>
    <w:rsid w:val="00212667"/>
    <w:rsid w:val="002126B3"/>
    <w:rsid w:val="002126BA"/>
    <w:rsid w:val="00212792"/>
    <w:rsid w:val="002127F2"/>
    <w:rsid w:val="0021287E"/>
    <w:rsid w:val="0021291F"/>
    <w:rsid w:val="002129AE"/>
    <w:rsid w:val="002129DD"/>
    <w:rsid w:val="002129E3"/>
    <w:rsid w:val="00212A37"/>
    <w:rsid w:val="00212A8B"/>
    <w:rsid w:val="00212AA0"/>
    <w:rsid w:val="00212C2C"/>
    <w:rsid w:val="00212C31"/>
    <w:rsid w:val="00212D1A"/>
    <w:rsid w:val="00212E3E"/>
    <w:rsid w:val="00212E8C"/>
    <w:rsid w:val="00212F06"/>
    <w:rsid w:val="00212F3F"/>
    <w:rsid w:val="002130BE"/>
    <w:rsid w:val="00213223"/>
    <w:rsid w:val="002133DB"/>
    <w:rsid w:val="002133FB"/>
    <w:rsid w:val="00213498"/>
    <w:rsid w:val="002134D8"/>
    <w:rsid w:val="002135BB"/>
    <w:rsid w:val="002135EA"/>
    <w:rsid w:val="002135F8"/>
    <w:rsid w:val="002136C6"/>
    <w:rsid w:val="002137D7"/>
    <w:rsid w:val="0021385F"/>
    <w:rsid w:val="0021387F"/>
    <w:rsid w:val="00213966"/>
    <w:rsid w:val="00213BB3"/>
    <w:rsid w:val="00213BD3"/>
    <w:rsid w:val="00213C83"/>
    <w:rsid w:val="00213D1C"/>
    <w:rsid w:val="00213F24"/>
    <w:rsid w:val="00213F6F"/>
    <w:rsid w:val="00214139"/>
    <w:rsid w:val="0021420B"/>
    <w:rsid w:val="0021427B"/>
    <w:rsid w:val="002142C7"/>
    <w:rsid w:val="00214303"/>
    <w:rsid w:val="0021458F"/>
    <w:rsid w:val="002146CF"/>
    <w:rsid w:val="002146DC"/>
    <w:rsid w:val="00214802"/>
    <w:rsid w:val="00214904"/>
    <w:rsid w:val="00214963"/>
    <w:rsid w:val="00214A38"/>
    <w:rsid w:val="00214A5F"/>
    <w:rsid w:val="00214A66"/>
    <w:rsid w:val="00214AF6"/>
    <w:rsid w:val="00214BF7"/>
    <w:rsid w:val="00214C3F"/>
    <w:rsid w:val="00214CC2"/>
    <w:rsid w:val="00214D83"/>
    <w:rsid w:val="00214D99"/>
    <w:rsid w:val="00214DBD"/>
    <w:rsid w:val="00214E3B"/>
    <w:rsid w:val="00214E63"/>
    <w:rsid w:val="00214EFB"/>
    <w:rsid w:val="00214F71"/>
    <w:rsid w:val="00214FAE"/>
    <w:rsid w:val="00214FC4"/>
    <w:rsid w:val="0021500C"/>
    <w:rsid w:val="00215071"/>
    <w:rsid w:val="002155B3"/>
    <w:rsid w:val="00215651"/>
    <w:rsid w:val="00215669"/>
    <w:rsid w:val="00215B8A"/>
    <w:rsid w:val="00215B8C"/>
    <w:rsid w:val="00215D0E"/>
    <w:rsid w:val="00215D7A"/>
    <w:rsid w:val="00215D8F"/>
    <w:rsid w:val="00215DB2"/>
    <w:rsid w:val="00215E8C"/>
    <w:rsid w:val="00215F56"/>
    <w:rsid w:val="0021600C"/>
    <w:rsid w:val="0021606A"/>
    <w:rsid w:val="00216097"/>
    <w:rsid w:val="00216128"/>
    <w:rsid w:val="002161A6"/>
    <w:rsid w:val="00216294"/>
    <w:rsid w:val="002163FC"/>
    <w:rsid w:val="002164BF"/>
    <w:rsid w:val="002164CC"/>
    <w:rsid w:val="00216542"/>
    <w:rsid w:val="002166FC"/>
    <w:rsid w:val="0021676B"/>
    <w:rsid w:val="0021679D"/>
    <w:rsid w:val="002167D7"/>
    <w:rsid w:val="00216829"/>
    <w:rsid w:val="00216AA6"/>
    <w:rsid w:val="00216B7E"/>
    <w:rsid w:val="00216C25"/>
    <w:rsid w:val="00216C38"/>
    <w:rsid w:val="00216CE4"/>
    <w:rsid w:val="00216D52"/>
    <w:rsid w:val="00216ED9"/>
    <w:rsid w:val="00216FE3"/>
    <w:rsid w:val="00217011"/>
    <w:rsid w:val="00217044"/>
    <w:rsid w:val="00217258"/>
    <w:rsid w:val="002172D6"/>
    <w:rsid w:val="002172DB"/>
    <w:rsid w:val="002173EA"/>
    <w:rsid w:val="0021744E"/>
    <w:rsid w:val="002175BC"/>
    <w:rsid w:val="00217642"/>
    <w:rsid w:val="00217792"/>
    <w:rsid w:val="002177F8"/>
    <w:rsid w:val="00217A00"/>
    <w:rsid w:val="00217A17"/>
    <w:rsid w:val="00217A87"/>
    <w:rsid w:val="00217FB0"/>
    <w:rsid w:val="002201BB"/>
    <w:rsid w:val="002202FB"/>
    <w:rsid w:val="00220323"/>
    <w:rsid w:val="00220339"/>
    <w:rsid w:val="002203B2"/>
    <w:rsid w:val="00220456"/>
    <w:rsid w:val="002204FE"/>
    <w:rsid w:val="002206CC"/>
    <w:rsid w:val="002206DF"/>
    <w:rsid w:val="00220741"/>
    <w:rsid w:val="0022080D"/>
    <w:rsid w:val="00220819"/>
    <w:rsid w:val="00220842"/>
    <w:rsid w:val="002208C4"/>
    <w:rsid w:val="00220921"/>
    <w:rsid w:val="00220970"/>
    <w:rsid w:val="00220A9A"/>
    <w:rsid w:val="00220BF6"/>
    <w:rsid w:val="00220C36"/>
    <w:rsid w:val="00220D41"/>
    <w:rsid w:val="00220D6C"/>
    <w:rsid w:val="00220D7A"/>
    <w:rsid w:val="00220F8C"/>
    <w:rsid w:val="00220FF7"/>
    <w:rsid w:val="00221161"/>
    <w:rsid w:val="002211D4"/>
    <w:rsid w:val="002211E3"/>
    <w:rsid w:val="002212EA"/>
    <w:rsid w:val="00221360"/>
    <w:rsid w:val="0022144A"/>
    <w:rsid w:val="00221643"/>
    <w:rsid w:val="0022173C"/>
    <w:rsid w:val="00221908"/>
    <w:rsid w:val="00221960"/>
    <w:rsid w:val="002219D0"/>
    <w:rsid w:val="00221C6F"/>
    <w:rsid w:val="00221C7C"/>
    <w:rsid w:val="00221CD1"/>
    <w:rsid w:val="00221EA6"/>
    <w:rsid w:val="00221F4D"/>
    <w:rsid w:val="00221FF4"/>
    <w:rsid w:val="002220B9"/>
    <w:rsid w:val="00222112"/>
    <w:rsid w:val="00222199"/>
    <w:rsid w:val="002221EF"/>
    <w:rsid w:val="00222233"/>
    <w:rsid w:val="00222355"/>
    <w:rsid w:val="002223FB"/>
    <w:rsid w:val="002223FD"/>
    <w:rsid w:val="00222579"/>
    <w:rsid w:val="00222719"/>
    <w:rsid w:val="002228E7"/>
    <w:rsid w:val="00222986"/>
    <w:rsid w:val="002229AC"/>
    <w:rsid w:val="00222A28"/>
    <w:rsid w:val="00222B39"/>
    <w:rsid w:val="00222BBF"/>
    <w:rsid w:val="00222C96"/>
    <w:rsid w:val="00222CE6"/>
    <w:rsid w:val="00222D88"/>
    <w:rsid w:val="00222DAC"/>
    <w:rsid w:val="00222FCC"/>
    <w:rsid w:val="0022306D"/>
    <w:rsid w:val="002230D2"/>
    <w:rsid w:val="00223132"/>
    <w:rsid w:val="00223194"/>
    <w:rsid w:val="002231A8"/>
    <w:rsid w:val="0022326E"/>
    <w:rsid w:val="002233FA"/>
    <w:rsid w:val="0022342C"/>
    <w:rsid w:val="0022343A"/>
    <w:rsid w:val="00223459"/>
    <w:rsid w:val="0022353F"/>
    <w:rsid w:val="00223580"/>
    <w:rsid w:val="00223635"/>
    <w:rsid w:val="002236C6"/>
    <w:rsid w:val="002236F3"/>
    <w:rsid w:val="0022377C"/>
    <w:rsid w:val="00223AB0"/>
    <w:rsid w:val="00223AD3"/>
    <w:rsid w:val="00223B4D"/>
    <w:rsid w:val="00223C71"/>
    <w:rsid w:val="00223CE9"/>
    <w:rsid w:val="00223DD8"/>
    <w:rsid w:val="00223EA4"/>
    <w:rsid w:val="00224043"/>
    <w:rsid w:val="0022405F"/>
    <w:rsid w:val="002241AA"/>
    <w:rsid w:val="002241C0"/>
    <w:rsid w:val="0022429C"/>
    <w:rsid w:val="002243B4"/>
    <w:rsid w:val="00224538"/>
    <w:rsid w:val="00224751"/>
    <w:rsid w:val="002247ED"/>
    <w:rsid w:val="002247F8"/>
    <w:rsid w:val="0022483D"/>
    <w:rsid w:val="002248E6"/>
    <w:rsid w:val="002249D7"/>
    <w:rsid w:val="00224A16"/>
    <w:rsid w:val="00224A2D"/>
    <w:rsid w:val="00224A41"/>
    <w:rsid w:val="00224A5F"/>
    <w:rsid w:val="00224B44"/>
    <w:rsid w:val="00224BE1"/>
    <w:rsid w:val="00224C90"/>
    <w:rsid w:val="00224D1C"/>
    <w:rsid w:val="00224D83"/>
    <w:rsid w:val="00224D93"/>
    <w:rsid w:val="00224E72"/>
    <w:rsid w:val="00224EEE"/>
    <w:rsid w:val="00224FE6"/>
    <w:rsid w:val="00224FEE"/>
    <w:rsid w:val="002250FE"/>
    <w:rsid w:val="0022511E"/>
    <w:rsid w:val="00225211"/>
    <w:rsid w:val="002252B4"/>
    <w:rsid w:val="0022530E"/>
    <w:rsid w:val="00225399"/>
    <w:rsid w:val="00225623"/>
    <w:rsid w:val="0022574C"/>
    <w:rsid w:val="002257C3"/>
    <w:rsid w:val="00225837"/>
    <w:rsid w:val="00225A50"/>
    <w:rsid w:val="00225A54"/>
    <w:rsid w:val="00225A9A"/>
    <w:rsid w:val="00225B4A"/>
    <w:rsid w:val="00225B86"/>
    <w:rsid w:val="00225D18"/>
    <w:rsid w:val="00225DBC"/>
    <w:rsid w:val="00225EFF"/>
    <w:rsid w:val="00225F14"/>
    <w:rsid w:val="00225FD6"/>
    <w:rsid w:val="002260BF"/>
    <w:rsid w:val="0022612C"/>
    <w:rsid w:val="00226216"/>
    <w:rsid w:val="0022623A"/>
    <w:rsid w:val="0022624A"/>
    <w:rsid w:val="002262FF"/>
    <w:rsid w:val="00226384"/>
    <w:rsid w:val="002263A5"/>
    <w:rsid w:val="002264C3"/>
    <w:rsid w:val="002264F9"/>
    <w:rsid w:val="00226696"/>
    <w:rsid w:val="00226718"/>
    <w:rsid w:val="0022672C"/>
    <w:rsid w:val="00226760"/>
    <w:rsid w:val="002267E8"/>
    <w:rsid w:val="00226841"/>
    <w:rsid w:val="00226865"/>
    <w:rsid w:val="0022692F"/>
    <w:rsid w:val="00226A2E"/>
    <w:rsid w:val="00226A99"/>
    <w:rsid w:val="00226BE2"/>
    <w:rsid w:val="00226BE4"/>
    <w:rsid w:val="00226EAE"/>
    <w:rsid w:val="00226EFB"/>
    <w:rsid w:val="00226F7E"/>
    <w:rsid w:val="00227098"/>
    <w:rsid w:val="002270D5"/>
    <w:rsid w:val="002270F9"/>
    <w:rsid w:val="00227203"/>
    <w:rsid w:val="00227391"/>
    <w:rsid w:val="002273BD"/>
    <w:rsid w:val="0022745D"/>
    <w:rsid w:val="00227520"/>
    <w:rsid w:val="002276B3"/>
    <w:rsid w:val="002276C2"/>
    <w:rsid w:val="002276F0"/>
    <w:rsid w:val="0022778C"/>
    <w:rsid w:val="0022784E"/>
    <w:rsid w:val="00227884"/>
    <w:rsid w:val="00227969"/>
    <w:rsid w:val="00227A48"/>
    <w:rsid w:val="00227AB5"/>
    <w:rsid w:val="00227AFC"/>
    <w:rsid w:val="00227B8E"/>
    <w:rsid w:val="00227BF9"/>
    <w:rsid w:val="00227D4C"/>
    <w:rsid w:val="00227D94"/>
    <w:rsid w:val="00227D97"/>
    <w:rsid w:val="00227F29"/>
    <w:rsid w:val="00227F68"/>
    <w:rsid w:val="00227FD5"/>
    <w:rsid w:val="0023001A"/>
    <w:rsid w:val="00230045"/>
    <w:rsid w:val="0023009F"/>
    <w:rsid w:val="002301F0"/>
    <w:rsid w:val="002302CB"/>
    <w:rsid w:val="00230432"/>
    <w:rsid w:val="00230474"/>
    <w:rsid w:val="00230497"/>
    <w:rsid w:val="002304A3"/>
    <w:rsid w:val="002304AF"/>
    <w:rsid w:val="002304B8"/>
    <w:rsid w:val="002304DF"/>
    <w:rsid w:val="00230557"/>
    <w:rsid w:val="0023055D"/>
    <w:rsid w:val="00230583"/>
    <w:rsid w:val="002305F3"/>
    <w:rsid w:val="0023062E"/>
    <w:rsid w:val="00230750"/>
    <w:rsid w:val="0023080F"/>
    <w:rsid w:val="0023094D"/>
    <w:rsid w:val="00230AD2"/>
    <w:rsid w:val="00230AF7"/>
    <w:rsid w:val="00230B13"/>
    <w:rsid w:val="00230B77"/>
    <w:rsid w:val="00230B9E"/>
    <w:rsid w:val="00230C62"/>
    <w:rsid w:val="00230DC5"/>
    <w:rsid w:val="00230DDE"/>
    <w:rsid w:val="00230DEA"/>
    <w:rsid w:val="00230DF2"/>
    <w:rsid w:val="00230E4B"/>
    <w:rsid w:val="00230EC2"/>
    <w:rsid w:val="00230FD2"/>
    <w:rsid w:val="00231053"/>
    <w:rsid w:val="0023106D"/>
    <w:rsid w:val="00231135"/>
    <w:rsid w:val="0023129E"/>
    <w:rsid w:val="002312A0"/>
    <w:rsid w:val="002312AF"/>
    <w:rsid w:val="002312FE"/>
    <w:rsid w:val="00231402"/>
    <w:rsid w:val="002315DF"/>
    <w:rsid w:val="002315EE"/>
    <w:rsid w:val="00231658"/>
    <w:rsid w:val="00231837"/>
    <w:rsid w:val="0023183C"/>
    <w:rsid w:val="0023195C"/>
    <w:rsid w:val="00231BE1"/>
    <w:rsid w:val="00231BF2"/>
    <w:rsid w:val="00231CBE"/>
    <w:rsid w:val="00231D45"/>
    <w:rsid w:val="00231E0A"/>
    <w:rsid w:val="00231E36"/>
    <w:rsid w:val="00231E3F"/>
    <w:rsid w:val="0023215E"/>
    <w:rsid w:val="00232269"/>
    <w:rsid w:val="00232328"/>
    <w:rsid w:val="002323A1"/>
    <w:rsid w:val="002323EA"/>
    <w:rsid w:val="0023241B"/>
    <w:rsid w:val="00232440"/>
    <w:rsid w:val="002324C5"/>
    <w:rsid w:val="002324DA"/>
    <w:rsid w:val="002325BE"/>
    <w:rsid w:val="0023260B"/>
    <w:rsid w:val="00232612"/>
    <w:rsid w:val="00232661"/>
    <w:rsid w:val="00232824"/>
    <w:rsid w:val="00232886"/>
    <w:rsid w:val="002329C1"/>
    <w:rsid w:val="00232A65"/>
    <w:rsid w:val="00232B24"/>
    <w:rsid w:val="00232B7A"/>
    <w:rsid w:val="00232B86"/>
    <w:rsid w:val="00232BD7"/>
    <w:rsid w:val="00232C3C"/>
    <w:rsid w:val="00232C9D"/>
    <w:rsid w:val="00232CB4"/>
    <w:rsid w:val="00232D26"/>
    <w:rsid w:val="00232D50"/>
    <w:rsid w:val="00232DFF"/>
    <w:rsid w:val="00232E20"/>
    <w:rsid w:val="00232ECB"/>
    <w:rsid w:val="00232F42"/>
    <w:rsid w:val="00232F69"/>
    <w:rsid w:val="00232F82"/>
    <w:rsid w:val="00232FB8"/>
    <w:rsid w:val="00232FBB"/>
    <w:rsid w:val="002330BA"/>
    <w:rsid w:val="00233468"/>
    <w:rsid w:val="002334B8"/>
    <w:rsid w:val="00233529"/>
    <w:rsid w:val="00233586"/>
    <w:rsid w:val="002335C7"/>
    <w:rsid w:val="00233638"/>
    <w:rsid w:val="0023363A"/>
    <w:rsid w:val="00233646"/>
    <w:rsid w:val="002338BB"/>
    <w:rsid w:val="00233979"/>
    <w:rsid w:val="00233A49"/>
    <w:rsid w:val="00233A91"/>
    <w:rsid w:val="00233AA9"/>
    <w:rsid w:val="00233AAD"/>
    <w:rsid w:val="00233ADB"/>
    <w:rsid w:val="00233B75"/>
    <w:rsid w:val="00233B7C"/>
    <w:rsid w:val="00233B90"/>
    <w:rsid w:val="00233B95"/>
    <w:rsid w:val="00233C1D"/>
    <w:rsid w:val="00233C36"/>
    <w:rsid w:val="00233D2F"/>
    <w:rsid w:val="00233DC2"/>
    <w:rsid w:val="00233F9A"/>
    <w:rsid w:val="002340AA"/>
    <w:rsid w:val="00234271"/>
    <w:rsid w:val="00234335"/>
    <w:rsid w:val="0023436A"/>
    <w:rsid w:val="00234407"/>
    <w:rsid w:val="00234500"/>
    <w:rsid w:val="002346D0"/>
    <w:rsid w:val="002346ED"/>
    <w:rsid w:val="00234746"/>
    <w:rsid w:val="00234958"/>
    <w:rsid w:val="00234A41"/>
    <w:rsid w:val="00234BB0"/>
    <w:rsid w:val="00234BD6"/>
    <w:rsid w:val="0023509E"/>
    <w:rsid w:val="002350DC"/>
    <w:rsid w:val="0023519F"/>
    <w:rsid w:val="002351D5"/>
    <w:rsid w:val="00235228"/>
    <w:rsid w:val="002353F7"/>
    <w:rsid w:val="002354BF"/>
    <w:rsid w:val="0023570D"/>
    <w:rsid w:val="0023577F"/>
    <w:rsid w:val="00235847"/>
    <w:rsid w:val="002359DF"/>
    <w:rsid w:val="00235A16"/>
    <w:rsid w:val="00235A1B"/>
    <w:rsid w:val="00235ABA"/>
    <w:rsid w:val="00235CBD"/>
    <w:rsid w:val="00235CBF"/>
    <w:rsid w:val="00235D26"/>
    <w:rsid w:val="00235DDA"/>
    <w:rsid w:val="00235E1F"/>
    <w:rsid w:val="00235EC2"/>
    <w:rsid w:val="00235ECE"/>
    <w:rsid w:val="00235F0B"/>
    <w:rsid w:val="00235F52"/>
    <w:rsid w:val="00235FBB"/>
    <w:rsid w:val="00235FBF"/>
    <w:rsid w:val="00235FFC"/>
    <w:rsid w:val="00236194"/>
    <w:rsid w:val="002361C2"/>
    <w:rsid w:val="002361D8"/>
    <w:rsid w:val="00236243"/>
    <w:rsid w:val="002363AA"/>
    <w:rsid w:val="002364FC"/>
    <w:rsid w:val="00236623"/>
    <w:rsid w:val="002366F2"/>
    <w:rsid w:val="002367A7"/>
    <w:rsid w:val="002368E4"/>
    <w:rsid w:val="00236959"/>
    <w:rsid w:val="00236A65"/>
    <w:rsid w:val="00236AD8"/>
    <w:rsid w:val="00236B76"/>
    <w:rsid w:val="00236BC0"/>
    <w:rsid w:val="00236C65"/>
    <w:rsid w:val="00236D4D"/>
    <w:rsid w:val="00236F52"/>
    <w:rsid w:val="00236F6B"/>
    <w:rsid w:val="00237014"/>
    <w:rsid w:val="002370B6"/>
    <w:rsid w:val="0023714A"/>
    <w:rsid w:val="002372C9"/>
    <w:rsid w:val="002372EE"/>
    <w:rsid w:val="00237365"/>
    <w:rsid w:val="002374EF"/>
    <w:rsid w:val="00237556"/>
    <w:rsid w:val="00237607"/>
    <w:rsid w:val="0023767E"/>
    <w:rsid w:val="002376B6"/>
    <w:rsid w:val="002377F7"/>
    <w:rsid w:val="0023789F"/>
    <w:rsid w:val="002378D4"/>
    <w:rsid w:val="002379A1"/>
    <w:rsid w:val="00237A77"/>
    <w:rsid w:val="00237BAD"/>
    <w:rsid w:val="00237C75"/>
    <w:rsid w:val="00237E97"/>
    <w:rsid w:val="00237FF3"/>
    <w:rsid w:val="00240059"/>
    <w:rsid w:val="002400B4"/>
    <w:rsid w:val="002400E4"/>
    <w:rsid w:val="002400F1"/>
    <w:rsid w:val="00240357"/>
    <w:rsid w:val="00240445"/>
    <w:rsid w:val="002405DC"/>
    <w:rsid w:val="0024065B"/>
    <w:rsid w:val="00240778"/>
    <w:rsid w:val="0024079F"/>
    <w:rsid w:val="00240812"/>
    <w:rsid w:val="0024082A"/>
    <w:rsid w:val="002408FE"/>
    <w:rsid w:val="00240953"/>
    <w:rsid w:val="0024095B"/>
    <w:rsid w:val="002409C3"/>
    <w:rsid w:val="00240A5E"/>
    <w:rsid w:val="00240A9A"/>
    <w:rsid w:val="00240BDC"/>
    <w:rsid w:val="00240BE5"/>
    <w:rsid w:val="00240C69"/>
    <w:rsid w:val="00240C93"/>
    <w:rsid w:val="00240CF3"/>
    <w:rsid w:val="00240E1F"/>
    <w:rsid w:val="00240ECA"/>
    <w:rsid w:val="00240EEE"/>
    <w:rsid w:val="00240F7A"/>
    <w:rsid w:val="002410B1"/>
    <w:rsid w:val="00241178"/>
    <w:rsid w:val="002411DA"/>
    <w:rsid w:val="00241202"/>
    <w:rsid w:val="002412AB"/>
    <w:rsid w:val="002413C2"/>
    <w:rsid w:val="002413FD"/>
    <w:rsid w:val="00241536"/>
    <w:rsid w:val="002415EF"/>
    <w:rsid w:val="00241671"/>
    <w:rsid w:val="00241678"/>
    <w:rsid w:val="00241690"/>
    <w:rsid w:val="002416F7"/>
    <w:rsid w:val="00241726"/>
    <w:rsid w:val="002417B7"/>
    <w:rsid w:val="00241827"/>
    <w:rsid w:val="002418CB"/>
    <w:rsid w:val="00241951"/>
    <w:rsid w:val="002419A7"/>
    <w:rsid w:val="00241A98"/>
    <w:rsid w:val="00241BB8"/>
    <w:rsid w:val="00241BE4"/>
    <w:rsid w:val="00241C5E"/>
    <w:rsid w:val="00241CDC"/>
    <w:rsid w:val="00241D2D"/>
    <w:rsid w:val="00241D4B"/>
    <w:rsid w:val="00241D8E"/>
    <w:rsid w:val="00241E19"/>
    <w:rsid w:val="00242074"/>
    <w:rsid w:val="002421B6"/>
    <w:rsid w:val="0024221D"/>
    <w:rsid w:val="00242357"/>
    <w:rsid w:val="002423B8"/>
    <w:rsid w:val="0024244F"/>
    <w:rsid w:val="00242501"/>
    <w:rsid w:val="00242638"/>
    <w:rsid w:val="002426B7"/>
    <w:rsid w:val="00242796"/>
    <w:rsid w:val="002427B8"/>
    <w:rsid w:val="0024282D"/>
    <w:rsid w:val="0024293C"/>
    <w:rsid w:val="00242A70"/>
    <w:rsid w:val="00242B44"/>
    <w:rsid w:val="00242C85"/>
    <w:rsid w:val="00242CAE"/>
    <w:rsid w:val="00242E8C"/>
    <w:rsid w:val="00242EC0"/>
    <w:rsid w:val="00242F09"/>
    <w:rsid w:val="00242FAF"/>
    <w:rsid w:val="0024304A"/>
    <w:rsid w:val="00243086"/>
    <w:rsid w:val="00243114"/>
    <w:rsid w:val="00243131"/>
    <w:rsid w:val="0024328D"/>
    <w:rsid w:val="0024329F"/>
    <w:rsid w:val="00243324"/>
    <w:rsid w:val="00243347"/>
    <w:rsid w:val="0024338C"/>
    <w:rsid w:val="0024356A"/>
    <w:rsid w:val="002435DB"/>
    <w:rsid w:val="00243642"/>
    <w:rsid w:val="00243674"/>
    <w:rsid w:val="002437E2"/>
    <w:rsid w:val="00243B6A"/>
    <w:rsid w:val="00243B78"/>
    <w:rsid w:val="00243D3A"/>
    <w:rsid w:val="00243F04"/>
    <w:rsid w:val="00243FBF"/>
    <w:rsid w:val="00243FD3"/>
    <w:rsid w:val="00243FEF"/>
    <w:rsid w:val="00244055"/>
    <w:rsid w:val="002440D9"/>
    <w:rsid w:val="002441B5"/>
    <w:rsid w:val="002441C5"/>
    <w:rsid w:val="002441DF"/>
    <w:rsid w:val="00244220"/>
    <w:rsid w:val="00244338"/>
    <w:rsid w:val="00244397"/>
    <w:rsid w:val="0024440F"/>
    <w:rsid w:val="00244435"/>
    <w:rsid w:val="00244445"/>
    <w:rsid w:val="00244535"/>
    <w:rsid w:val="0024458A"/>
    <w:rsid w:val="002446C1"/>
    <w:rsid w:val="002449AA"/>
    <w:rsid w:val="00244A84"/>
    <w:rsid w:val="00244AF3"/>
    <w:rsid w:val="00244BEB"/>
    <w:rsid w:val="00244C2E"/>
    <w:rsid w:val="00244CB0"/>
    <w:rsid w:val="00244DA9"/>
    <w:rsid w:val="00244E90"/>
    <w:rsid w:val="00244F92"/>
    <w:rsid w:val="00244FD7"/>
    <w:rsid w:val="00244FF9"/>
    <w:rsid w:val="00245128"/>
    <w:rsid w:val="00245164"/>
    <w:rsid w:val="002451A9"/>
    <w:rsid w:val="0024528C"/>
    <w:rsid w:val="00245452"/>
    <w:rsid w:val="002454C3"/>
    <w:rsid w:val="002454FD"/>
    <w:rsid w:val="00245502"/>
    <w:rsid w:val="002455A5"/>
    <w:rsid w:val="002455D5"/>
    <w:rsid w:val="002455F8"/>
    <w:rsid w:val="0024586B"/>
    <w:rsid w:val="002458E2"/>
    <w:rsid w:val="00245921"/>
    <w:rsid w:val="0024592E"/>
    <w:rsid w:val="00245A32"/>
    <w:rsid w:val="00245A6C"/>
    <w:rsid w:val="00245AFE"/>
    <w:rsid w:val="00245CF1"/>
    <w:rsid w:val="00245DA7"/>
    <w:rsid w:val="00245EF0"/>
    <w:rsid w:val="00245F1F"/>
    <w:rsid w:val="00246159"/>
    <w:rsid w:val="002461CE"/>
    <w:rsid w:val="002462DD"/>
    <w:rsid w:val="00246319"/>
    <w:rsid w:val="00246383"/>
    <w:rsid w:val="00246491"/>
    <w:rsid w:val="002465F0"/>
    <w:rsid w:val="002465F4"/>
    <w:rsid w:val="00246953"/>
    <w:rsid w:val="002469F5"/>
    <w:rsid w:val="00246A06"/>
    <w:rsid w:val="00246BDA"/>
    <w:rsid w:val="00246C66"/>
    <w:rsid w:val="00246CEA"/>
    <w:rsid w:val="00246D00"/>
    <w:rsid w:val="00246D30"/>
    <w:rsid w:val="00246DB4"/>
    <w:rsid w:val="00246E6D"/>
    <w:rsid w:val="00246E7D"/>
    <w:rsid w:val="00246E94"/>
    <w:rsid w:val="00246FC0"/>
    <w:rsid w:val="00246FDA"/>
    <w:rsid w:val="0024719C"/>
    <w:rsid w:val="002474EF"/>
    <w:rsid w:val="0024756E"/>
    <w:rsid w:val="00247774"/>
    <w:rsid w:val="002477C8"/>
    <w:rsid w:val="0024783B"/>
    <w:rsid w:val="002478D8"/>
    <w:rsid w:val="0024790F"/>
    <w:rsid w:val="00247917"/>
    <w:rsid w:val="00247A75"/>
    <w:rsid w:val="00247A84"/>
    <w:rsid w:val="00247BAB"/>
    <w:rsid w:val="00247C38"/>
    <w:rsid w:val="00247D84"/>
    <w:rsid w:val="00247D86"/>
    <w:rsid w:val="00247F46"/>
    <w:rsid w:val="00247F72"/>
    <w:rsid w:val="00247F9A"/>
    <w:rsid w:val="002500E9"/>
    <w:rsid w:val="00250175"/>
    <w:rsid w:val="0025039B"/>
    <w:rsid w:val="002504F0"/>
    <w:rsid w:val="002505D5"/>
    <w:rsid w:val="0025061A"/>
    <w:rsid w:val="002507DC"/>
    <w:rsid w:val="00250923"/>
    <w:rsid w:val="0025096B"/>
    <w:rsid w:val="002509F5"/>
    <w:rsid w:val="00250B6B"/>
    <w:rsid w:val="00250B97"/>
    <w:rsid w:val="00250BB1"/>
    <w:rsid w:val="00250BD7"/>
    <w:rsid w:val="00250C12"/>
    <w:rsid w:val="00250CC7"/>
    <w:rsid w:val="00250CFC"/>
    <w:rsid w:val="00250D83"/>
    <w:rsid w:val="00250E8D"/>
    <w:rsid w:val="00250F2D"/>
    <w:rsid w:val="0025109E"/>
    <w:rsid w:val="002511EF"/>
    <w:rsid w:val="002511FE"/>
    <w:rsid w:val="00251217"/>
    <w:rsid w:val="0025127A"/>
    <w:rsid w:val="0025140B"/>
    <w:rsid w:val="00251488"/>
    <w:rsid w:val="002514C9"/>
    <w:rsid w:val="002515C3"/>
    <w:rsid w:val="00251625"/>
    <w:rsid w:val="00251695"/>
    <w:rsid w:val="0025178E"/>
    <w:rsid w:val="0025180A"/>
    <w:rsid w:val="002518B6"/>
    <w:rsid w:val="002518BE"/>
    <w:rsid w:val="002518CF"/>
    <w:rsid w:val="00251C35"/>
    <w:rsid w:val="00251C3F"/>
    <w:rsid w:val="00251D66"/>
    <w:rsid w:val="00251E6C"/>
    <w:rsid w:val="00251F20"/>
    <w:rsid w:val="00251FD0"/>
    <w:rsid w:val="00252032"/>
    <w:rsid w:val="00252062"/>
    <w:rsid w:val="002520F0"/>
    <w:rsid w:val="0025222F"/>
    <w:rsid w:val="002522E2"/>
    <w:rsid w:val="00252322"/>
    <w:rsid w:val="0025241E"/>
    <w:rsid w:val="00252520"/>
    <w:rsid w:val="00252540"/>
    <w:rsid w:val="00252809"/>
    <w:rsid w:val="00252BCA"/>
    <w:rsid w:val="00252F93"/>
    <w:rsid w:val="0025301C"/>
    <w:rsid w:val="00253076"/>
    <w:rsid w:val="002531B4"/>
    <w:rsid w:val="002532AD"/>
    <w:rsid w:val="00253353"/>
    <w:rsid w:val="0025336A"/>
    <w:rsid w:val="00253412"/>
    <w:rsid w:val="00253428"/>
    <w:rsid w:val="0025344E"/>
    <w:rsid w:val="00253530"/>
    <w:rsid w:val="0025354C"/>
    <w:rsid w:val="0025359C"/>
    <w:rsid w:val="002535D0"/>
    <w:rsid w:val="0025364B"/>
    <w:rsid w:val="0025368D"/>
    <w:rsid w:val="0025372A"/>
    <w:rsid w:val="0025373C"/>
    <w:rsid w:val="002537F5"/>
    <w:rsid w:val="0025382E"/>
    <w:rsid w:val="00253928"/>
    <w:rsid w:val="002539BB"/>
    <w:rsid w:val="002539C2"/>
    <w:rsid w:val="00253AA7"/>
    <w:rsid w:val="00253AC0"/>
    <w:rsid w:val="00253B1D"/>
    <w:rsid w:val="00253D95"/>
    <w:rsid w:val="00253FA9"/>
    <w:rsid w:val="00254018"/>
    <w:rsid w:val="0025401E"/>
    <w:rsid w:val="002540CF"/>
    <w:rsid w:val="00254164"/>
    <w:rsid w:val="00254259"/>
    <w:rsid w:val="00254411"/>
    <w:rsid w:val="002544CE"/>
    <w:rsid w:val="0025468F"/>
    <w:rsid w:val="002546E6"/>
    <w:rsid w:val="0025475C"/>
    <w:rsid w:val="002547D6"/>
    <w:rsid w:val="0025481B"/>
    <w:rsid w:val="0025490B"/>
    <w:rsid w:val="0025493A"/>
    <w:rsid w:val="00254BB5"/>
    <w:rsid w:val="00254CDA"/>
    <w:rsid w:val="00254E3E"/>
    <w:rsid w:val="00254E59"/>
    <w:rsid w:val="00254E60"/>
    <w:rsid w:val="00255048"/>
    <w:rsid w:val="00255097"/>
    <w:rsid w:val="00255134"/>
    <w:rsid w:val="00255186"/>
    <w:rsid w:val="0025542A"/>
    <w:rsid w:val="002554A1"/>
    <w:rsid w:val="00255547"/>
    <w:rsid w:val="0025555E"/>
    <w:rsid w:val="00255603"/>
    <w:rsid w:val="00255619"/>
    <w:rsid w:val="002557A1"/>
    <w:rsid w:val="00255967"/>
    <w:rsid w:val="00255A5B"/>
    <w:rsid w:val="00255A86"/>
    <w:rsid w:val="00255B61"/>
    <w:rsid w:val="00255C5A"/>
    <w:rsid w:val="00255C6C"/>
    <w:rsid w:val="00255D15"/>
    <w:rsid w:val="00255D75"/>
    <w:rsid w:val="00255DC3"/>
    <w:rsid w:val="00255E04"/>
    <w:rsid w:val="00255E77"/>
    <w:rsid w:val="00256200"/>
    <w:rsid w:val="00256270"/>
    <w:rsid w:val="002562A3"/>
    <w:rsid w:val="002562B2"/>
    <w:rsid w:val="002563D7"/>
    <w:rsid w:val="00256605"/>
    <w:rsid w:val="00256751"/>
    <w:rsid w:val="0025679A"/>
    <w:rsid w:val="002567DD"/>
    <w:rsid w:val="00256805"/>
    <w:rsid w:val="00256869"/>
    <w:rsid w:val="002568A9"/>
    <w:rsid w:val="00256934"/>
    <w:rsid w:val="00256A1F"/>
    <w:rsid w:val="00256A57"/>
    <w:rsid w:val="00256A65"/>
    <w:rsid w:val="00256B7B"/>
    <w:rsid w:val="00256BB5"/>
    <w:rsid w:val="00256BCF"/>
    <w:rsid w:val="00256BE6"/>
    <w:rsid w:val="00256D27"/>
    <w:rsid w:val="00256D89"/>
    <w:rsid w:val="00256E1A"/>
    <w:rsid w:val="00257093"/>
    <w:rsid w:val="002570D8"/>
    <w:rsid w:val="0025715A"/>
    <w:rsid w:val="0025718E"/>
    <w:rsid w:val="002571D7"/>
    <w:rsid w:val="0025724B"/>
    <w:rsid w:val="0025728B"/>
    <w:rsid w:val="00257291"/>
    <w:rsid w:val="002572B1"/>
    <w:rsid w:val="00257374"/>
    <w:rsid w:val="002573E0"/>
    <w:rsid w:val="00257549"/>
    <w:rsid w:val="002575B0"/>
    <w:rsid w:val="002576A2"/>
    <w:rsid w:val="00257827"/>
    <w:rsid w:val="002579BA"/>
    <w:rsid w:val="00257A93"/>
    <w:rsid w:val="00257A9D"/>
    <w:rsid w:val="00257C3B"/>
    <w:rsid w:val="00257D34"/>
    <w:rsid w:val="00257DC3"/>
    <w:rsid w:val="00257E9A"/>
    <w:rsid w:val="00257EBB"/>
    <w:rsid w:val="00257FD4"/>
    <w:rsid w:val="0026003B"/>
    <w:rsid w:val="002600C1"/>
    <w:rsid w:val="002600EF"/>
    <w:rsid w:val="00260101"/>
    <w:rsid w:val="00260122"/>
    <w:rsid w:val="0026012A"/>
    <w:rsid w:val="00260367"/>
    <w:rsid w:val="002604EE"/>
    <w:rsid w:val="00260518"/>
    <w:rsid w:val="00260529"/>
    <w:rsid w:val="0026052A"/>
    <w:rsid w:val="00260659"/>
    <w:rsid w:val="002606AF"/>
    <w:rsid w:val="00260779"/>
    <w:rsid w:val="002607FC"/>
    <w:rsid w:val="002608AC"/>
    <w:rsid w:val="00260935"/>
    <w:rsid w:val="0026096F"/>
    <w:rsid w:val="002609A3"/>
    <w:rsid w:val="00260BD3"/>
    <w:rsid w:val="00260BE9"/>
    <w:rsid w:val="00260C15"/>
    <w:rsid w:val="00260D7B"/>
    <w:rsid w:val="00260F58"/>
    <w:rsid w:val="002611B4"/>
    <w:rsid w:val="002612FF"/>
    <w:rsid w:val="0026137A"/>
    <w:rsid w:val="002613FE"/>
    <w:rsid w:val="0026140B"/>
    <w:rsid w:val="0026148F"/>
    <w:rsid w:val="00261641"/>
    <w:rsid w:val="0026164E"/>
    <w:rsid w:val="002616C3"/>
    <w:rsid w:val="0026178F"/>
    <w:rsid w:val="002617C4"/>
    <w:rsid w:val="0026187F"/>
    <w:rsid w:val="00261947"/>
    <w:rsid w:val="0026199A"/>
    <w:rsid w:val="00261BC4"/>
    <w:rsid w:val="00261DFE"/>
    <w:rsid w:val="00261E66"/>
    <w:rsid w:val="00261ED2"/>
    <w:rsid w:val="00261F28"/>
    <w:rsid w:val="00262003"/>
    <w:rsid w:val="00262016"/>
    <w:rsid w:val="002620E4"/>
    <w:rsid w:val="002621CC"/>
    <w:rsid w:val="00262232"/>
    <w:rsid w:val="00262305"/>
    <w:rsid w:val="0026234C"/>
    <w:rsid w:val="00262389"/>
    <w:rsid w:val="00262651"/>
    <w:rsid w:val="002627C1"/>
    <w:rsid w:val="002629E6"/>
    <w:rsid w:val="00262B66"/>
    <w:rsid w:val="00262B68"/>
    <w:rsid w:val="00262CCC"/>
    <w:rsid w:val="00262CE8"/>
    <w:rsid w:val="00262D9B"/>
    <w:rsid w:val="00263088"/>
    <w:rsid w:val="002630D9"/>
    <w:rsid w:val="002631CF"/>
    <w:rsid w:val="00263283"/>
    <w:rsid w:val="00263344"/>
    <w:rsid w:val="00263491"/>
    <w:rsid w:val="00263554"/>
    <w:rsid w:val="0026362A"/>
    <w:rsid w:val="00263671"/>
    <w:rsid w:val="00263723"/>
    <w:rsid w:val="0026372B"/>
    <w:rsid w:val="00263914"/>
    <w:rsid w:val="00263A39"/>
    <w:rsid w:val="00263C3B"/>
    <w:rsid w:val="00263C3E"/>
    <w:rsid w:val="00263D6B"/>
    <w:rsid w:val="00263DBE"/>
    <w:rsid w:val="00263E7C"/>
    <w:rsid w:val="00263EEE"/>
    <w:rsid w:val="00263F9A"/>
    <w:rsid w:val="00263FB6"/>
    <w:rsid w:val="00264037"/>
    <w:rsid w:val="00264065"/>
    <w:rsid w:val="0026413F"/>
    <w:rsid w:val="00264350"/>
    <w:rsid w:val="00264365"/>
    <w:rsid w:val="002647AB"/>
    <w:rsid w:val="002649ED"/>
    <w:rsid w:val="00264A7E"/>
    <w:rsid w:val="00264AC1"/>
    <w:rsid w:val="00264B12"/>
    <w:rsid w:val="00264BCB"/>
    <w:rsid w:val="00264D52"/>
    <w:rsid w:val="00264F5A"/>
    <w:rsid w:val="002650FF"/>
    <w:rsid w:val="002652D7"/>
    <w:rsid w:val="00265337"/>
    <w:rsid w:val="002653C4"/>
    <w:rsid w:val="0026547E"/>
    <w:rsid w:val="00265488"/>
    <w:rsid w:val="002654BE"/>
    <w:rsid w:val="002654CD"/>
    <w:rsid w:val="0026559B"/>
    <w:rsid w:val="002658C2"/>
    <w:rsid w:val="00265A20"/>
    <w:rsid w:val="00265D9C"/>
    <w:rsid w:val="00265E40"/>
    <w:rsid w:val="00265E48"/>
    <w:rsid w:val="00265F57"/>
    <w:rsid w:val="00265F65"/>
    <w:rsid w:val="0026609E"/>
    <w:rsid w:val="0026617B"/>
    <w:rsid w:val="002662ED"/>
    <w:rsid w:val="002662F5"/>
    <w:rsid w:val="00266419"/>
    <w:rsid w:val="00266624"/>
    <w:rsid w:val="00266700"/>
    <w:rsid w:val="00266713"/>
    <w:rsid w:val="00266791"/>
    <w:rsid w:val="002667CE"/>
    <w:rsid w:val="0026681D"/>
    <w:rsid w:val="0026686F"/>
    <w:rsid w:val="00266953"/>
    <w:rsid w:val="00266970"/>
    <w:rsid w:val="00266984"/>
    <w:rsid w:val="00266AA3"/>
    <w:rsid w:val="00266AD5"/>
    <w:rsid w:val="00266B6D"/>
    <w:rsid w:val="00266C61"/>
    <w:rsid w:val="00266D09"/>
    <w:rsid w:val="00267173"/>
    <w:rsid w:val="002671F3"/>
    <w:rsid w:val="0026733C"/>
    <w:rsid w:val="00267392"/>
    <w:rsid w:val="002673E0"/>
    <w:rsid w:val="002676C4"/>
    <w:rsid w:val="0026770A"/>
    <w:rsid w:val="00267769"/>
    <w:rsid w:val="002677BB"/>
    <w:rsid w:val="00267839"/>
    <w:rsid w:val="002678C7"/>
    <w:rsid w:val="0026792E"/>
    <w:rsid w:val="00267942"/>
    <w:rsid w:val="00267943"/>
    <w:rsid w:val="00267A8C"/>
    <w:rsid w:val="00267ADC"/>
    <w:rsid w:val="00267B96"/>
    <w:rsid w:val="00267C0B"/>
    <w:rsid w:val="00267C38"/>
    <w:rsid w:val="00267CAC"/>
    <w:rsid w:val="00267CC7"/>
    <w:rsid w:val="00267DC1"/>
    <w:rsid w:val="00267E06"/>
    <w:rsid w:val="00267E1E"/>
    <w:rsid w:val="00267E43"/>
    <w:rsid w:val="00267E4B"/>
    <w:rsid w:val="00267E60"/>
    <w:rsid w:val="00267ED1"/>
    <w:rsid w:val="00267F14"/>
    <w:rsid w:val="00267F5E"/>
    <w:rsid w:val="00267F79"/>
    <w:rsid w:val="00267FFD"/>
    <w:rsid w:val="00270009"/>
    <w:rsid w:val="00270152"/>
    <w:rsid w:val="0027016E"/>
    <w:rsid w:val="002701C1"/>
    <w:rsid w:val="002701D0"/>
    <w:rsid w:val="00270297"/>
    <w:rsid w:val="00270611"/>
    <w:rsid w:val="00270646"/>
    <w:rsid w:val="002707CE"/>
    <w:rsid w:val="00270885"/>
    <w:rsid w:val="0027089F"/>
    <w:rsid w:val="002709F6"/>
    <w:rsid w:val="00270A13"/>
    <w:rsid w:val="00270AB4"/>
    <w:rsid w:val="00270AEF"/>
    <w:rsid w:val="00270B57"/>
    <w:rsid w:val="00270C4F"/>
    <w:rsid w:val="00270C66"/>
    <w:rsid w:val="00270D63"/>
    <w:rsid w:val="00270D89"/>
    <w:rsid w:val="0027116B"/>
    <w:rsid w:val="002711B8"/>
    <w:rsid w:val="002711D0"/>
    <w:rsid w:val="00271229"/>
    <w:rsid w:val="00271230"/>
    <w:rsid w:val="0027126A"/>
    <w:rsid w:val="002712EF"/>
    <w:rsid w:val="00271336"/>
    <w:rsid w:val="00271347"/>
    <w:rsid w:val="002713B2"/>
    <w:rsid w:val="00271620"/>
    <w:rsid w:val="00271654"/>
    <w:rsid w:val="002717BC"/>
    <w:rsid w:val="0027184F"/>
    <w:rsid w:val="0027187E"/>
    <w:rsid w:val="002718AD"/>
    <w:rsid w:val="00271903"/>
    <w:rsid w:val="00271949"/>
    <w:rsid w:val="00271AE8"/>
    <w:rsid w:val="00271B32"/>
    <w:rsid w:val="00271C28"/>
    <w:rsid w:val="00271CCF"/>
    <w:rsid w:val="00271CD3"/>
    <w:rsid w:val="00271D1F"/>
    <w:rsid w:val="00271D85"/>
    <w:rsid w:val="00271FDD"/>
    <w:rsid w:val="0027200A"/>
    <w:rsid w:val="00272012"/>
    <w:rsid w:val="00272065"/>
    <w:rsid w:val="0027209F"/>
    <w:rsid w:val="002720E0"/>
    <w:rsid w:val="0027247A"/>
    <w:rsid w:val="0027256D"/>
    <w:rsid w:val="002725B1"/>
    <w:rsid w:val="002725B9"/>
    <w:rsid w:val="002725DE"/>
    <w:rsid w:val="002725FC"/>
    <w:rsid w:val="0027270E"/>
    <w:rsid w:val="00272749"/>
    <w:rsid w:val="00272826"/>
    <w:rsid w:val="00272865"/>
    <w:rsid w:val="002729B7"/>
    <w:rsid w:val="002729E4"/>
    <w:rsid w:val="00272A1C"/>
    <w:rsid w:val="00272A87"/>
    <w:rsid w:val="00272B13"/>
    <w:rsid w:val="00272DF5"/>
    <w:rsid w:val="00272EAD"/>
    <w:rsid w:val="002730D8"/>
    <w:rsid w:val="002731F1"/>
    <w:rsid w:val="00273209"/>
    <w:rsid w:val="00273210"/>
    <w:rsid w:val="002732B6"/>
    <w:rsid w:val="00273358"/>
    <w:rsid w:val="002733AA"/>
    <w:rsid w:val="00273483"/>
    <w:rsid w:val="00273554"/>
    <w:rsid w:val="00273587"/>
    <w:rsid w:val="0027366A"/>
    <w:rsid w:val="002736DC"/>
    <w:rsid w:val="00273753"/>
    <w:rsid w:val="00273827"/>
    <w:rsid w:val="00273881"/>
    <w:rsid w:val="002738D9"/>
    <w:rsid w:val="0027395F"/>
    <w:rsid w:val="002739E2"/>
    <w:rsid w:val="00273A8A"/>
    <w:rsid w:val="00273AB7"/>
    <w:rsid w:val="00273B64"/>
    <w:rsid w:val="00273BD7"/>
    <w:rsid w:val="00273C64"/>
    <w:rsid w:val="00273D91"/>
    <w:rsid w:val="00273FB2"/>
    <w:rsid w:val="0027406F"/>
    <w:rsid w:val="0027411E"/>
    <w:rsid w:val="00274149"/>
    <w:rsid w:val="0027434C"/>
    <w:rsid w:val="002743ED"/>
    <w:rsid w:val="00274433"/>
    <w:rsid w:val="00274478"/>
    <w:rsid w:val="00274544"/>
    <w:rsid w:val="002745F9"/>
    <w:rsid w:val="002746E7"/>
    <w:rsid w:val="00274816"/>
    <w:rsid w:val="002749C5"/>
    <w:rsid w:val="00274A67"/>
    <w:rsid w:val="00274AB2"/>
    <w:rsid w:val="00274C63"/>
    <w:rsid w:val="00274D28"/>
    <w:rsid w:val="00274DBE"/>
    <w:rsid w:val="00274DD0"/>
    <w:rsid w:val="00274E7B"/>
    <w:rsid w:val="00274EB2"/>
    <w:rsid w:val="00274F83"/>
    <w:rsid w:val="0027500E"/>
    <w:rsid w:val="002750C6"/>
    <w:rsid w:val="0027512F"/>
    <w:rsid w:val="002752ED"/>
    <w:rsid w:val="0027531C"/>
    <w:rsid w:val="00275381"/>
    <w:rsid w:val="0027540D"/>
    <w:rsid w:val="002755CB"/>
    <w:rsid w:val="0027569C"/>
    <w:rsid w:val="0027577B"/>
    <w:rsid w:val="0027584F"/>
    <w:rsid w:val="0027599A"/>
    <w:rsid w:val="00275A20"/>
    <w:rsid w:val="00275B7B"/>
    <w:rsid w:val="00275B93"/>
    <w:rsid w:val="00275BB7"/>
    <w:rsid w:val="00275BFD"/>
    <w:rsid w:val="00275C90"/>
    <w:rsid w:val="00275CA1"/>
    <w:rsid w:val="00275D05"/>
    <w:rsid w:val="00275FC4"/>
    <w:rsid w:val="0027606A"/>
    <w:rsid w:val="0027606E"/>
    <w:rsid w:val="00276076"/>
    <w:rsid w:val="002760A3"/>
    <w:rsid w:val="0027611F"/>
    <w:rsid w:val="00276171"/>
    <w:rsid w:val="00276182"/>
    <w:rsid w:val="0027655F"/>
    <w:rsid w:val="00276582"/>
    <w:rsid w:val="002765A1"/>
    <w:rsid w:val="0027666D"/>
    <w:rsid w:val="00276757"/>
    <w:rsid w:val="002768DD"/>
    <w:rsid w:val="00276961"/>
    <w:rsid w:val="002769C3"/>
    <w:rsid w:val="00276A16"/>
    <w:rsid w:val="00276A31"/>
    <w:rsid w:val="00276A6E"/>
    <w:rsid w:val="00276AB0"/>
    <w:rsid w:val="00276AD1"/>
    <w:rsid w:val="00276B45"/>
    <w:rsid w:val="00276CD9"/>
    <w:rsid w:val="00276DC6"/>
    <w:rsid w:val="00276F14"/>
    <w:rsid w:val="0027704D"/>
    <w:rsid w:val="00277082"/>
    <w:rsid w:val="00277236"/>
    <w:rsid w:val="00277332"/>
    <w:rsid w:val="0027736B"/>
    <w:rsid w:val="0027741E"/>
    <w:rsid w:val="00277561"/>
    <w:rsid w:val="002775FC"/>
    <w:rsid w:val="00277608"/>
    <w:rsid w:val="0027773C"/>
    <w:rsid w:val="0027774D"/>
    <w:rsid w:val="0027789A"/>
    <w:rsid w:val="002778D2"/>
    <w:rsid w:val="00277A16"/>
    <w:rsid w:val="00277B05"/>
    <w:rsid w:val="00277B40"/>
    <w:rsid w:val="00277BAF"/>
    <w:rsid w:val="00277BC3"/>
    <w:rsid w:val="00277E42"/>
    <w:rsid w:val="00277ED4"/>
    <w:rsid w:val="0028002F"/>
    <w:rsid w:val="0028003F"/>
    <w:rsid w:val="0028019B"/>
    <w:rsid w:val="002801CC"/>
    <w:rsid w:val="002801E5"/>
    <w:rsid w:val="002802B6"/>
    <w:rsid w:val="00280332"/>
    <w:rsid w:val="00280469"/>
    <w:rsid w:val="0028070A"/>
    <w:rsid w:val="002807E5"/>
    <w:rsid w:val="00280809"/>
    <w:rsid w:val="00280811"/>
    <w:rsid w:val="002808D6"/>
    <w:rsid w:val="00280917"/>
    <w:rsid w:val="00280AD2"/>
    <w:rsid w:val="00280B22"/>
    <w:rsid w:val="00280DAC"/>
    <w:rsid w:val="00280F14"/>
    <w:rsid w:val="00281027"/>
    <w:rsid w:val="00281041"/>
    <w:rsid w:val="002810CB"/>
    <w:rsid w:val="00281113"/>
    <w:rsid w:val="00281134"/>
    <w:rsid w:val="0028131C"/>
    <w:rsid w:val="0028139C"/>
    <w:rsid w:val="002814C6"/>
    <w:rsid w:val="00281678"/>
    <w:rsid w:val="0028173C"/>
    <w:rsid w:val="002817E0"/>
    <w:rsid w:val="00281824"/>
    <w:rsid w:val="0028195B"/>
    <w:rsid w:val="002819B3"/>
    <w:rsid w:val="002819E3"/>
    <w:rsid w:val="00281AC1"/>
    <w:rsid w:val="00281AE6"/>
    <w:rsid w:val="00281AF4"/>
    <w:rsid w:val="00281BB8"/>
    <w:rsid w:val="00281CC5"/>
    <w:rsid w:val="00281D1E"/>
    <w:rsid w:val="00281E5F"/>
    <w:rsid w:val="00281ED3"/>
    <w:rsid w:val="00281F38"/>
    <w:rsid w:val="00281F67"/>
    <w:rsid w:val="00282091"/>
    <w:rsid w:val="002820CB"/>
    <w:rsid w:val="0028216A"/>
    <w:rsid w:val="0028217F"/>
    <w:rsid w:val="002822E3"/>
    <w:rsid w:val="0028252C"/>
    <w:rsid w:val="00282577"/>
    <w:rsid w:val="00282722"/>
    <w:rsid w:val="002827AE"/>
    <w:rsid w:val="00282847"/>
    <w:rsid w:val="0028286A"/>
    <w:rsid w:val="00282956"/>
    <w:rsid w:val="00282999"/>
    <w:rsid w:val="002829F1"/>
    <w:rsid w:val="00282A04"/>
    <w:rsid w:val="00282A3F"/>
    <w:rsid w:val="00282B51"/>
    <w:rsid w:val="00282B6D"/>
    <w:rsid w:val="00282BC8"/>
    <w:rsid w:val="00282C04"/>
    <w:rsid w:val="00282CDA"/>
    <w:rsid w:val="00282F59"/>
    <w:rsid w:val="00283008"/>
    <w:rsid w:val="00283097"/>
    <w:rsid w:val="002830BB"/>
    <w:rsid w:val="002830DC"/>
    <w:rsid w:val="0028310E"/>
    <w:rsid w:val="00283172"/>
    <w:rsid w:val="002832A3"/>
    <w:rsid w:val="002832AC"/>
    <w:rsid w:val="002832C4"/>
    <w:rsid w:val="002832D2"/>
    <w:rsid w:val="002832D5"/>
    <w:rsid w:val="00283369"/>
    <w:rsid w:val="002833F8"/>
    <w:rsid w:val="002835DC"/>
    <w:rsid w:val="002836DE"/>
    <w:rsid w:val="002836EF"/>
    <w:rsid w:val="00283827"/>
    <w:rsid w:val="00283A18"/>
    <w:rsid w:val="00283A43"/>
    <w:rsid w:val="00283A5E"/>
    <w:rsid w:val="00283A7A"/>
    <w:rsid w:val="00283B09"/>
    <w:rsid w:val="00283C09"/>
    <w:rsid w:val="00283C25"/>
    <w:rsid w:val="00283CB2"/>
    <w:rsid w:val="00283D9A"/>
    <w:rsid w:val="00283E25"/>
    <w:rsid w:val="00283F71"/>
    <w:rsid w:val="002840E6"/>
    <w:rsid w:val="002841E5"/>
    <w:rsid w:val="002841F9"/>
    <w:rsid w:val="00284242"/>
    <w:rsid w:val="0028427C"/>
    <w:rsid w:val="002842E2"/>
    <w:rsid w:val="00284301"/>
    <w:rsid w:val="00284410"/>
    <w:rsid w:val="00284460"/>
    <w:rsid w:val="00284495"/>
    <w:rsid w:val="002844E2"/>
    <w:rsid w:val="00284574"/>
    <w:rsid w:val="002845F7"/>
    <w:rsid w:val="00284601"/>
    <w:rsid w:val="00284648"/>
    <w:rsid w:val="002846BE"/>
    <w:rsid w:val="002846EF"/>
    <w:rsid w:val="00284718"/>
    <w:rsid w:val="00284730"/>
    <w:rsid w:val="0028497C"/>
    <w:rsid w:val="00284C41"/>
    <w:rsid w:val="00284C89"/>
    <w:rsid w:val="00284E98"/>
    <w:rsid w:val="00284E9A"/>
    <w:rsid w:val="00284F22"/>
    <w:rsid w:val="00284F7A"/>
    <w:rsid w:val="00285077"/>
    <w:rsid w:val="00285128"/>
    <w:rsid w:val="00285140"/>
    <w:rsid w:val="0028517C"/>
    <w:rsid w:val="002851E2"/>
    <w:rsid w:val="002852C5"/>
    <w:rsid w:val="002852E1"/>
    <w:rsid w:val="00285508"/>
    <w:rsid w:val="00285633"/>
    <w:rsid w:val="00285683"/>
    <w:rsid w:val="0028591E"/>
    <w:rsid w:val="0028598C"/>
    <w:rsid w:val="00285A04"/>
    <w:rsid w:val="00285B22"/>
    <w:rsid w:val="00285B7F"/>
    <w:rsid w:val="00285BB6"/>
    <w:rsid w:val="00285BD5"/>
    <w:rsid w:val="00285D30"/>
    <w:rsid w:val="00285E77"/>
    <w:rsid w:val="00285F9A"/>
    <w:rsid w:val="00286164"/>
    <w:rsid w:val="0028617C"/>
    <w:rsid w:val="002861AC"/>
    <w:rsid w:val="002861D6"/>
    <w:rsid w:val="00286213"/>
    <w:rsid w:val="00286255"/>
    <w:rsid w:val="00286391"/>
    <w:rsid w:val="00286654"/>
    <w:rsid w:val="00286734"/>
    <w:rsid w:val="00286769"/>
    <w:rsid w:val="002867CB"/>
    <w:rsid w:val="0028681B"/>
    <w:rsid w:val="0028686D"/>
    <w:rsid w:val="00286873"/>
    <w:rsid w:val="00286A93"/>
    <w:rsid w:val="00286BAB"/>
    <w:rsid w:val="00286C6C"/>
    <w:rsid w:val="00286C87"/>
    <w:rsid w:val="00286C99"/>
    <w:rsid w:val="00286D86"/>
    <w:rsid w:val="002872C2"/>
    <w:rsid w:val="002872C9"/>
    <w:rsid w:val="0028745A"/>
    <w:rsid w:val="00287478"/>
    <w:rsid w:val="00287546"/>
    <w:rsid w:val="002875D4"/>
    <w:rsid w:val="0028786F"/>
    <w:rsid w:val="00287B15"/>
    <w:rsid w:val="00287C63"/>
    <w:rsid w:val="00287D0E"/>
    <w:rsid w:val="00287DEE"/>
    <w:rsid w:val="00287DFF"/>
    <w:rsid w:val="00287E88"/>
    <w:rsid w:val="0029000E"/>
    <w:rsid w:val="002900AA"/>
    <w:rsid w:val="002900C9"/>
    <w:rsid w:val="002900D2"/>
    <w:rsid w:val="0029015D"/>
    <w:rsid w:val="00290171"/>
    <w:rsid w:val="002901D7"/>
    <w:rsid w:val="002902AB"/>
    <w:rsid w:val="002903CE"/>
    <w:rsid w:val="002904CE"/>
    <w:rsid w:val="0029050D"/>
    <w:rsid w:val="00290518"/>
    <w:rsid w:val="00290830"/>
    <w:rsid w:val="00290B9C"/>
    <w:rsid w:val="00290BD6"/>
    <w:rsid w:val="00290C27"/>
    <w:rsid w:val="00290C70"/>
    <w:rsid w:val="00290C97"/>
    <w:rsid w:val="00290E30"/>
    <w:rsid w:val="00290EE3"/>
    <w:rsid w:val="002910A5"/>
    <w:rsid w:val="00291127"/>
    <w:rsid w:val="0029118D"/>
    <w:rsid w:val="002911A6"/>
    <w:rsid w:val="002912B9"/>
    <w:rsid w:val="002912C3"/>
    <w:rsid w:val="002912D8"/>
    <w:rsid w:val="002913C1"/>
    <w:rsid w:val="0029150A"/>
    <w:rsid w:val="0029157B"/>
    <w:rsid w:val="002916B5"/>
    <w:rsid w:val="0029183D"/>
    <w:rsid w:val="0029194A"/>
    <w:rsid w:val="002919DD"/>
    <w:rsid w:val="00291B4A"/>
    <w:rsid w:val="00291BC2"/>
    <w:rsid w:val="00291C10"/>
    <w:rsid w:val="00291D17"/>
    <w:rsid w:val="00291DE2"/>
    <w:rsid w:val="00291EBD"/>
    <w:rsid w:val="00291EE3"/>
    <w:rsid w:val="00291EE6"/>
    <w:rsid w:val="00291FCC"/>
    <w:rsid w:val="0029200F"/>
    <w:rsid w:val="0029208D"/>
    <w:rsid w:val="00292188"/>
    <w:rsid w:val="002921BC"/>
    <w:rsid w:val="00292380"/>
    <w:rsid w:val="00292444"/>
    <w:rsid w:val="00292455"/>
    <w:rsid w:val="0029253E"/>
    <w:rsid w:val="002925A1"/>
    <w:rsid w:val="0029262A"/>
    <w:rsid w:val="00292709"/>
    <w:rsid w:val="00292868"/>
    <w:rsid w:val="002929B1"/>
    <w:rsid w:val="002929C0"/>
    <w:rsid w:val="002929C7"/>
    <w:rsid w:val="00292A57"/>
    <w:rsid w:val="00292B40"/>
    <w:rsid w:val="00292C42"/>
    <w:rsid w:val="00292C52"/>
    <w:rsid w:val="00292D34"/>
    <w:rsid w:val="00292EA2"/>
    <w:rsid w:val="00292EC5"/>
    <w:rsid w:val="00292FEA"/>
    <w:rsid w:val="0029302E"/>
    <w:rsid w:val="0029334A"/>
    <w:rsid w:val="002933C1"/>
    <w:rsid w:val="00293410"/>
    <w:rsid w:val="0029342E"/>
    <w:rsid w:val="00293600"/>
    <w:rsid w:val="0029368D"/>
    <w:rsid w:val="002936F9"/>
    <w:rsid w:val="00293725"/>
    <w:rsid w:val="0029373F"/>
    <w:rsid w:val="002937A7"/>
    <w:rsid w:val="00293849"/>
    <w:rsid w:val="002938A2"/>
    <w:rsid w:val="00293A5A"/>
    <w:rsid w:val="00293B38"/>
    <w:rsid w:val="00293B9E"/>
    <w:rsid w:val="00293CF9"/>
    <w:rsid w:val="00293D1F"/>
    <w:rsid w:val="00293D7C"/>
    <w:rsid w:val="00293DA0"/>
    <w:rsid w:val="00293E43"/>
    <w:rsid w:val="00293F26"/>
    <w:rsid w:val="0029403F"/>
    <w:rsid w:val="00294087"/>
    <w:rsid w:val="002940A6"/>
    <w:rsid w:val="00294191"/>
    <w:rsid w:val="0029419F"/>
    <w:rsid w:val="002941DF"/>
    <w:rsid w:val="002941E4"/>
    <w:rsid w:val="002942D2"/>
    <w:rsid w:val="00294362"/>
    <w:rsid w:val="0029439B"/>
    <w:rsid w:val="002943C9"/>
    <w:rsid w:val="00294603"/>
    <w:rsid w:val="00294609"/>
    <w:rsid w:val="00294687"/>
    <w:rsid w:val="0029481B"/>
    <w:rsid w:val="00294863"/>
    <w:rsid w:val="00294A72"/>
    <w:rsid w:val="00294A92"/>
    <w:rsid w:val="00294B23"/>
    <w:rsid w:val="00294C20"/>
    <w:rsid w:val="00294E63"/>
    <w:rsid w:val="00294F65"/>
    <w:rsid w:val="00295028"/>
    <w:rsid w:val="0029519C"/>
    <w:rsid w:val="00295224"/>
    <w:rsid w:val="002952A0"/>
    <w:rsid w:val="002952E8"/>
    <w:rsid w:val="00295365"/>
    <w:rsid w:val="0029547A"/>
    <w:rsid w:val="002954E7"/>
    <w:rsid w:val="00295508"/>
    <w:rsid w:val="00295515"/>
    <w:rsid w:val="00295574"/>
    <w:rsid w:val="002955B5"/>
    <w:rsid w:val="00295604"/>
    <w:rsid w:val="0029560F"/>
    <w:rsid w:val="0029561A"/>
    <w:rsid w:val="0029566F"/>
    <w:rsid w:val="002956B8"/>
    <w:rsid w:val="0029570B"/>
    <w:rsid w:val="00295723"/>
    <w:rsid w:val="00295792"/>
    <w:rsid w:val="00295803"/>
    <w:rsid w:val="00295829"/>
    <w:rsid w:val="0029585F"/>
    <w:rsid w:val="002958AE"/>
    <w:rsid w:val="002959C3"/>
    <w:rsid w:val="00295A70"/>
    <w:rsid w:val="00295AAB"/>
    <w:rsid w:val="00295AB9"/>
    <w:rsid w:val="00295C37"/>
    <w:rsid w:val="00295C8D"/>
    <w:rsid w:val="00295CAC"/>
    <w:rsid w:val="00295D74"/>
    <w:rsid w:val="00295E22"/>
    <w:rsid w:val="00295E6A"/>
    <w:rsid w:val="00295E6C"/>
    <w:rsid w:val="00296102"/>
    <w:rsid w:val="002961ED"/>
    <w:rsid w:val="002961FB"/>
    <w:rsid w:val="002964E0"/>
    <w:rsid w:val="002964F7"/>
    <w:rsid w:val="002966B7"/>
    <w:rsid w:val="0029677C"/>
    <w:rsid w:val="002967A4"/>
    <w:rsid w:val="00296815"/>
    <w:rsid w:val="0029681D"/>
    <w:rsid w:val="00296823"/>
    <w:rsid w:val="002968AD"/>
    <w:rsid w:val="002968EB"/>
    <w:rsid w:val="0029692F"/>
    <w:rsid w:val="0029696A"/>
    <w:rsid w:val="00296ABC"/>
    <w:rsid w:val="00296AE9"/>
    <w:rsid w:val="00296AF7"/>
    <w:rsid w:val="00296C34"/>
    <w:rsid w:val="00296D1E"/>
    <w:rsid w:val="00296EC7"/>
    <w:rsid w:val="00296F3C"/>
    <w:rsid w:val="00296F59"/>
    <w:rsid w:val="00297110"/>
    <w:rsid w:val="0029718C"/>
    <w:rsid w:val="00297198"/>
    <w:rsid w:val="002971C9"/>
    <w:rsid w:val="002971EF"/>
    <w:rsid w:val="00297204"/>
    <w:rsid w:val="00297239"/>
    <w:rsid w:val="002972F7"/>
    <w:rsid w:val="00297461"/>
    <w:rsid w:val="00297497"/>
    <w:rsid w:val="002974C7"/>
    <w:rsid w:val="0029761F"/>
    <w:rsid w:val="00297760"/>
    <w:rsid w:val="002977A0"/>
    <w:rsid w:val="00297906"/>
    <w:rsid w:val="00297A43"/>
    <w:rsid w:val="00297BC5"/>
    <w:rsid w:val="00297F0C"/>
    <w:rsid w:val="00297FED"/>
    <w:rsid w:val="002A0069"/>
    <w:rsid w:val="002A0157"/>
    <w:rsid w:val="002A0309"/>
    <w:rsid w:val="002A03CF"/>
    <w:rsid w:val="002A0435"/>
    <w:rsid w:val="002A0475"/>
    <w:rsid w:val="002A0503"/>
    <w:rsid w:val="002A0544"/>
    <w:rsid w:val="002A05FA"/>
    <w:rsid w:val="002A0741"/>
    <w:rsid w:val="002A0763"/>
    <w:rsid w:val="002A07CD"/>
    <w:rsid w:val="002A0868"/>
    <w:rsid w:val="002A096F"/>
    <w:rsid w:val="002A0A15"/>
    <w:rsid w:val="002A0B6B"/>
    <w:rsid w:val="002A0D47"/>
    <w:rsid w:val="002A0D4C"/>
    <w:rsid w:val="002A0D5B"/>
    <w:rsid w:val="002A0F2E"/>
    <w:rsid w:val="002A0F65"/>
    <w:rsid w:val="002A0FA3"/>
    <w:rsid w:val="002A10AD"/>
    <w:rsid w:val="002A1109"/>
    <w:rsid w:val="002A1118"/>
    <w:rsid w:val="002A118E"/>
    <w:rsid w:val="002A11BD"/>
    <w:rsid w:val="002A1307"/>
    <w:rsid w:val="002A13A8"/>
    <w:rsid w:val="002A13EA"/>
    <w:rsid w:val="002A1422"/>
    <w:rsid w:val="002A149E"/>
    <w:rsid w:val="002A15EB"/>
    <w:rsid w:val="002A1650"/>
    <w:rsid w:val="002A1681"/>
    <w:rsid w:val="002A1738"/>
    <w:rsid w:val="002A173D"/>
    <w:rsid w:val="002A178C"/>
    <w:rsid w:val="002A1919"/>
    <w:rsid w:val="002A19A9"/>
    <w:rsid w:val="002A1C98"/>
    <w:rsid w:val="002A1CA9"/>
    <w:rsid w:val="002A1D2E"/>
    <w:rsid w:val="002A1DB6"/>
    <w:rsid w:val="002A1EA0"/>
    <w:rsid w:val="002A1FC4"/>
    <w:rsid w:val="002A2022"/>
    <w:rsid w:val="002A203A"/>
    <w:rsid w:val="002A212E"/>
    <w:rsid w:val="002A22DB"/>
    <w:rsid w:val="002A245E"/>
    <w:rsid w:val="002A248E"/>
    <w:rsid w:val="002A282C"/>
    <w:rsid w:val="002A2881"/>
    <w:rsid w:val="002A2986"/>
    <w:rsid w:val="002A2B37"/>
    <w:rsid w:val="002A2B9C"/>
    <w:rsid w:val="002A2C2F"/>
    <w:rsid w:val="002A2C94"/>
    <w:rsid w:val="002A2CDD"/>
    <w:rsid w:val="002A2DCF"/>
    <w:rsid w:val="002A2E61"/>
    <w:rsid w:val="002A2E90"/>
    <w:rsid w:val="002A2FE3"/>
    <w:rsid w:val="002A3105"/>
    <w:rsid w:val="002A333F"/>
    <w:rsid w:val="002A3546"/>
    <w:rsid w:val="002A3610"/>
    <w:rsid w:val="002A37E5"/>
    <w:rsid w:val="002A38EB"/>
    <w:rsid w:val="002A3937"/>
    <w:rsid w:val="002A39D8"/>
    <w:rsid w:val="002A39FA"/>
    <w:rsid w:val="002A3AE5"/>
    <w:rsid w:val="002A3BC0"/>
    <w:rsid w:val="002A3C9B"/>
    <w:rsid w:val="002A3CDB"/>
    <w:rsid w:val="002A3D77"/>
    <w:rsid w:val="002A3E2F"/>
    <w:rsid w:val="002A3EB1"/>
    <w:rsid w:val="002A3ECF"/>
    <w:rsid w:val="002A3ED8"/>
    <w:rsid w:val="002A3EF4"/>
    <w:rsid w:val="002A3F4E"/>
    <w:rsid w:val="002A4050"/>
    <w:rsid w:val="002A414D"/>
    <w:rsid w:val="002A42D0"/>
    <w:rsid w:val="002A430C"/>
    <w:rsid w:val="002A4352"/>
    <w:rsid w:val="002A438A"/>
    <w:rsid w:val="002A43B0"/>
    <w:rsid w:val="002A44E5"/>
    <w:rsid w:val="002A4507"/>
    <w:rsid w:val="002A4577"/>
    <w:rsid w:val="002A459A"/>
    <w:rsid w:val="002A461C"/>
    <w:rsid w:val="002A46DE"/>
    <w:rsid w:val="002A4746"/>
    <w:rsid w:val="002A48E5"/>
    <w:rsid w:val="002A4A56"/>
    <w:rsid w:val="002A4B9D"/>
    <w:rsid w:val="002A4C64"/>
    <w:rsid w:val="002A4EBB"/>
    <w:rsid w:val="002A4ECB"/>
    <w:rsid w:val="002A504F"/>
    <w:rsid w:val="002A50C2"/>
    <w:rsid w:val="002A5118"/>
    <w:rsid w:val="002A514A"/>
    <w:rsid w:val="002A51B0"/>
    <w:rsid w:val="002A52CB"/>
    <w:rsid w:val="002A5399"/>
    <w:rsid w:val="002A53A9"/>
    <w:rsid w:val="002A54CF"/>
    <w:rsid w:val="002A553F"/>
    <w:rsid w:val="002A5559"/>
    <w:rsid w:val="002A56F3"/>
    <w:rsid w:val="002A5719"/>
    <w:rsid w:val="002A57C5"/>
    <w:rsid w:val="002A57D2"/>
    <w:rsid w:val="002A583A"/>
    <w:rsid w:val="002A595F"/>
    <w:rsid w:val="002A5CD6"/>
    <w:rsid w:val="002A5D89"/>
    <w:rsid w:val="002A5D8C"/>
    <w:rsid w:val="002A5E17"/>
    <w:rsid w:val="002A5E2F"/>
    <w:rsid w:val="002A5E80"/>
    <w:rsid w:val="002A5FC7"/>
    <w:rsid w:val="002A61A8"/>
    <w:rsid w:val="002A624B"/>
    <w:rsid w:val="002A627B"/>
    <w:rsid w:val="002A62D9"/>
    <w:rsid w:val="002A6418"/>
    <w:rsid w:val="002A6462"/>
    <w:rsid w:val="002A657C"/>
    <w:rsid w:val="002A65DE"/>
    <w:rsid w:val="002A6740"/>
    <w:rsid w:val="002A67E3"/>
    <w:rsid w:val="002A6873"/>
    <w:rsid w:val="002A68A7"/>
    <w:rsid w:val="002A68BB"/>
    <w:rsid w:val="002A6A07"/>
    <w:rsid w:val="002A6AA1"/>
    <w:rsid w:val="002A6AA8"/>
    <w:rsid w:val="002A6B6E"/>
    <w:rsid w:val="002A6B88"/>
    <w:rsid w:val="002A6BCB"/>
    <w:rsid w:val="002A6C2D"/>
    <w:rsid w:val="002A6D47"/>
    <w:rsid w:val="002A6E56"/>
    <w:rsid w:val="002A6E61"/>
    <w:rsid w:val="002A6E7B"/>
    <w:rsid w:val="002A6E92"/>
    <w:rsid w:val="002A6EC5"/>
    <w:rsid w:val="002A6FA1"/>
    <w:rsid w:val="002A6FF8"/>
    <w:rsid w:val="002A70C7"/>
    <w:rsid w:val="002A71A9"/>
    <w:rsid w:val="002A720B"/>
    <w:rsid w:val="002A721A"/>
    <w:rsid w:val="002A73A4"/>
    <w:rsid w:val="002A73CD"/>
    <w:rsid w:val="002A7416"/>
    <w:rsid w:val="002A7465"/>
    <w:rsid w:val="002A74DA"/>
    <w:rsid w:val="002A7614"/>
    <w:rsid w:val="002A76A7"/>
    <w:rsid w:val="002A76C7"/>
    <w:rsid w:val="002A78D2"/>
    <w:rsid w:val="002A79AD"/>
    <w:rsid w:val="002A7A57"/>
    <w:rsid w:val="002A7C07"/>
    <w:rsid w:val="002A7D71"/>
    <w:rsid w:val="002A7EEE"/>
    <w:rsid w:val="002A7F6C"/>
    <w:rsid w:val="002A7FCA"/>
    <w:rsid w:val="002B0009"/>
    <w:rsid w:val="002B0134"/>
    <w:rsid w:val="002B01DC"/>
    <w:rsid w:val="002B0262"/>
    <w:rsid w:val="002B037E"/>
    <w:rsid w:val="002B03AD"/>
    <w:rsid w:val="002B07F8"/>
    <w:rsid w:val="002B083B"/>
    <w:rsid w:val="002B0865"/>
    <w:rsid w:val="002B08B3"/>
    <w:rsid w:val="002B095C"/>
    <w:rsid w:val="002B09D2"/>
    <w:rsid w:val="002B0AB7"/>
    <w:rsid w:val="002B0B52"/>
    <w:rsid w:val="002B0B63"/>
    <w:rsid w:val="002B0B72"/>
    <w:rsid w:val="002B0BB4"/>
    <w:rsid w:val="002B0CE2"/>
    <w:rsid w:val="002B0EA8"/>
    <w:rsid w:val="002B0F5F"/>
    <w:rsid w:val="002B0FAA"/>
    <w:rsid w:val="002B0FBF"/>
    <w:rsid w:val="002B0FD9"/>
    <w:rsid w:val="002B103A"/>
    <w:rsid w:val="002B1070"/>
    <w:rsid w:val="002B109E"/>
    <w:rsid w:val="002B10D2"/>
    <w:rsid w:val="002B11DF"/>
    <w:rsid w:val="002B12DB"/>
    <w:rsid w:val="002B12F1"/>
    <w:rsid w:val="002B1374"/>
    <w:rsid w:val="002B13FE"/>
    <w:rsid w:val="002B16CC"/>
    <w:rsid w:val="002B179E"/>
    <w:rsid w:val="002B1869"/>
    <w:rsid w:val="002B1A82"/>
    <w:rsid w:val="002B1B7A"/>
    <w:rsid w:val="002B1BC9"/>
    <w:rsid w:val="002B1C53"/>
    <w:rsid w:val="002B1E3D"/>
    <w:rsid w:val="002B1F75"/>
    <w:rsid w:val="002B20E0"/>
    <w:rsid w:val="002B2212"/>
    <w:rsid w:val="002B2264"/>
    <w:rsid w:val="002B2273"/>
    <w:rsid w:val="002B228F"/>
    <w:rsid w:val="002B2345"/>
    <w:rsid w:val="002B2449"/>
    <w:rsid w:val="002B269B"/>
    <w:rsid w:val="002B27D5"/>
    <w:rsid w:val="002B27E7"/>
    <w:rsid w:val="002B27ED"/>
    <w:rsid w:val="002B28DF"/>
    <w:rsid w:val="002B2929"/>
    <w:rsid w:val="002B2B1C"/>
    <w:rsid w:val="002B2C37"/>
    <w:rsid w:val="002B2C5D"/>
    <w:rsid w:val="002B2D4D"/>
    <w:rsid w:val="002B2E7C"/>
    <w:rsid w:val="002B2ECC"/>
    <w:rsid w:val="002B2ED0"/>
    <w:rsid w:val="002B2F26"/>
    <w:rsid w:val="002B2F92"/>
    <w:rsid w:val="002B3029"/>
    <w:rsid w:val="002B306B"/>
    <w:rsid w:val="002B30A3"/>
    <w:rsid w:val="002B31A5"/>
    <w:rsid w:val="002B3245"/>
    <w:rsid w:val="002B351D"/>
    <w:rsid w:val="002B369C"/>
    <w:rsid w:val="002B36D9"/>
    <w:rsid w:val="002B3734"/>
    <w:rsid w:val="002B38A1"/>
    <w:rsid w:val="002B38BA"/>
    <w:rsid w:val="002B38C9"/>
    <w:rsid w:val="002B396F"/>
    <w:rsid w:val="002B399F"/>
    <w:rsid w:val="002B39C9"/>
    <w:rsid w:val="002B3A18"/>
    <w:rsid w:val="002B3A1B"/>
    <w:rsid w:val="002B3B3B"/>
    <w:rsid w:val="002B3B6E"/>
    <w:rsid w:val="002B3CCB"/>
    <w:rsid w:val="002B3CCC"/>
    <w:rsid w:val="002B3D1C"/>
    <w:rsid w:val="002B3D8C"/>
    <w:rsid w:val="002B3DF1"/>
    <w:rsid w:val="002B3EA4"/>
    <w:rsid w:val="002B3EBD"/>
    <w:rsid w:val="002B3EE4"/>
    <w:rsid w:val="002B3F35"/>
    <w:rsid w:val="002B3FF9"/>
    <w:rsid w:val="002B4019"/>
    <w:rsid w:val="002B40B0"/>
    <w:rsid w:val="002B40E7"/>
    <w:rsid w:val="002B4228"/>
    <w:rsid w:val="002B4263"/>
    <w:rsid w:val="002B42C4"/>
    <w:rsid w:val="002B42E5"/>
    <w:rsid w:val="002B43A3"/>
    <w:rsid w:val="002B4523"/>
    <w:rsid w:val="002B4534"/>
    <w:rsid w:val="002B46AF"/>
    <w:rsid w:val="002B471A"/>
    <w:rsid w:val="002B482D"/>
    <w:rsid w:val="002B48B4"/>
    <w:rsid w:val="002B4A8F"/>
    <w:rsid w:val="002B4AB5"/>
    <w:rsid w:val="002B4BBB"/>
    <w:rsid w:val="002B4CCE"/>
    <w:rsid w:val="002B4CF0"/>
    <w:rsid w:val="002B4DBE"/>
    <w:rsid w:val="002B4E97"/>
    <w:rsid w:val="002B4FA4"/>
    <w:rsid w:val="002B5021"/>
    <w:rsid w:val="002B50CA"/>
    <w:rsid w:val="002B538F"/>
    <w:rsid w:val="002B541F"/>
    <w:rsid w:val="002B54D8"/>
    <w:rsid w:val="002B5690"/>
    <w:rsid w:val="002B58E1"/>
    <w:rsid w:val="002B5A38"/>
    <w:rsid w:val="002B5C8F"/>
    <w:rsid w:val="002B5D06"/>
    <w:rsid w:val="002B5D51"/>
    <w:rsid w:val="002B5E39"/>
    <w:rsid w:val="002B5E6C"/>
    <w:rsid w:val="002B5E88"/>
    <w:rsid w:val="002B5F38"/>
    <w:rsid w:val="002B5F61"/>
    <w:rsid w:val="002B61A1"/>
    <w:rsid w:val="002B64AE"/>
    <w:rsid w:val="002B6508"/>
    <w:rsid w:val="002B6630"/>
    <w:rsid w:val="002B66F0"/>
    <w:rsid w:val="002B671C"/>
    <w:rsid w:val="002B67E8"/>
    <w:rsid w:val="002B6961"/>
    <w:rsid w:val="002B6A05"/>
    <w:rsid w:val="002B6A6D"/>
    <w:rsid w:val="002B6AC8"/>
    <w:rsid w:val="002B6E5F"/>
    <w:rsid w:val="002B7057"/>
    <w:rsid w:val="002B7070"/>
    <w:rsid w:val="002B70EE"/>
    <w:rsid w:val="002B71DD"/>
    <w:rsid w:val="002B72B2"/>
    <w:rsid w:val="002B72EE"/>
    <w:rsid w:val="002B738D"/>
    <w:rsid w:val="002B7520"/>
    <w:rsid w:val="002B7525"/>
    <w:rsid w:val="002B7585"/>
    <w:rsid w:val="002B7595"/>
    <w:rsid w:val="002B7636"/>
    <w:rsid w:val="002B7827"/>
    <w:rsid w:val="002B78AB"/>
    <w:rsid w:val="002B7A80"/>
    <w:rsid w:val="002B7AD0"/>
    <w:rsid w:val="002B7BE7"/>
    <w:rsid w:val="002B7CA3"/>
    <w:rsid w:val="002B7D06"/>
    <w:rsid w:val="002B7D37"/>
    <w:rsid w:val="002B7D91"/>
    <w:rsid w:val="002B7DEF"/>
    <w:rsid w:val="002B7DF5"/>
    <w:rsid w:val="002C011A"/>
    <w:rsid w:val="002C0131"/>
    <w:rsid w:val="002C017C"/>
    <w:rsid w:val="002C0181"/>
    <w:rsid w:val="002C0328"/>
    <w:rsid w:val="002C0393"/>
    <w:rsid w:val="002C03E2"/>
    <w:rsid w:val="002C051A"/>
    <w:rsid w:val="002C0A70"/>
    <w:rsid w:val="002C0AA9"/>
    <w:rsid w:val="002C0AB6"/>
    <w:rsid w:val="002C0B84"/>
    <w:rsid w:val="002C0C59"/>
    <w:rsid w:val="002C0D74"/>
    <w:rsid w:val="002C0E2E"/>
    <w:rsid w:val="002C0F84"/>
    <w:rsid w:val="002C100B"/>
    <w:rsid w:val="002C102A"/>
    <w:rsid w:val="002C1078"/>
    <w:rsid w:val="002C10FC"/>
    <w:rsid w:val="002C11CF"/>
    <w:rsid w:val="002C120A"/>
    <w:rsid w:val="002C1233"/>
    <w:rsid w:val="002C1327"/>
    <w:rsid w:val="002C140A"/>
    <w:rsid w:val="002C146C"/>
    <w:rsid w:val="002C1573"/>
    <w:rsid w:val="002C157C"/>
    <w:rsid w:val="002C15CB"/>
    <w:rsid w:val="002C192F"/>
    <w:rsid w:val="002C196B"/>
    <w:rsid w:val="002C1C22"/>
    <w:rsid w:val="002C1CB0"/>
    <w:rsid w:val="002C1D0F"/>
    <w:rsid w:val="002C1E4F"/>
    <w:rsid w:val="002C1F24"/>
    <w:rsid w:val="002C1F30"/>
    <w:rsid w:val="002C1F5E"/>
    <w:rsid w:val="002C2045"/>
    <w:rsid w:val="002C20DB"/>
    <w:rsid w:val="002C250E"/>
    <w:rsid w:val="002C253E"/>
    <w:rsid w:val="002C2596"/>
    <w:rsid w:val="002C25AA"/>
    <w:rsid w:val="002C25DD"/>
    <w:rsid w:val="002C27A5"/>
    <w:rsid w:val="002C27F9"/>
    <w:rsid w:val="002C28C2"/>
    <w:rsid w:val="002C298F"/>
    <w:rsid w:val="002C2A04"/>
    <w:rsid w:val="002C2A82"/>
    <w:rsid w:val="002C2AAB"/>
    <w:rsid w:val="002C2AD2"/>
    <w:rsid w:val="002C2B0D"/>
    <w:rsid w:val="002C2B87"/>
    <w:rsid w:val="002C2D58"/>
    <w:rsid w:val="002C2D99"/>
    <w:rsid w:val="002C2D9E"/>
    <w:rsid w:val="002C2DF1"/>
    <w:rsid w:val="002C2F0E"/>
    <w:rsid w:val="002C2FA8"/>
    <w:rsid w:val="002C3061"/>
    <w:rsid w:val="002C3094"/>
    <w:rsid w:val="002C3116"/>
    <w:rsid w:val="002C31BB"/>
    <w:rsid w:val="002C31BC"/>
    <w:rsid w:val="002C3468"/>
    <w:rsid w:val="002C34F2"/>
    <w:rsid w:val="002C355F"/>
    <w:rsid w:val="002C3674"/>
    <w:rsid w:val="002C37CC"/>
    <w:rsid w:val="002C37F6"/>
    <w:rsid w:val="002C39EE"/>
    <w:rsid w:val="002C3A1C"/>
    <w:rsid w:val="002C3A59"/>
    <w:rsid w:val="002C3B2A"/>
    <w:rsid w:val="002C3BDA"/>
    <w:rsid w:val="002C3C65"/>
    <w:rsid w:val="002C3D78"/>
    <w:rsid w:val="002C3D9C"/>
    <w:rsid w:val="002C3EA6"/>
    <w:rsid w:val="002C3F81"/>
    <w:rsid w:val="002C3F94"/>
    <w:rsid w:val="002C3FB7"/>
    <w:rsid w:val="002C411A"/>
    <w:rsid w:val="002C41C8"/>
    <w:rsid w:val="002C4315"/>
    <w:rsid w:val="002C4408"/>
    <w:rsid w:val="002C4410"/>
    <w:rsid w:val="002C4667"/>
    <w:rsid w:val="002C4710"/>
    <w:rsid w:val="002C4764"/>
    <w:rsid w:val="002C4801"/>
    <w:rsid w:val="002C4827"/>
    <w:rsid w:val="002C483E"/>
    <w:rsid w:val="002C4886"/>
    <w:rsid w:val="002C4888"/>
    <w:rsid w:val="002C48C3"/>
    <w:rsid w:val="002C4936"/>
    <w:rsid w:val="002C4C27"/>
    <w:rsid w:val="002C4CA0"/>
    <w:rsid w:val="002C4E6E"/>
    <w:rsid w:val="002C4F09"/>
    <w:rsid w:val="002C4F66"/>
    <w:rsid w:val="002C4F78"/>
    <w:rsid w:val="002C502B"/>
    <w:rsid w:val="002C50B8"/>
    <w:rsid w:val="002C51B0"/>
    <w:rsid w:val="002C521E"/>
    <w:rsid w:val="002C5237"/>
    <w:rsid w:val="002C528A"/>
    <w:rsid w:val="002C53BA"/>
    <w:rsid w:val="002C559A"/>
    <w:rsid w:val="002C5655"/>
    <w:rsid w:val="002C56A3"/>
    <w:rsid w:val="002C56D4"/>
    <w:rsid w:val="002C576D"/>
    <w:rsid w:val="002C57A2"/>
    <w:rsid w:val="002C57FB"/>
    <w:rsid w:val="002C5875"/>
    <w:rsid w:val="002C58AE"/>
    <w:rsid w:val="002C58D8"/>
    <w:rsid w:val="002C58EA"/>
    <w:rsid w:val="002C5A80"/>
    <w:rsid w:val="002C5AF0"/>
    <w:rsid w:val="002C5B1C"/>
    <w:rsid w:val="002C5C9A"/>
    <w:rsid w:val="002C5D34"/>
    <w:rsid w:val="002C5D36"/>
    <w:rsid w:val="002C5FB0"/>
    <w:rsid w:val="002C614D"/>
    <w:rsid w:val="002C615C"/>
    <w:rsid w:val="002C6249"/>
    <w:rsid w:val="002C6276"/>
    <w:rsid w:val="002C63C7"/>
    <w:rsid w:val="002C65BD"/>
    <w:rsid w:val="002C669D"/>
    <w:rsid w:val="002C66A1"/>
    <w:rsid w:val="002C6842"/>
    <w:rsid w:val="002C68A7"/>
    <w:rsid w:val="002C6B48"/>
    <w:rsid w:val="002C6B6C"/>
    <w:rsid w:val="002C6B6D"/>
    <w:rsid w:val="002C6B7C"/>
    <w:rsid w:val="002C6C29"/>
    <w:rsid w:val="002C6C64"/>
    <w:rsid w:val="002C6CD3"/>
    <w:rsid w:val="002C6E2D"/>
    <w:rsid w:val="002C6F28"/>
    <w:rsid w:val="002C6F65"/>
    <w:rsid w:val="002C6F9D"/>
    <w:rsid w:val="002C7038"/>
    <w:rsid w:val="002C707B"/>
    <w:rsid w:val="002C70DE"/>
    <w:rsid w:val="002C714B"/>
    <w:rsid w:val="002C7162"/>
    <w:rsid w:val="002C7174"/>
    <w:rsid w:val="002C71FD"/>
    <w:rsid w:val="002C7236"/>
    <w:rsid w:val="002C73EA"/>
    <w:rsid w:val="002C792A"/>
    <w:rsid w:val="002C793A"/>
    <w:rsid w:val="002C7AB2"/>
    <w:rsid w:val="002C7B33"/>
    <w:rsid w:val="002C7BBB"/>
    <w:rsid w:val="002C7BD1"/>
    <w:rsid w:val="002C7D1F"/>
    <w:rsid w:val="002C7D64"/>
    <w:rsid w:val="002C7E13"/>
    <w:rsid w:val="002C7E66"/>
    <w:rsid w:val="002C7F44"/>
    <w:rsid w:val="002C7FE3"/>
    <w:rsid w:val="002D006F"/>
    <w:rsid w:val="002D023C"/>
    <w:rsid w:val="002D0283"/>
    <w:rsid w:val="002D03B2"/>
    <w:rsid w:val="002D05CC"/>
    <w:rsid w:val="002D05F0"/>
    <w:rsid w:val="002D060B"/>
    <w:rsid w:val="002D06B3"/>
    <w:rsid w:val="002D073F"/>
    <w:rsid w:val="002D0872"/>
    <w:rsid w:val="002D09B1"/>
    <w:rsid w:val="002D0A31"/>
    <w:rsid w:val="002D0B44"/>
    <w:rsid w:val="002D0CC3"/>
    <w:rsid w:val="002D0F32"/>
    <w:rsid w:val="002D0F35"/>
    <w:rsid w:val="002D0F73"/>
    <w:rsid w:val="002D10AC"/>
    <w:rsid w:val="002D114E"/>
    <w:rsid w:val="002D118F"/>
    <w:rsid w:val="002D12CC"/>
    <w:rsid w:val="002D134A"/>
    <w:rsid w:val="002D14AF"/>
    <w:rsid w:val="002D153F"/>
    <w:rsid w:val="002D15D5"/>
    <w:rsid w:val="002D16AE"/>
    <w:rsid w:val="002D177E"/>
    <w:rsid w:val="002D17A2"/>
    <w:rsid w:val="002D1835"/>
    <w:rsid w:val="002D18AA"/>
    <w:rsid w:val="002D18D6"/>
    <w:rsid w:val="002D1961"/>
    <w:rsid w:val="002D199B"/>
    <w:rsid w:val="002D19CB"/>
    <w:rsid w:val="002D19E8"/>
    <w:rsid w:val="002D1A54"/>
    <w:rsid w:val="002D1C62"/>
    <w:rsid w:val="002D1C63"/>
    <w:rsid w:val="002D1CB7"/>
    <w:rsid w:val="002D1D03"/>
    <w:rsid w:val="002D1E7F"/>
    <w:rsid w:val="002D1E94"/>
    <w:rsid w:val="002D1F00"/>
    <w:rsid w:val="002D1F55"/>
    <w:rsid w:val="002D20EE"/>
    <w:rsid w:val="002D2144"/>
    <w:rsid w:val="002D2262"/>
    <w:rsid w:val="002D226D"/>
    <w:rsid w:val="002D22D1"/>
    <w:rsid w:val="002D233C"/>
    <w:rsid w:val="002D2567"/>
    <w:rsid w:val="002D29CF"/>
    <w:rsid w:val="002D2A0E"/>
    <w:rsid w:val="002D2A59"/>
    <w:rsid w:val="002D2AFC"/>
    <w:rsid w:val="002D2BE8"/>
    <w:rsid w:val="002D2E40"/>
    <w:rsid w:val="002D2F6B"/>
    <w:rsid w:val="002D2F71"/>
    <w:rsid w:val="002D2F7F"/>
    <w:rsid w:val="002D31B6"/>
    <w:rsid w:val="002D3210"/>
    <w:rsid w:val="002D32FD"/>
    <w:rsid w:val="002D330E"/>
    <w:rsid w:val="002D3374"/>
    <w:rsid w:val="002D35C7"/>
    <w:rsid w:val="002D3733"/>
    <w:rsid w:val="002D37B9"/>
    <w:rsid w:val="002D392D"/>
    <w:rsid w:val="002D3977"/>
    <w:rsid w:val="002D39D7"/>
    <w:rsid w:val="002D3A2F"/>
    <w:rsid w:val="002D3C49"/>
    <w:rsid w:val="002D3CCE"/>
    <w:rsid w:val="002D3D96"/>
    <w:rsid w:val="002D3E33"/>
    <w:rsid w:val="002D3FB5"/>
    <w:rsid w:val="002D4013"/>
    <w:rsid w:val="002D403E"/>
    <w:rsid w:val="002D4174"/>
    <w:rsid w:val="002D41C1"/>
    <w:rsid w:val="002D41FF"/>
    <w:rsid w:val="002D4363"/>
    <w:rsid w:val="002D436F"/>
    <w:rsid w:val="002D43B1"/>
    <w:rsid w:val="002D46B5"/>
    <w:rsid w:val="002D4788"/>
    <w:rsid w:val="002D482F"/>
    <w:rsid w:val="002D486C"/>
    <w:rsid w:val="002D48E9"/>
    <w:rsid w:val="002D4B5E"/>
    <w:rsid w:val="002D4C61"/>
    <w:rsid w:val="002D4E05"/>
    <w:rsid w:val="002D4E2C"/>
    <w:rsid w:val="002D4EA7"/>
    <w:rsid w:val="002D4EC1"/>
    <w:rsid w:val="002D4FE5"/>
    <w:rsid w:val="002D5110"/>
    <w:rsid w:val="002D5168"/>
    <w:rsid w:val="002D51F7"/>
    <w:rsid w:val="002D55CB"/>
    <w:rsid w:val="002D57CE"/>
    <w:rsid w:val="002D5837"/>
    <w:rsid w:val="002D593E"/>
    <w:rsid w:val="002D5B86"/>
    <w:rsid w:val="002D5B91"/>
    <w:rsid w:val="002D5C31"/>
    <w:rsid w:val="002D5C62"/>
    <w:rsid w:val="002D5C7C"/>
    <w:rsid w:val="002D5CE7"/>
    <w:rsid w:val="002D5D75"/>
    <w:rsid w:val="002D5EC3"/>
    <w:rsid w:val="002D5ED7"/>
    <w:rsid w:val="002D6056"/>
    <w:rsid w:val="002D6077"/>
    <w:rsid w:val="002D6221"/>
    <w:rsid w:val="002D631C"/>
    <w:rsid w:val="002D63C2"/>
    <w:rsid w:val="002D6567"/>
    <w:rsid w:val="002D656E"/>
    <w:rsid w:val="002D661B"/>
    <w:rsid w:val="002D67B9"/>
    <w:rsid w:val="002D68CC"/>
    <w:rsid w:val="002D68F1"/>
    <w:rsid w:val="002D68FA"/>
    <w:rsid w:val="002D6B68"/>
    <w:rsid w:val="002D6BB1"/>
    <w:rsid w:val="002D6BC5"/>
    <w:rsid w:val="002D6CB4"/>
    <w:rsid w:val="002D6CD1"/>
    <w:rsid w:val="002D6CFC"/>
    <w:rsid w:val="002D6DB6"/>
    <w:rsid w:val="002D6E4F"/>
    <w:rsid w:val="002D6F3B"/>
    <w:rsid w:val="002D6F6B"/>
    <w:rsid w:val="002D7011"/>
    <w:rsid w:val="002D70E0"/>
    <w:rsid w:val="002D728F"/>
    <w:rsid w:val="002D7309"/>
    <w:rsid w:val="002D7331"/>
    <w:rsid w:val="002D7373"/>
    <w:rsid w:val="002D73F9"/>
    <w:rsid w:val="002D7460"/>
    <w:rsid w:val="002D7568"/>
    <w:rsid w:val="002D765F"/>
    <w:rsid w:val="002D7689"/>
    <w:rsid w:val="002D7744"/>
    <w:rsid w:val="002D7A4E"/>
    <w:rsid w:val="002D7AA0"/>
    <w:rsid w:val="002D7BC0"/>
    <w:rsid w:val="002D7D73"/>
    <w:rsid w:val="002D7DFF"/>
    <w:rsid w:val="002D7E20"/>
    <w:rsid w:val="002E015A"/>
    <w:rsid w:val="002E016F"/>
    <w:rsid w:val="002E01AE"/>
    <w:rsid w:val="002E0201"/>
    <w:rsid w:val="002E028E"/>
    <w:rsid w:val="002E02C1"/>
    <w:rsid w:val="002E034A"/>
    <w:rsid w:val="002E0376"/>
    <w:rsid w:val="002E048D"/>
    <w:rsid w:val="002E04D8"/>
    <w:rsid w:val="002E04EC"/>
    <w:rsid w:val="002E074A"/>
    <w:rsid w:val="002E07A8"/>
    <w:rsid w:val="002E085E"/>
    <w:rsid w:val="002E0863"/>
    <w:rsid w:val="002E08AA"/>
    <w:rsid w:val="002E0905"/>
    <w:rsid w:val="002E0908"/>
    <w:rsid w:val="002E0936"/>
    <w:rsid w:val="002E09A0"/>
    <w:rsid w:val="002E0AA1"/>
    <w:rsid w:val="002E0C6D"/>
    <w:rsid w:val="002E0D46"/>
    <w:rsid w:val="002E0D88"/>
    <w:rsid w:val="002E0EAF"/>
    <w:rsid w:val="002E0EF2"/>
    <w:rsid w:val="002E0F61"/>
    <w:rsid w:val="002E0FDE"/>
    <w:rsid w:val="002E1074"/>
    <w:rsid w:val="002E1082"/>
    <w:rsid w:val="002E10C1"/>
    <w:rsid w:val="002E1168"/>
    <w:rsid w:val="002E1173"/>
    <w:rsid w:val="002E12A0"/>
    <w:rsid w:val="002E1333"/>
    <w:rsid w:val="002E1348"/>
    <w:rsid w:val="002E1611"/>
    <w:rsid w:val="002E166B"/>
    <w:rsid w:val="002E16F2"/>
    <w:rsid w:val="002E17BE"/>
    <w:rsid w:val="002E1852"/>
    <w:rsid w:val="002E1872"/>
    <w:rsid w:val="002E18E5"/>
    <w:rsid w:val="002E1998"/>
    <w:rsid w:val="002E1B3E"/>
    <w:rsid w:val="002E1B44"/>
    <w:rsid w:val="002E1B9B"/>
    <w:rsid w:val="002E1BFE"/>
    <w:rsid w:val="002E1C0B"/>
    <w:rsid w:val="002E1EAA"/>
    <w:rsid w:val="002E1F58"/>
    <w:rsid w:val="002E1F77"/>
    <w:rsid w:val="002E1FA9"/>
    <w:rsid w:val="002E1FFB"/>
    <w:rsid w:val="002E20F8"/>
    <w:rsid w:val="002E2192"/>
    <w:rsid w:val="002E2223"/>
    <w:rsid w:val="002E223C"/>
    <w:rsid w:val="002E2310"/>
    <w:rsid w:val="002E235B"/>
    <w:rsid w:val="002E238A"/>
    <w:rsid w:val="002E23DC"/>
    <w:rsid w:val="002E2445"/>
    <w:rsid w:val="002E2463"/>
    <w:rsid w:val="002E2538"/>
    <w:rsid w:val="002E2668"/>
    <w:rsid w:val="002E27FA"/>
    <w:rsid w:val="002E2AED"/>
    <w:rsid w:val="002E2BC1"/>
    <w:rsid w:val="002E2C77"/>
    <w:rsid w:val="002E2CC1"/>
    <w:rsid w:val="002E2DE2"/>
    <w:rsid w:val="002E2E16"/>
    <w:rsid w:val="002E2FB5"/>
    <w:rsid w:val="002E2FCA"/>
    <w:rsid w:val="002E32B2"/>
    <w:rsid w:val="002E3362"/>
    <w:rsid w:val="002E337B"/>
    <w:rsid w:val="002E3395"/>
    <w:rsid w:val="002E339C"/>
    <w:rsid w:val="002E3445"/>
    <w:rsid w:val="002E347C"/>
    <w:rsid w:val="002E34DE"/>
    <w:rsid w:val="002E35E2"/>
    <w:rsid w:val="002E3625"/>
    <w:rsid w:val="002E370A"/>
    <w:rsid w:val="002E373A"/>
    <w:rsid w:val="002E39C3"/>
    <w:rsid w:val="002E3A48"/>
    <w:rsid w:val="002E3CD4"/>
    <w:rsid w:val="002E3D0A"/>
    <w:rsid w:val="002E3D44"/>
    <w:rsid w:val="002E3D8D"/>
    <w:rsid w:val="002E3E42"/>
    <w:rsid w:val="002E3E9E"/>
    <w:rsid w:val="002E3FB7"/>
    <w:rsid w:val="002E424A"/>
    <w:rsid w:val="002E4368"/>
    <w:rsid w:val="002E43E1"/>
    <w:rsid w:val="002E43E2"/>
    <w:rsid w:val="002E4579"/>
    <w:rsid w:val="002E4614"/>
    <w:rsid w:val="002E462C"/>
    <w:rsid w:val="002E4671"/>
    <w:rsid w:val="002E46A0"/>
    <w:rsid w:val="002E46EC"/>
    <w:rsid w:val="002E47E0"/>
    <w:rsid w:val="002E496B"/>
    <w:rsid w:val="002E4A7A"/>
    <w:rsid w:val="002E4A81"/>
    <w:rsid w:val="002E4B32"/>
    <w:rsid w:val="002E4C12"/>
    <w:rsid w:val="002E4C54"/>
    <w:rsid w:val="002E4C84"/>
    <w:rsid w:val="002E4CAB"/>
    <w:rsid w:val="002E4FB6"/>
    <w:rsid w:val="002E4FC2"/>
    <w:rsid w:val="002E504D"/>
    <w:rsid w:val="002E5065"/>
    <w:rsid w:val="002E50F1"/>
    <w:rsid w:val="002E5182"/>
    <w:rsid w:val="002E5243"/>
    <w:rsid w:val="002E5360"/>
    <w:rsid w:val="002E5398"/>
    <w:rsid w:val="002E53BF"/>
    <w:rsid w:val="002E549B"/>
    <w:rsid w:val="002E5764"/>
    <w:rsid w:val="002E5806"/>
    <w:rsid w:val="002E5882"/>
    <w:rsid w:val="002E5937"/>
    <w:rsid w:val="002E5A10"/>
    <w:rsid w:val="002E5BC0"/>
    <w:rsid w:val="002E5C59"/>
    <w:rsid w:val="002E5CDC"/>
    <w:rsid w:val="002E5E0C"/>
    <w:rsid w:val="002E6140"/>
    <w:rsid w:val="002E615C"/>
    <w:rsid w:val="002E6182"/>
    <w:rsid w:val="002E62FD"/>
    <w:rsid w:val="002E639A"/>
    <w:rsid w:val="002E640B"/>
    <w:rsid w:val="002E648B"/>
    <w:rsid w:val="002E65D2"/>
    <w:rsid w:val="002E6681"/>
    <w:rsid w:val="002E668D"/>
    <w:rsid w:val="002E66A1"/>
    <w:rsid w:val="002E6793"/>
    <w:rsid w:val="002E6963"/>
    <w:rsid w:val="002E6A27"/>
    <w:rsid w:val="002E6A75"/>
    <w:rsid w:val="002E6A79"/>
    <w:rsid w:val="002E6AC7"/>
    <w:rsid w:val="002E6AF0"/>
    <w:rsid w:val="002E6C05"/>
    <w:rsid w:val="002E6CA3"/>
    <w:rsid w:val="002E6CBC"/>
    <w:rsid w:val="002E6DA8"/>
    <w:rsid w:val="002E6F75"/>
    <w:rsid w:val="002E6FB1"/>
    <w:rsid w:val="002E7230"/>
    <w:rsid w:val="002E742B"/>
    <w:rsid w:val="002E7460"/>
    <w:rsid w:val="002E7589"/>
    <w:rsid w:val="002E7917"/>
    <w:rsid w:val="002E79C7"/>
    <w:rsid w:val="002E7A27"/>
    <w:rsid w:val="002E7B39"/>
    <w:rsid w:val="002E7C62"/>
    <w:rsid w:val="002E7D08"/>
    <w:rsid w:val="002E7DA3"/>
    <w:rsid w:val="002E7E75"/>
    <w:rsid w:val="002F0002"/>
    <w:rsid w:val="002F00BF"/>
    <w:rsid w:val="002F0138"/>
    <w:rsid w:val="002F01E2"/>
    <w:rsid w:val="002F0207"/>
    <w:rsid w:val="002F047D"/>
    <w:rsid w:val="002F0672"/>
    <w:rsid w:val="002F06DD"/>
    <w:rsid w:val="002F0737"/>
    <w:rsid w:val="002F09D0"/>
    <w:rsid w:val="002F0B71"/>
    <w:rsid w:val="002F0B84"/>
    <w:rsid w:val="002F0BC6"/>
    <w:rsid w:val="002F0C43"/>
    <w:rsid w:val="002F0CEE"/>
    <w:rsid w:val="002F0D05"/>
    <w:rsid w:val="002F0D0C"/>
    <w:rsid w:val="002F0EB3"/>
    <w:rsid w:val="002F0F83"/>
    <w:rsid w:val="002F0F86"/>
    <w:rsid w:val="002F1002"/>
    <w:rsid w:val="002F105A"/>
    <w:rsid w:val="002F1104"/>
    <w:rsid w:val="002F1176"/>
    <w:rsid w:val="002F11F9"/>
    <w:rsid w:val="002F1201"/>
    <w:rsid w:val="002F1359"/>
    <w:rsid w:val="002F13D7"/>
    <w:rsid w:val="002F1413"/>
    <w:rsid w:val="002F1414"/>
    <w:rsid w:val="002F1495"/>
    <w:rsid w:val="002F14D8"/>
    <w:rsid w:val="002F14E9"/>
    <w:rsid w:val="002F15DA"/>
    <w:rsid w:val="002F16AB"/>
    <w:rsid w:val="002F17E3"/>
    <w:rsid w:val="002F18B5"/>
    <w:rsid w:val="002F1B0B"/>
    <w:rsid w:val="002F1C5C"/>
    <w:rsid w:val="002F1D28"/>
    <w:rsid w:val="002F1E1B"/>
    <w:rsid w:val="002F1E4D"/>
    <w:rsid w:val="002F1E80"/>
    <w:rsid w:val="002F1F46"/>
    <w:rsid w:val="002F1F64"/>
    <w:rsid w:val="002F2069"/>
    <w:rsid w:val="002F207A"/>
    <w:rsid w:val="002F20CF"/>
    <w:rsid w:val="002F2105"/>
    <w:rsid w:val="002F2140"/>
    <w:rsid w:val="002F2145"/>
    <w:rsid w:val="002F2154"/>
    <w:rsid w:val="002F2173"/>
    <w:rsid w:val="002F21AB"/>
    <w:rsid w:val="002F21F5"/>
    <w:rsid w:val="002F22D1"/>
    <w:rsid w:val="002F2301"/>
    <w:rsid w:val="002F234E"/>
    <w:rsid w:val="002F2378"/>
    <w:rsid w:val="002F2430"/>
    <w:rsid w:val="002F2502"/>
    <w:rsid w:val="002F25A1"/>
    <w:rsid w:val="002F2647"/>
    <w:rsid w:val="002F26DE"/>
    <w:rsid w:val="002F2739"/>
    <w:rsid w:val="002F27AC"/>
    <w:rsid w:val="002F27C4"/>
    <w:rsid w:val="002F27D2"/>
    <w:rsid w:val="002F286F"/>
    <w:rsid w:val="002F28ED"/>
    <w:rsid w:val="002F2911"/>
    <w:rsid w:val="002F29B8"/>
    <w:rsid w:val="002F2AC7"/>
    <w:rsid w:val="002F2B40"/>
    <w:rsid w:val="002F2C34"/>
    <w:rsid w:val="002F2C6E"/>
    <w:rsid w:val="002F2E25"/>
    <w:rsid w:val="002F2ED2"/>
    <w:rsid w:val="002F301E"/>
    <w:rsid w:val="002F3067"/>
    <w:rsid w:val="002F30F0"/>
    <w:rsid w:val="002F31A4"/>
    <w:rsid w:val="002F31AB"/>
    <w:rsid w:val="002F32C6"/>
    <w:rsid w:val="002F32E8"/>
    <w:rsid w:val="002F343E"/>
    <w:rsid w:val="002F34E4"/>
    <w:rsid w:val="002F3572"/>
    <w:rsid w:val="002F3580"/>
    <w:rsid w:val="002F362D"/>
    <w:rsid w:val="002F3635"/>
    <w:rsid w:val="002F370F"/>
    <w:rsid w:val="002F384B"/>
    <w:rsid w:val="002F38B0"/>
    <w:rsid w:val="002F3952"/>
    <w:rsid w:val="002F39AC"/>
    <w:rsid w:val="002F3A41"/>
    <w:rsid w:val="002F3BAF"/>
    <w:rsid w:val="002F3C2B"/>
    <w:rsid w:val="002F3DBB"/>
    <w:rsid w:val="002F3DBE"/>
    <w:rsid w:val="002F3E22"/>
    <w:rsid w:val="002F3E54"/>
    <w:rsid w:val="002F3F71"/>
    <w:rsid w:val="002F4342"/>
    <w:rsid w:val="002F4408"/>
    <w:rsid w:val="002F44C7"/>
    <w:rsid w:val="002F44EB"/>
    <w:rsid w:val="002F4662"/>
    <w:rsid w:val="002F46F7"/>
    <w:rsid w:val="002F470D"/>
    <w:rsid w:val="002F474A"/>
    <w:rsid w:val="002F48CE"/>
    <w:rsid w:val="002F4977"/>
    <w:rsid w:val="002F4B51"/>
    <w:rsid w:val="002F4B71"/>
    <w:rsid w:val="002F4BAB"/>
    <w:rsid w:val="002F4BC7"/>
    <w:rsid w:val="002F4BFA"/>
    <w:rsid w:val="002F4EA1"/>
    <w:rsid w:val="002F4EAC"/>
    <w:rsid w:val="002F5021"/>
    <w:rsid w:val="002F506B"/>
    <w:rsid w:val="002F5076"/>
    <w:rsid w:val="002F50C2"/>
    <w:rsid w:val="002F5116"/>
    <w:rsid w:val="002F5194"/>
    <w:rsid w:val="002F51A2"/>
    <w:rsid w:val="002F51CC"/>
    <w:rsid w:val="002F537A"/>
    <w:rsid w:val="002F5448"/>
    <w:rsid w:val="002F544A"/>
    <w:rsid w:val="002F5517"/>
    <w:rsid w:val="002F567B"/>
    <w:rsid w:val="002F594E"/>
    <w:rsid w:val="002F59EC"/>
    <w:rsid w:val="002F5BBB"/>
    <w:rsid w:val="002F5C56"/>
    <w:rsid w:val="002F5C82"/>
    <w:rsid w:val="002F5D66"/>
    <w:rsid w:val="002F5DD7"/>
    <w:rsid w:val="002F5F29"/>
    <w:rsid w:val="002F6039"/>
    <w:rsid w:val="002F6101"/>
    <w:rsid w:val="002F618E"/>
    <w:rsid w:val="002F61E4"/>
    <w:rsid w:val="002F630B"/>
    <w:rsid w:val="002F6334"/>
    <w:rsid w:val="002F6365"/>
    <w:rsid w:val="002F6445"/>
    <w:rsid w:val="002F64A7"/>
    <w:rsid w:val="002F661A"/>
    <w:rsid w:val="002F6738"/>
    <w:rsid w:val="002F6832"/>
    <w:rsid w:val="002F6836"/>
    <w:rsid w:val="002F6875"/>
    <w:rsid w:val="002F6901"/>
    <w:rsid w:val="002F693A"/>
    <w:rsid w:val="002F6962"/>
    <w:rsid w:val="002F696B"/>
    <w:rsid w:val="002F698A"/>
    <w:rsid w:val="002F6A2C"/>
    <w:rsid w:val="002F6B03"/>
    <w:rsid w:val="002F6B49"/>
    <w:rsid w:val="002F6B59"/>
    <w:rsid w:val="002F6C03"/>
    <w:rsid w:val="002F6C65"/>
    <w:rsid w:val="002F6D80"/>
    <w:rsid w:val="002F6DD7"/>
    <w:rsid w:val="002F6EA2"/>
    <w:rsid w:val="002F706B"/>
    <w:rsid w:val="002F706E"/>
    <w:rsid w:val="002F711B"/>
    <w:rsid w:val="002F712A"/>
    <w:rsid w:val="002F717A"/>
    <w:rsid w:val="002F72E5"/>
    <w:rsid w:val="002F733F"/>
    <w:rsid w:val="002F7422"/>
    <w:rsid w:val="002F742D"/>
    <w:rsid w:val="002F75A2"/>
    <w:rsid w:val="002F75F7"/>
    <w:rsid w:val="002F760B"/>
    <w:rsid w:val="002F7626"/>
    <w:rsid w:val="002F7794"/>
    <w:rsid w:val="002F77F0"/>
    <w:rsid w:val="002F785F"/>
    <w:rsid w:val="002F7882"/>
    <w:rsid w:val="002F7A78"/>
    <w:rsid w:val="002F7A7D"/>
    <w:rsid w:val="002F7B43"/>
    <w:rsid w:val="002F7B96"/>
    <w:rsid w:val="002F7C41"/>
    <w:rsid w:val="002F7D89"/>
    <w:rsid w:val="002F7DA3"/>
    <w:rsid w:val="002F7DCA"/>
    <w:rsid w:val="002F7EC1"/>
    <w:rsid w:val="002F7F16"/>
    <w:rsid w:val="00300094"/>
    <w:rsid w:val="003000EF"/>
    <w:rsid w:val="00300154"/>
    <w:rsid w:val="00300226"/>
    <w:rsid w:val="0030028C"/>
    <w:rsid w:val="003002B9"/>
    <w:rsid w:val="003002D3"/>
    <w:rsid w:val="0030061E"/>
    <w:rsid w:val="003006E1"/>
    <w:rsid w:val="003007C8"/>
    <w:rsid w:val="003007C9"/>
    <w:rsid w:val="003007FC"/>
    <w:rsid w:val="00300816"/>
    <w:rsid w:val="00300826"/>
    <w:rsid w:val="0030096D"/>
    <w:rsid w:val="00300A03"/>
    <w:rsid w:val="00300A53"/>
    <w:rsid w:val="00300CA4"/>
    <w:rsid w:val="00300D5F"/>
    <w:rsid w:val="00300D8A"/>
    <w:rsid w:val="00300DF6"/>
    <w:rsid w:val="00300DFE"/>
    <w:rsid w:val="00300E27"/>
    <w:rsid w:val="00300EA0"/>
    <w:rsid w:val="00300ECB"/>
    <w:rsid w:val="00300EFF"/>
    <w:rsid w:val="00300FA7"/>
    <w:rsid w:val="00301023"/>
    <w:rsid w:val="00301088"/>
    <w:rsid w:val="003010D9"/>
    <w:rsid w:val="003011CE"/>
    <w:rsid w:val="003013B5"/>
    <w:rsid w:val="003013EE"/>
    <w:rsid w:val="00301482"/>
    <w:rsid w:val="00301488"/>
    <w:rsid w:val="00301491"/>
    <w:rsid w:val="00301562"/>
    <w:rsid w:val="00301575"/>
    <w:rsid w:val="00301586"/>
    <w:rsid w:val="003015DE"/>
    <w:rsid w:val="003016BF"/>
    <w:rsid w:val="003018CD"/>
    <w:rsid w:val="0030197D"/>
    <w:rsid w:val="00301991"/>
    <w:rsid w:val="003019BE"/>
    <w:rsid w:val="00301AC6"/>
    <w:rsid w:val="00301AE3"/>
    <w:rsid w:val="00301B27"/>
    <w:rsid w:val="00301CB1"/>
    <w:rsid w:val="00301CB7"/>
    <w:rsid w:val="00301D72"/>
    <w:rsid w:val="00301DED"/>
    <w:rsid w:val="00301F1E"/>
    <w:rsid w:val="00301F9F"/>
    <w:rsid w:val="00302081"/>
    <w:rsid w:val="00302600"/>
    <w:rsid w:val="003026AF"/>
    <w:rsid w:val="003026E8"/>
    <w:rsid w:val="00302AC5"/>
    <w:rsid w:val="00302AC7"/>
    <w:rsid w:val="00302B16"/>
    <w:rsid w:val="00302C2B"/>
    <w:rsid w:val="00302C8F"/>
    <w:rsid w:val="00302E04"/>
    <w:rsid w:val="00302E54"/>
    <w:rsid w:val="00302E7B"/>
    <w:rsid w:val="00302E97"/>
    <w:rsid w:val="00302F0C"/>
    <w:rsid w:val="003030A5"/>
    <w:rsid w:val="00303209"/>
    <w:rsid w:val="003032A6"/>
    <w:rsid w:val="003032AB"/>
    <w:rsid w:val="00303377"/>
    <w:rsid w:val="003034A2"/>
    <w:rsid w:val="00303557"/>
    <w:rsid w:val="00303632"/>
    <w:rsid w:val="003036CD"/>
    <w:rsid w:val="0030376F"/>
    <w:rsid w:val="00303841"/>
    <w:rsid w:val="00303924"/>
    <w:rsid w:val="00303946"/>
    <w:rsid w:val="00303C4C"/>
    <w:rsid w:val="00303F58"/>
    <w:rsid w:val="00303FF9"/>
    <w:rsid w:val="0030404C"/>
    <w:rsid w:val="00304053"/>
    <w:rsid w:val="0030406E"/>
    <w:rsid w:val="00304158"/>
    <w:rsid w:val="0030418E"/>
    <w:rsid w:val="003041E1"/>
    <w:rsid w:val="003041F0"/>
    <w:rsid w:val="0030446F"/>
    <w:rsid w:val="003044CC"/>
    <w:rsid w:val="00304669"/>
    <w:rsid w:val="00304685"/>
    <w:rsid w:val="00304714"/>
    <w:rsid w:val="0030482C"/>
    <w:rsid w:val="00304876"/>
    <w:rsid w:val="00304914"/>
    <w:rsid w:val="00304949"/>
    <w:rsid w:val="00304B00"/>
    <w:rsid w:val="00304B17"/>
    <w:rsid w:val="00304B58"/>
    <w:rsid w:val="00304B76"/>
    <w:rsid w:val="00304BFD"/>
    <w:rsid w:val="00304D2E"/>
    <w:rsid w:val="00304EFE"/>
    <w:rsid w:val="00304F65"/>
    <w:rsid w:val="00305066"/>
    <w:rsid w:val="00305193"/>
    <w:rsid w:val="003052DC"/>
    <w:rsid w:val="0030534C"/>
    <w:rsid w:val="003053D8"/>
    <w:rsid w:val="00305465"/>
    <w:rsid w:val="0030555A"/>
    <w:rsid w:val="00305631"/>
    <w:rsid w:val="00305696"/>
    <w:rsid w:val="0030570A"/>
    <w:rsid w:val="003057B2"/>
    <w:rsid w:val="0030581D"/>
    <w:rsid w:val="00305840"/>
    <w:rsid w:val="00305877"/>
    <w:rsid w:val="0030590B"/>
    <w:rsid w:val="00305940"/>
    <w:rsid w:val="0030594A"/>
    <w:rsid w:val="003059E8"/>
    <w:rsid w:val="00305AFD"/>
    <w:rsid w:val="00305EA0"/>
    <w:rsid w:val="0030614D"/>
    <w:rsid w:val="00306165"/>
    <w:rsid w:val="0030618D"/>
    <w:rsid w:val="00306242"/>
    <w:rsid w:val="00306283"/>
    <w:rsid w:val="00306356"/>
    <w:rsid w:val="0030636C"/>
    <w:rsid w:val="0030646E"/>
    <w:rsid w:val="003064F4"/>
    <w:rsid w:val="003065A8"/>
    <w:rsid w:val="003065EE"/>
    <w:rsid w:val="00306691"/>
    <w:rsid w:val="00306879"/>
    <w:rsid w:val="003068EC"/>
    <w:rsid w:val="00306931"/>
    <w:rsid w:val="003069A4"/>
    <w:rsid w:val="00306A13"/>
    <w:rsid w:val="00306A54"/>
    <w:rsid w:val="00306A5D"/>
    <w:rsid w:val="00306AA3"/>
    <w:rsid w:val="00306C60"/>
    <w:rsid w:val="00306D86"/>
    <w:rsid w:val="00306EA7"/>
    <w:rsid w:val="00307014"/>
    <w:rsid w:val="003070DA"/>
    <w:rsid w:val="003070DB"/>
    <w:rsid w:val="003071F7"/>
    <w:rsid w:val="0030722D"/>
    <w:rsid w:val="00307311"/>
    <w:rsid w:val="003073ED"/>
    <w:rsid w:val="0030743C"/>
    <w:rsid w:val="003074AF"/>
    <w:rsid w:val="003074CC"/>
    <w:rsid w:val="00307526"/>
    <w:rsid w:val="0030769A"/>
    <w:rsid w:val="00307732"/>
    <w:rsid w:val="003078D6"/>
    <w:rsid w:val="0030790C"/>
    <w:rsid w:val="00307A70"/>
    <w:rsid w:val="00307AA0"/>
    <w:rsid w:val="00307BDE"/>
    <w:rsid w:val="00307C11"/>
    <w:rsid w:val="00307C38"/>
    <w:rsid w:val="00307DBF"/>
    <w:rsid w:val="00307E54"/>
    <w:rsid w:val="0031001E"/>
    <w:rsid w:val="00310071"/>
    <w:rsid w:val="0031020E"/>
    <w:rsid w:val="003102AF"/>
    <w:rsid w:val="00310346"/>
    <w:rsid w:val="00310455"/>
    <w:rsid w:val="003104B1"/>
    <w:rsid w:val="0031050B"/>
    <w:rsid w:val="003105BE"/>
    <w:rsid w:val="0031060D"/>
    <w:rsid w:val="003106BC"/>
    <w:rsid w:val="00310749"/>
    <w:rsid w:val="0031083E"/>
    <w:rsid w:val="0031085A"/>
    <w:rsid w:val="003108B2"/>
    <w:rsid w:val="00310A22"/>
    <w:rsid w:val="00310AC5"/>
    <w:rsid w:val="00310B4E"/>
    <w:rsid w:val="00310B65"/>
    <w:rsid w:val="00310B7C"/>
    <w:rsid w:val="00310C17"/>
    <w:rsid w:val="00310D1A"/>
    <w:rsid w:val="00310D2F"/>
    <w:rsid w:val="00310DAC"/>
    <w:rsid w:val="00310DB7"/>
    <w:rsid w:val="00310E6D"/>
    <w:rsid w:val="00310FBE"/>
    <w:rsid w:val="00311033"/>
    <w:rsid w:val="00311093"/>
    <w:rsid w:val="003110F5"/>
    <w:rsid w:val="00311178"/>
    <w:rsid w:val="003111EF"/>
    <w:rsid w:val="003111F1"/>
    <w:rsid w:val="0031137D"/>
    <w:rsid w:val="00311443"/>
    <w:rsid w:val="003114BF"/>
    <w:rsid w:val="003114FB"/>
    <w:rsid w:val="0031168F"/>
    <w:rsid w:val="003116F5"/>
    <w:rsid w:val="0031172E"/>
    <w:rsid w:val="0031172F"/>
    <w:rsid w:val="003117A3"/>
    <w:rsid w:val="003117D1"/>
    <w:rsid w:val="003118BD"/>
    <w:rsid w:val="00311C0E"/>
    <w:rsid w:val="00311E43"/>
    <w:rsid w:val="00311F68"/>
    <w:rsid w:val="00311F7D"/>
    <w:rsid w:val="00311FA5"/>
    <w:rsid w:val="003120C8"/>
    <w:rsid w:val="003120E1"/>
    <w:rsid w:val="00312183"/>
    <w:rsid w:val="003121E8"/>
    <w:rsid w:val="00312360"/>
    <w:rsid w:val="003123E9"/>
    <w:rsid w:val="003124A6"/>
    <w:rsid w:val="00312528"/>
    <w:rsid w:val="00312559"/>
    <w:rsid w:val="003125D7"/>
    <w:rsid w:val="003126CB"/>
    <w:rsid w:val="0031277B"/>
    <w:rsid w:val="00312923"/>
    <w:rsid w:val="00312994"/>
    <w:rsid w:val="003129E3"/>
    <w:rsid w:val="00312A98"/>
    <w:rsid w:val="00312B6F"/>
    <w:rsid w:val="00312B9F"/>
    <w:rsid w:val="00312BC1"/>
    <w:rsid w:val="00312C18"/>
    <w:rsid w:val="00312DA3"/>
    <w:rsid w:val="00312E9D"/>
    <w:rsid w:val="0031300D"/>
    <w:rsid w:val="0031306E"/>
    <w:rsid w:val="0031314B"/>
    <w:rsid w:val="0031317A"/>
    <w:rsid w:val="0031319A"/>
    <w:rsid w:val="003131AC"/>
    <w:rsid w:val="0031323F"/>
    <w:rsid w:val="00313279"/>
    <w:rsid w:val="0031327F"/>
    <w:rsid w:val="0031338F"/>
    <w:rsid w:val="00313453"/>
    <w:rsid w:val="003134A3"/>
    <w:rsid w:val="003134FC"/>
    <w:rsid w:val="00313588"/>
    <w:rsid w:val="0031358B"/>
    <w:rsid w:val="0031372E"/>
    <w:rsid w:val="00313788"/>
    <w:rsid w:val="00313872"/>
    <w:rsid w:val="00313AC3"/>
    <w:rsid w:val="00313BBA"/>
    <w:rsid w:val="00313CC9"/>
    <w:rsid w:val="00313CD6"/>
    <w:rsid w:val="00313CF3"/>
    <w:rsid w:val="00313D53"/>
    <w:rsid w:val="00313E1F"/>
    <w:rsid w:val="00313E5C"/>
    <w:rsid w:val="00313ED3"/>
    <w:rsid w:val="00313F3B"/>
    <w:rsid w:val="00313F71"/>
    <w:rsid w:val="00314008"/>
    <w:rsid w:val="003140A6"/>
    <w:rsid w:val="003142AD"/>
    <w:rsid w:val="003142E2"/>
    <w:rsid w:val="00314391"/>
    <w:rsid w:val="00314397"/>
    <w:rsid w:val="003143AC"/>
    <w:rsid w:val="00314471"/>
    <w:rsid w:val="003147A3"/>
    <w:rsid w:val="003147F6"/>
    <w:rsid w:val="0031488D"/>
    <w:rsid w:val="003148A7"/>
    <w:rsid w:val="00314A68"/>
    <w:rsid w:val="00314B01"/>
    <w:rsid w:val="00314C28"/>
    <w:rsid w:val="00314C38"/>
    <w:rsid w:val="00314CC5"/>
    <w:rsid w:val="00314D40"/>
    <w:rsid w:val="00314D7B"/>
    <w:rsid w:val="00314F26"/>
    <w:rsid w:val="00314F7A"/>
    <w:rsid w:val="00314F89"/>
    <w:rsid w:val="003150A5"/>
    <w:rsid w:val="00315132"/>
    <w:rsid w:val="00315259"/>
    <w:rsid w:val="0031531F"/>
    <w:rsid w:val="0031536C"/>
    <w:rsid w:val="00315377"/>
    <w:rsid w:val="003154E1"/>
    <w:rsid w:val="00315586"/>
    <w:rsid w:val="00315674"/>
    <w:rsid w:val="0031569C"/>
    <w:rsid w:val="003157DE"/>
    <w:rsid w:val="00315813"/>
    <w:rsid w:val="003158A4"/>
    <w:rsid w:val="003159B5"/>
    <w:rsid w:val="00315B6B"/>
    <w:rsid w:val="00315CDF"/>
    <w:rsid w:val="00315D5B"/>
    <w:rsid w:val="00315D84"/>
    <w:rsid w:val="00315D92"/>
    <w:rsid w:val="00315F44"/>
    <w:rsid w:val="00315FAD"/>
    <w:rsid w:val="00316015"/>
    <w:rsid w:val="003160AD"/>
    <w:rsid w:val="003160E5"/>
    <w:rsid w:val="00316114"/>
    <w:rsid w:val="00316132"/>
    <w:rsid w:val="00316256"/>
    <w:rsid w:val="00316290"/>
    <w:rsid w:val="0031636D"/>
    <w:rsid w:val="003163CD"/>
    <w:rsid w:val="00316539"/>
    <w:rsid w:val="00316613"/>
    <w:rsid w:val="0031679D"/>
    <w:rsid w:val="00316818"/>
    <w:rsid w:val="00316824"/>
    <w:rsid w:val="00316922"/>
    <w:rsid w:val="003169BB"/>
    <w:rsid w:val="003169E1"/>
    <w:rsid w:val="003169E8"/>
    <w:rsid w:val="00316BC1"/>
    <w:rsid w:val="00316C1F"/>
    <w:rsid w:val="00316C73"/>
    <w:rsid w:val="00316D9F"/>
    <w:rsid w:val="0031702A"/>
    <w:rsid w:val="0031704B"/>
    <w:rsid w:val="00317067"/>
    <w:rsid w:val="00317145"/>
    <w:rsid w:val="00317322"/>
    <w:rsid w:val="0031732D"/>
    <w:rsid w:val="003173BB"/>
    <w:rsid w:val="00317452"/>
    <w:rsid w:val="00317453"/>
    <w:rsid w:val="003174A4"/>
    <w:rsid w:val="003174F4"/>
    <w:rsid w:val="00317561"/>
    <w:rsid w:val="003176C4"/>
    <w:rsid w:val="00317724"/>
    <w:rsid w:val="00317725"/>
    <w:rsid w:val="00317B9A"/>
    <w:rsid w:val="00317BB1"/>
    <w:rsid w:val="00317CC0"/>
    <w:rsid w:val="00317CDB"/>
    <w:rsid w:val="00317D42"/>
    <w:rsid w:val="00317E0D"/>
    <w:rsid w:val="00317E96"/>
    <w:rsid w:val="00317ED2"/>
    <w:rsid w:val="00317EFF"/>
    <w:rsid w:val="00317F8C"/>
    <w:rsid w:val="00317FD5"/>
    <w:rsid w:val="0032009F"/>
    <w:rsid w:val="003200D9"/>
    <w:rsid w:val="0032014C"/>
    <w:rsid w:val="003202F6"/>
    <w:rsid w:val="0032030C"/>
    <w:rsid w:val="0032039F"/>
    <w:rsid w:val="003203F5"/>
    <w:rsid w:val="003204A8"/>
    <w:rsid w:val="003204C1"/>
    <w:rsid w:val="0032056C"/>
    <w:rsid w:val="0032059B"/>
    <w:rsid w:val="003205B0"/>
    <w:rsid w:val="003206C7"/>
    <w:rsid w:val="00320710"/>
    <w:rsid w:val="00320992"/>
    <w:rsid w:val="00320A3B"/>
    <w:rsid w:val="00320BA8"/>
    <w:rsid w:val="00320C2D"/>
    <w:rsid w:val="00320C6A"/>
    <w:rsid w:val="00320CD0"/>
    <w:rsid w:val="00320DAA"/>
    <w:rsid w:val="00320EEA"/>
    <w:rsid w:val="00320F3D"/>
    <w:rsid w:val="00320FA7"/>
    <w:rsid w:val="00320FDA"/>
    <w:rsid w:val="0032101E"/>
    <w:rsid w:val="00321036"/>
    <w:rsid w:val="003211E9"/>
    <w:rsid w:val="00321285"/>
    <w:rsid w:val="003213A0"/>
    <w:rsid w:val="0032175C"/>
    <w:rsid w:val="0032188E"/>
    <w:rsid w:val="00321914"/>
    <w:rsid w:val="0032195A"/>
    <w:rsid w:val="00321A3F"/>
    <w:rsid w:val="00321A6B"/>
    <w:rsid w:val="00321BD4"/>
    <w:rsid w:val="00321C5C"/>
    <w:rsid w:val="00321C92"/>
    <w:rsid w:val="00321CDD"/>
    <w:rsid w:val="00321D1A"/>
    <w:rsid w:val="00321D9B"/>
    <w:rsid w:val="00321DF7"/>
    <w:rsid w:val="00321E1F"/>
    <w:rsid w:val="00321E58"/>
    <w:rsid w:val="00321E9F"/>
    <w:rsid w:val="00322076"/>
    <w:rsid w:val="003220A8"/>
    <w:rsid w:val="003220AA"/>
    <w:rsid w:val="003220C9"/>
    <w:rsid w:val="003221DC"/>
    <w:rsid w:val="00322225"/>
    <w:rsid w:val="003222AD"/>
    <w:rsid w:val="003222B3"/>
    <w:rsid w:val="003222E8"/>
    <w:rsid w:val="003223AD"/>
    <w:rsid w:val="00322445"/>
    <w:rsid w:val="00322472"/>
    <w:rsid w:val="003224A5"/>
    <w:rsid w:val="00322543"/>
    <w:rsid w:val="00322585"/>
    <w:rsid w:val="003225B9"/>
    <w:rsid w:val="003225F8"/>
    <w:rsid w:val="0032269F"/>
    <w:rsid w:val="0032273E"/>
    <w:rsid w:val="0032285D"/>
    <w:rsid w:val="003228EE"/>
    <w:rsid w:val="0032297B"/>
    <w:rsid w:val="0032298E"/>
    <w:rsid w:val="003229AC"/>
    <w:rsid w:val="00322B3F"/>
    <w:rsid w:val="00322B93"/>
    <w:rsid w:val="00322BB8"/>
    <w:rsid w:val="00322C1B"/>
    <w:rsid w:val="00322D6F"/>
    <w:rsid w:val="00322D80"/>
    <w:rsid w:val="00322E1E"/>
    <w:rsid w:val="00322E60"/>
    <w:rsid w:val="00322E8B"/>
    <w:rsid w:val="00322EF3"/>
    <w:rsid w:val="00323014"/>
    <w:rsid w:val="0032308F"/>
    <w:rsid w:val="0032320C"/>
    <w:rsid w:val="00323249"/>
    <w:rsid w:val="003232C3"/>
    <w:rsid w:val="00323313"/>
    <w:rsid w:val="0032333E"/>
    <w:rsid w:val="003233C0"/>
    <w:rsid w:val="0032342A"/>
    <w:rsid w:val="00323547"/>
    <w:rsid w:val="003235F2"/>
    <w:rsid w:val="003236BE"/>
    <w:rsid w:val="00323720"/>
    <w:rsid w:val="003237A2"/>
    <w:rsid w:val="003237EC"/>
    <w:rsid w:val="00323902"/>
    <w:rsid w:val="0032396A"/>
    <w:rsid w:val="00323A6A"/>
    <w:rsid w:val="00323ACB"/>
    <w:rsid w:val="00323AD7"/>
    <w:rsid w:val="00323B41"/>
    <w:rsid w:val="00323C3F"/>
    <w:rsid w:val="00323C70"/>
    <w:rsid w:val="00323DD7"/>
    <w:rsid w:val="00323E81"/>
    <w:rsid w:val="00323EA1"/>
    <w:rsid w:val="0032409F"/>
    <w:rsid w:val="00324125"/>
    <w:rsid w:val="003241FC"/>
    <w:rsid w:val="00324212"/>
    <w:rsid w:val="00324219"/>
    <w:rsid w:val="00324277"/>
    <w:rsid w:val="003242EC"/>
    <w:rsid w:val="00324302"/>
    <w:rsid w:val="0032433F"/>
    <w:rsid w:val="003244DD"/>
    <w:rsid w:val="003246C5"/>
    <w:rsid w:val="003247CA"/>
    <w:rsid w:val="003249A3"/>
    <w:rsid w:val="003249F8"/>
    <w:rsid w:val="00324A1F"/>
    <w:rsid w:val="00324A81"/>
    <w:rsid w:val="00324C6C"/>
    <w:rsid w:val="00324D3E"/>
    <w:rsid w:val="00324F2A"/>
    <w:rsid w:val="00324F80"/>
    <w:rsid w:val="00324F85"/>
    <w:rsid w:val="00324F9F"/>
    <w:rsid w:val="00325085"/>
    <w:rsid w:val="00325151"/>
    <w:rsid w:val="003251AF"/>
    <w:rsid w:val="003252CE"/>
    <w:rsid w:val="003252FD"/>
    <w:rsid w:val="00325324"/>
    <w:rsid w:val="0032543B"/>
    <w:rsid w:val="0032548E"/>
    <w:rsid w:val="00325526"/>
    <w:rsid w:val="0032552B"/>
    <w:rsid w:val="00325599"/>
    <w:rsid w:val="00325810"/>
    <w:rsid w:val="00325862"/>
    <w:rsid w:val="003258D4"/>
    <w:rsid w:val="003258D9"/>
    <w:rsid w:val="00325E18"/>
    <w:rsid w:val="00325F01"/>
    <w:rsid w:val="00326103"/>
    <w:rsid w:val="00326162"/>
    <w:rsid w:val="00326175"/>
    <w:rsid w:val="003262E6"/>
    <w:rsid w:val="00326340"/>
    <w:rsid w:val="003264E7"/>
    <w:rsid w:val="003264F3"/>
    <w:rsid w:val="0032650E"/>
    <w:rsid w:val="00326598"/>
    <w:rsid w:val="0032666D"/>
    <w:rsid w:val="00326789"/>
    <w:rsid w:val="0032682C"/>
    <w:rsid w:val="00326886"/>
    <w:rsid w:val="003268A3"/>
    <w:rsid w:val="0032690A"/>
    <w:rsid w:val="00326915"/>
    <w:rsid w:val="0032697C"/>
    <w:rsid w:val="0032698B"/>
    <w:rsid w:val="003269CD"/>
    <w:rsid w:val="00326AF5"/>
    <w:rsid w:val="00326B28"/>
    <w:rsid w:val="00326BD5"/>
    <w:rsid w:val="00326CA7"/>
    <w:rsid w:val="00326DA4"/>
    <w:rsid w:val="00326E07"/>
    <w:rsid w:val="00326E20"/>
    <w:rsid w:val="00326E37"/>
    <w:rsid w:val="00326E3C"/>
    <w:rsid w:val="00326F7D"/>
    <w:rsid w:val="00327019"/>
    <w:rsid w:val="00327025"/>
    <w:rsid w:val="00327083"/>
    <w:rsid w:val="00327196"/>
    <w:rsid w:val="003272F6"/>
    <w:rsid w:val="0032730D"/>
    <w:rsid w:val="0032736E"/>
    <w:rsid w:val="0032738E"/>
    <w:rsid w:val="003273B7"/>
    <w:rsid w:val="0032744A"/>
    <w:rsid w:val="00327491"/>
    <w:rsid w:val="00327545"/>
    <w:rsid w:val="003275AB"/>
    <w:rsid w:val="003277AB"/>
    <w:rsid w:val="0032794F"/>
    <w:rsid w:val="003279DC"/>
    <w:rsid w:val="003279FA"/>
    <w:rsid w:val="00327ABC"/>
    <w:rsid w:val="00327B3D"/>
    <w:rsid w:val="00327B98"/>
    <w:rsid w:val="00327BB5"/>
    <w:rsid w:val="00327C1A"/>
    <w:rsid w:val="00327CA6"/>
    <w:rsid w:val="00327D0C"/>
    <w:rsid w:val="00327D78"/>
    <w:rsid w:val="00327D8D"/>
    <w:rsid w:val="00327E74"/>
    <w:rsid w:val="0033007A"/>
    <w:rsid w:val="003300F4"/>
    <w:rsid w:val="00330128"/>
    <w:rsid w:val="0033012D"/>
    <w:rsid w:val="00330173"/>
    <w:rsid w:val="00330190"/>
    <w:rsid w:val="003301EB"/>
    <w:rsid w:val="0033026F"/>
    <w:rsid w:val="0033040C"/>
    <w:rsid w:val="00330412"/>
    <w:rsid w:val="00330498"/>
    <w:rsid w:val="00330619"/>
    <w:rsid w:val="0033068F"/>
    <w:rsid w:val="003306EE"/>
    <w:rsid w:val="003307FB"/>
    <w:rsid w:val="003308A7"/>
    <w:rsid w:val="0033091B"/>
    <w:rsid w:val="00330998"/>
    <w:rsid w:val="00330BB8"/>
    <w:rsid w:val="00330BE9"/>
    <w:rsid w:val="00330BF1"/>
    <w:rsid w:val="00330F23"/>
    <w:rsid w:val="00330F38"/>
    <w:rsid w:val="00330F46"/>
    <w:rsid w:val="00330F95"/>
    <w:rsid w:val="00331056"/>
    <w:rsid w:val="003310A4"/>
    <w:rsid w:val="003310D5"/>
    <w:rsid w:val="003310D9"/>
    <w:rsid w:val="0033112C"/>
    <w:rsid w:val="003311EB"/>
    <w:rsid w:val="00331279"/>
    <w:rsid w:val="00331396"/>
    <w:rsid w:val="003313EB"/>
    <w:rsid w:val="00331414"/>
    <w:rsid w:val="003315F9"/>
    <w:rsid w:val="00331640"/>
    <w:rsid w:val="00331644"/>
    <w:rsid w:val="0033164A"/>
    <w:rsid w:val="003316E6"/>
    <w:rsid w:val="00331834"/>
    <w:rsid w:val="00331887"/>
    <w:rsid w:val="003318C2"/>
    <w:rsid w:val="003318CF"/>
    <w:rsid w:val="0033192B"/>
    <w:rsid w:val="0033195E"/>
    <w:rsid w:val="00331965"/>
    <w:rsid w:val="00331A7A"/>
    <w:rsid w:val="00331AAE"/>
    <w:rsid w:val="00331B26"/>
    <w:rsid w:val="00331D6D"/>
    <w:rsid w:val="00331F54"/>
    <w:rsid w:val="0033218E"/>
    <w:rsid w:val="003321AF"/>
    <w:rsid w:val="00332219"/>
    <w:rsid w:val="0033229E"/>
    <w:rsid w:val="003322A4"/>
    <w:rsid w:val="003322CB"/>
    <w:rsid w:val="0033249D"/>
    <w:rsid w:val="0033279F"/>
    <w:rsid w:val="0033282F"/>
    <w:rsid w:val="00332849"/>
    <w:rsid w:val="00332A18"/>
    <w:rsid w:val="00332A75"/>
    <w:rsid w:val="00332CB2"/>
    <w:rsid w:val="00332E86"/>
    <w:rsid w:val="00332F1F"/>
    <w:rsid w:val="003330DF"/>
    <w:rsid w:val="003330F9"/>
    <w:rsid w:val="003331B5"/>
    <w:rsid w:val="003331EA"/>
    <w:rsid w:val="00333292"/>
    <w:rsid w:val="003333C8"/>
    <w:rsid w:val="00333406"/>
    <w:rsid w:val="0033346B"/>
    <w:rsid w:val="00333493"/>
    <w:rsid w:val="00333521"/>
    <w:rsid w:val="0033373B"/>
    <w:rsid w:val="00333801"/>
    <w:rsid w:val="00333859"/>
    <w:rsid w:val="00333950"/>
    <w:rsid w:val="00333AB4"/>
    <w:rsid w:val="00333B0D"/>
    <w:rsid w:val="00333CA5"/>
    <w:rsid w:val="00333D02"/>
    <w:rsid w:val="00333D18"/>
    <w:rsid w:val="00333E27"/>
    <w:rsid w:val="00333E6B"/>
    <w:rsid w:val="00333EB5"/>
    <w:rsid w:val="00333F04"/>
    <w:rsid w:val="00333F2E"/>
    <w:rsid w:val="00333FF3"/>
    <w:rsid w:val="00334085"/>
    <w:rsid w:val="003342B7"/>
    <w:rsid w:val="0033439C"/>
    <w:rsid w:val="0033439F"/>
    <w:rsid w:val="003343EE"/>
    <w:rsid w:val="003343F7"/>
    <w:rsid w:val="0033444B"/>
    <w:rsid w:val="003344DD"/>
    <w:rsid w:val="0033454A"/>
    <w:rsid w:val="00334585"/>
    <w:rsid w:val="0033479A"/>
    <w:rsid w:val="0033480E"/>
    <w:rsid w:val="003349E3"/>
    <w:rsid w:val="00334AD5"/>
    <w:rsid w:val="00334BE4"/>
    <w:rsid w:val="00334BE9"/>
    <w:rsid w:val="00334C85"/>
    <w:rsid w:val="00334CC6"/>
    <w:rsid w:val="00334D96"/>
    <w:rsid w:val="00335195"/>
    <w:rsid w:val="003351DC"/>
    <w:rsid w:val="00335209"/>
    <w:rsid w:val="003356A3"/>
    <w:rsid w:val="003356B5"/>
    <w:rsid w:val="00335706"/>
    <w:rsid w:val="00335A2C"/>
    <w:rsid w:val="00335A8E"/>
    <w:rsid w:val="00335C49"/>
    <w:rsid w:val="00335CAC"/>
    <w:rsid w:val="00335CC8"/>
    <w:rsid w:val="00335E6C"/>
    <w:rsid w:val="00335F7C"/>
    <w:rsid w:val="00335FF9"/>
    <w:rsid w:val="00336073"/>
    <w:rsid w:val="00336201"/>
    <w:rsid w:val="0033622F"/>
    <w:rsid w:val="003362D7"/>
    <w:rsid w:val="00336309"/>
    <w:rsid w:val="00336393"/>
    <w:rsid w:val="003363D8"/>
    <w:rsid w:val="003366F6"/>
    <w:rsid w:val="003367BC"/>
    <w:rsid w:val="0033692B"/>
    <w:rsid w:val="00336948"/>
    <w:rsid w:val="003369DD"/>
    <w:rsid w:val="00336A68"/>
    <w:rsid w:val="00336AF7"/>
    <w:rsid w:val="00336B92"/>
    <w:rsid w:val="00336C17"/>
    <w:rsid w:val="00336CA9"/>
    <w:rsid w:val="00336CC8"/>
    <w:rsid w:val="00336E74"/>
    <w:rsid w:val="00336EF0"/>
    <w:rsid w:val="00337024"/>
    <w:rsid w:val="0033702B"/>
    <w:rsid w:val="00337185"/>
    <w:rsid w:val="003371DF"/>
    <w:rsid w:val="0033726A"/>
    <w:rsid w:val="00337398"/>
    <w:rsid w:val="003373CD"/>
    <w:rsid w:val="003375D0"/>
    <w:rsid w:val="0033760E"/>
    <w:rsid w:val="00337623"/>
    <w:rsid w:val="00337755"/>
    <w:rsid w:val="00337817"/>
    <w:rsid w:val="00337B37"/>
    <w:rsid w:val="00337B5C"/>
    <w:rsid w:val="00337C76"/>
    <w:rsid w:val="00337E09"/>
    <w:rsid w:val="00337E86"/>
    <w:rsid w:val="00337F3F"/>
    <w:rsid w:val="00337FD6"/>
    <w:rsid w:val="00340013"/>
    <w:rsid w:val="0034003D"/>
    <w:rsid w:val="00340053"/>
    <w:rsid w:val="00340073"/>
    <w:rsid w:val="003401DF"/>
    <w:rsid w:val="0034020D"/>
    <w:rsid w:val="00340215"/>
    <w:rsid w:val="00340358"/>
    <w:rsid w:val="003403C6"/>
    <w:rsid w:val="003405BD"/>
    <w:rsid w:val="003405DD"/>
    <w:rsid w:val="003405E5"/>
    <w:rsid w:val="0034064F"/>
    <w:rsid w:val="00340832"/>
    <w:rsid w:val="003408F7"/>
    <w:rsid w:val="003409AC"/>
    <w:rsid w:val="003409E0"/>
    <w:rsid w:val="003409F6"/>
    <w:rsid w:val="00340B8A"/>
    <w:rsid w:val="00340BC0"/>
    <w:rsid w:val="00340C01"/>
    <w:rsid w:val="00340F86"/>
    <w:rsid w:val="00340F9C"/>
    <w:rsid w:val="00341145"/>
    <w:rsid w:val="00341220"/>
    <w:rsid w:val="003412C7"/>
    <w:rsid w:val="00341330"/>
    <w:rsid w:val="00341492"/>
    <w:rsid w:val="003414A4"/>
    <w:rsid w:val="00341563"/>
    <w:rsid w:val="003415E1"/>
    <w:rsid w:val="003415E3"/>
    <w:rsid w:val="00341612"/>
    <w:rsid w:val="0034167B"/>
    <w:rsid w:val="003417DE"/>
    <w:rsid w:val="0034184F"/>
    <w:rsid w:val="0034185A"/>
    <w:rsid w:val="00341932"/>
    <w:rsid w:val="00341940"/>
    <w:rsid w:val="003419B4"/>
    <w:rsid w:val="00341A18"/>
    <w:rsid w:val="00341A8B"/>
    <w:rsid w:val="00341BB3"/>
    <w:rsid w:val="00341C79"/>
    <w:rsid w:val="00341D01"/>
    <w:rsid w:val="00341EBC"/>
    <w:rsid w:val="00341EFB"/>
    <w:rsid w:val="003420C5"/>
    <w:rsid w:val="0034219F"/>
    <w:rsid w:val="003421C1"/>
    <w:rsid w:val="003421F5"/>
    <w:rsid w:val="0034247A"/>
    <w:rsid w:val="00342576"/>
    <w:rsid w:val="003425A2"/>
    <w:rsid w:val="003425BE"/>
    <w:rsid w:val="003425D7"/>
    <w:rsid w:val="00342632"/>
    <w:rsid w:val="00342671"/>
    <w:rsid w:val="0034267B"/>
    <w:rsid w:val="003427A8"/>
    <w:rsid w:val="003427DC"/>
    <w:rsid w:val="00342828"/>
    <w:rsid w:val="00342835"/>
    <w:rsid w:val="00342888"/>
    <w:rsid w:val="003428DA"/>
    <w:rsid w:val="003428E0"/>
    <w:rsid w:val="00342B70"/>
    <w:rsid w:val="00342BC5"/>
    <w:rsid w:val="00342C05"/>
    <w:rsid w:val="00342CB4"/>
    <w:rsid w:val="00342D51"/>
    <w:rsid w:val="00342DAD"/>
    <w:rsid w:val="00342FE7"/>
    <w:rsid w:val="003430CB"/>
    <w:rsid w:val="003430FF"/>
    <w:rsid w:val="0034319A"/>
    <w:rsid w:val="003431B1"/>
    <w:rsid w:val="003431DB"/>
    <w:rsid w:val="003432ED"/>
    <w:rsid w:val="0034330E"/>
    <w:rsid w:val="00343344"/>
    <w:rsid w:val="00343393"/>
    <w:rsid w:val="00343535"/>
    <w:rsid w:val="003435AD"/>
    <w:rsid w:val="003435CF"/>
    <w:rsid w:val="003435FC"/>
    <w:rsid w:val="00343630"/>
    <w:rsid w:val="0034367B"/>
    <w:rsid w:val="0034371D"/>
    <w:rsid w:val="0034372C"/>
    <w:rsid w:val="00343749"/>
    <w:rsid w:val="003437D2"/>
    <w:rsid w:val="00343891"/>
    <w:rsid w:val="003439C7"/>
    <w:rsid w:val="00343C0E"/>
    <w:rsid w:val="00343D1F"/>
    <w:rsid w:val="00343DE8"/>
    <w:rsid w:val="00343DEC"/>
    <w:rsid w:val="00343EEA"/>
    <w:rsid w:val="00343F5E"/>
    <w:rsid w:val="00344063"/>
    <w:rsid w:val="00344069"/>
    <w:rsid w:val="003441DC"/>
    <w:rsid w:val="0034430B"/>
    <w:rsid w:val="00344362"/>
    <w:rsid w:val="003444CC"/>
    <w:rsid w:val="003444F5"/>
    <w:rsid w:val="00344505"/>
    <w:rsid w:val="003445A1"/>
    <w:rsid w:val="00344617"/>
    <w:rsid w:val="00344726"/>
    <w:rsid w:val="003448CA"/>
    <w:rsid w:val="003448F6"/>
    <w:rsid w:val="0034490C"/>
    <w:rsid w:val="00344934"/>
    <w:rsid w:val="003449A2"/>
    <w:rsid w:val="003449D8"/>
    <w:rsid w:val="00344A15"/>
    <w:rsid w:val="00344B25"/>
    <w:rsid w:val="00344B71"/>
    <w:rsid w:val="00344C84"/>
    <w:rsid w:val="00344D5A"/>
    <w:rsid w:val="00344DE6"/>
    <w:rsid w:val="00344DF8"/>
    <w:rsid w:val="00344FDA"/>
    <w:rsid w:val="00345000"/>
    <w:rsid w:val="003450FB"/>
    <w:rsid w:val="00345217"/>
    <w:rsid w:val="00345339"/>
    <w:rsid w:val="003453A8"/>
    <w:rsid w:val="0034544E"/>
    <w:rsid w:val="00345569"/>
    <w:rsid w:val="003455A2"/>
    <w:rsid w:val="0034560F"/>
    <w:rsid w:val="0034588B"/>
    <w:rsid w:val="003458D3"/>
    <w:rsid w:val="00345A43"/>
    <w:rsid w:val="00345A93"/>
    <w:rsid w:val="00345ACA"/>
    <w:rsid w:val="00345B27"/>
    <w:rsid w:val="00345B3E"/>
    <w:rsid w:val="00345C15"/>
    <w:rsid w:val="00345C77"/>
    <w:rsid w:val="00345C83"/>
    <w:rsid w:val="00345D7D"/>
    <w:rsid w:val="00346251"/>
    <w:rsid w:val="00346260"/>
    <w:rsid w:val="00346677"/>
    <w:rsid w:val="0034667C"/>
    <w:rsid w:val="00346809"/>
    <w:rsid w:val="00346834"/>
    <w:rsid w:val="003468A3"/>
    <w:rsid w:val="003468D7"/>
    <w:rsid w:val="003468F3"/>
    <w:rsid w:val="00346965"/>
    <w:rsid w:val="00346A75"/>
    <w:rsid w:val="00346A86"/>
    <w:rsid w:val="00346AC4"/>
    <w:rsid w:val="00346C14"/>
    <w:rsid w:val="00346DEE"/>
    <w:rsid w:val="00346E79"/>
    <w:rsid w:val="00346E9E"/>
    <w:rsid w:val="00346EF7"/>
    <w:rsid w:val="00346F43"/>
    <w:rsid w:val="00347030"/>
    <w:rsid w:val="0034713C"/>
    <w:rsid w:val="003471CA"/>
    <w:rsid w:val="003472CC"/>
    <w:rsid w:val="00347408"/>
    <w:rsid w:val="003474FF"/>
    <w:rsid w:val="00347531"/>
    <w:rsid w:val="0034753C"/>
    <w:rsid w:val="0034756A"/>
    <w:rsid w:val="003475FF"/>
    <w:rsid w:val="003476AF"/>
    <w:rsid w:val="00347783"/>
    <w:rsid w:val="003477AF"/>
    <w:rsid w:val="003477EB"/>
    <w:rsid w:val="00347A1E"/>
    <w:rsid w:val="00347B0B"/>
    <w:rsid w:val="00347B62"/>
    <w:rsid w:val="00347BEA"/>
    <w:rsid w:val="00347C87"/>
    <w:rsid w:val="00347D0D"/>
    <w:rsid w:val="00347D3B"/>
    <w:rsid w:val="00347F22"/>
    <w:rsid w:val="00347F8D"/>
    <w:rsid w:val="00350054"/>
    <w:rsid w:val="00350066"/>
    <w:rsid w:val="00350135"/>
    <w:rsid w:val="00350288"/>
    <w:rsid w:val="0035032B"/>
    <w:rsid w:val="003504DC"/>
    <w:rsid w:val="003505C7"/>
    <w:rsid w:val="0035063B"/>
    <w:rsid w:val="0035074D"/>
    <w:rsid w:val="0035076E"/>
    <w:rsid w:val="003507BB"/>
    <w:rsid w:val="00350951"/>
    <w:rsid w:val="00350ACB"/>
    <w:rsid w:val="00350B1E"/>
    <w:rsid w:val="00350B31"/>
    <w:rsid w:val="00350B72"/>
    <w:rsid w:val="00350CD0"/>
    <w:rsid w:val="00350CF3"/>
    <w:rsid w:val="00350D77"/>
    <w:rsid w:val="00350DC3"/>
    <w:rsid w:val="00351043"/>
    <w:rsid w:val="003510A1"/>
    <w:rsid w:val="003510FE"/>
    <w:rsid w:val="0035111C"/>
    <w:rsid w:val="003511BB"/>
    <w:rsid w:val="003511D0"/>
    <w:rsid w:val="003511E4"/>
    <w:rsid w:val="0035120D"/>
    <w:rsid w:val="00351334"/>
    <w:rsid w:val="00351448"/>
    <w:rsid w:val="003514B2"/>
    <w:rsid w:val="003514D5"/>
    <w:rsid w:val="003515E3"/>
    <w:rsid w:val="003515FC"/>
    <w:rsid w:val="003516CB"/>
    <w:rsid w:val="0035180F"/>
    <w:rsid w:val="003518A6"/>
    <w:rsid w:val="003518EF"/>
    <w:rsid w:val="0035199F"/>
    <w:rsid w:val="003519CF"/>
    <w:rsid w:val="00351CD2"/>
    <w:rsid w:val="00351DB1"/>
    <w:rsid w:val="00351DF7"/>
    <w:rsid w:val="00351EE3"/>
    <w:rsid w:val="00351F8D"/>
    <w:rsid w:val="00351F93"/>
    <w:rsid w:val="00352053"/>
    <w:rsid w:val="00352275"/>
    <w:rsid w:val="0035236D"/>
    <w:rsid w:val="0035248E"/>
    <w:rsid w:val="00352583"/>
    <w:rsid w:val="003525AB"/>
    <w:rsid w:val="003526DE"/>
    <w:rsid w:val="0035276D"/>
    <w:rsid w:val="00352838"/>
    <w:rsid w:val="00352F20"/>
    <w:rsid w:val="00352FC7"/>
    <w:rsid w:val="00353056"/>
    <w:rsid w:val="0035321C"/>
    <w:rsid w:val="0035321D"/>
    <w:rsid w:val="0035325F"/>
    <w:rsid w:val="0035330D"/>
    <w:rsid w:val="0035335E"/>
    <w:rsid w:val="00353365"/>
    <w:rsid w:val="00353414"/>
    <w:rsid w:val="00353442"/>
    <w:rsid w:val="003534A8"/>
    <w:rsid w:val="003534C0"/>
    <w:rsid w:val="003535F4"/>
    <w:rsid w:val="00353699"/>
    <w:rsid w:val="003537C5"/>
    <w:rsid w:val="00353889"/>
    <w:rsid w:val="00353A4A"/>
    <w:rsid w:val="00353AD2"/>
    <w:rsid w:val="00353B07"/>
    <w:rsid w:val="00353D4D"/>
    <w:rsid w:val="00353E48"/>
    <w:rsid w:val="00353E67"/>
    <w:rsid w:val="00353F1B"/>
    <w:rsid w:val="0035408B"/>
    <w:rsid w:val="00354193"/>
    <w:rsid w:val="00354207"/>
    <w:rsid w:val="00354257"/>
    <w:rsid w:val="00354381"/>
    <w:rsid w:val="003543E5"/>
    <w:rsid w:val="003544CA"/>
    <w:rsid w:val="003544E2"/>
    <w:rsid w:val="00354570"/>
    <w:rsid w:val="003545BF"/>
    <w:rsid w:val="003545C4"/>
    <w:rsid w:val="00354707"/>
    <w:rsid w:val="003547F1"/>
    <w:rsid w:val="003548EE"/>
    <w:rsid w:val="00354954"/>
    <w:rsid w:val="0035496B"/>
    <w:rsid w:val="00354996"/>
    <w:rsid w:val="00354A5F"/>
    <w:rsid w:val="00354AAD"/>
    <w:rsid w:val="00354C59"/>
    <w:rsid w:val="00354E8D"/>
    <w:rsid w:val="00354F9F"/>
    <w:rsid w:val="003550C7"/>
    <w:rsid w:val="003550D2"/>
    <w:rsid w:val="0035539A"/>
    <w:rsid w:val="003553D8"/>
    <w:rsid w:val="003553EC"/>
    <w:rsid w:val="0035549F"/>
    <w:rsid w:val="0035557D"/>
    <w:rsid w:val="003555CE"/>
    <w:rsid w:val="003556E1"/>
    <w:rsid w:val="00355886"/>
    <w:rsid w:val="003558E2"/>
    <w:rsid w:val="00355972"/>
    <w:rsid w:val="00355A20"/>
    <w:rsid w:val="00355AA2"/>
    <w:rsid w:val="00355AC0"/>
    <w:rsid w:val="00355B24"/>
    <w:rsid w:val="00355B4D"/>
    <w:rsid w:val="00355BD0"/>
    <w:rsid w:val="00355C0C"/>
    <w:rsid w:val="00355CA5"/>
    <w:rsid w:val="00355CAF"/>
    <w:rsid w:val="00355D1F"/>
    <w:rsid w:val="00355D81"/>
    <w:rsid w:val="00355E02"/>
    <w:rsid w:val="00355E0D"/>
    <w:rsid w:val="00355E54"/>
    <w:rsid w:val="00355FA6"/>
    <w:rsid w:val="003560E9"/>
    <w:rsid w:val="003560FA"/>
    <w:rsid w:val="00356139"/>
    <w:rsid w:val="0035615E"/>
    <w:rsid w:val="00356272"/>
    <w:rsid w:val="003562DC"/>
    <w:rsid w:val="003563B2"/>
    <w:rsid w:val="0035647B"/>
    <w:rsid w:val="003564FA"/>
    <w:rsid w:val="00356569"/>
    <w:rsid w:val="00356684"/>
    <w:rsid w:val="00356699"/>
    <w:rsid w:val="0035679A"/>
    <w:rsid w:val="003567D3"/>
    <w:rsid w:val="00356943"/>
    <w:rsid w:val="00356AB2"/>
    <w:rsid w:val="00356D13"/>
    <w:rsid w:val="00356DC5"/>
    <w:rsid w:val="00356DF1"/>
    <w:rsid w:val="00356E05"/>
    <w:rsid w:val="00356F29"/>
    <w:rsid w:val="00357083"/>
    <w:rsid w:val="003571A7"/>
    <w:rsid w:val="003571B8"/>
    <w:rsid w:val="0035722C"/>
    <w:rsid w:val="003572EA"/>
    <w:rsid w:val="0035732A"/>
    <w:rsid w:val="0035733B"/>
    <w:rsid w:val="003574C4"/>
    <w:rsid w:val="003574C9"/>
    <w:rsid w:val="00357512"/>
    <w:rsid w:val="00357620"/>
    <w:rsid w:val="003578C9"/>
    <w:rsid w:val="0035791A"/>
    <w:rsid w:val="003579B4"/>
    <w:rsid w:val="003579C5"/>
    <w:rsid w:val="003579F9"/>
    <w:rsid w:val="00357A82"/>
    <w:rsid w:val="00357A9B"/>
    <w:rsid w:val="00357AE1"/>
    <w:rsid w:val="00357B0D"/>
    <w:rsid w:val="00357B2B"/>
    <w:rsid w:val="00357B44"/>
    <w:rsid w:val="00357C60"/>
    <w:rsid w:val="00357D69"/>
    <w:rsid w:val="00357DEF"/>
    <w:rsid w:val="00357E69"/>
    <w:rsid w:val="00357ED7"/>
    <w:rsid w:val="00357EDD"/>
    <w:rsid w:val="00357F7C"/>
    <w:rsid w:val="0036003D"/>
    <w:rsid w:val="0036011C"/>
    <w:rsid w:val="0036013D"/>
    <w:rsid w:val="0036015A"/>
    <w:rsid w:val="003601C7"/>
    <w:rsid w:val="0036041B"/>
    <w:rsid w:val="003605EB"/>
    <w:rsid w:val="003606AF"/>
    <w:rsid w:val="0036096B"/>
    <w:rsid w:val="00360AC6"/>
    <w:rsid w:val="00360B83"/>
    <w:rsid w:val="00360BFF"/>
    <w:rsid w:val="00360CFA"/>
    <w:rsid w:val="00360DE0"/>
    <w:rsid w:val="00360ED1"/>
    <w:rsid w:val="00360F7B"/>
    <w:rsid w:val="00360FAE"/>
    <w:rsid w:val="00361070"/>
    <w:rsid w:val="00361218"/>
    <w:rsid w:val="0036129B"/>
    <w:rsid w:val="0036139D"/>
    <w:rsid w:val="003613C3"/>
    <w:rsid w:val="00361425"/>
    <w:rsid w:val="0036162C"/>
    <w:rsid w:val="00361687"/>
    <w:rsid w:val="00361867"/>
    <w:rsid w:val="003618CA"/>
    <w:rsid w:val="003619A8"/>
    <w:rsid w:val="003619F8"/>
    <w:rsid w:val="00361A30"/>
    <w:rsid w:val="00361A54"/>
    <w:rsid w:val="00361A55"/>
    <w:rsid w:val="00361A84"/>
    <w:rsid w:val="00361B97"/>
    <w:rsid w:val="00361D13"/>
    <w:rsid w:val="00361F2A"/>
    <w:rsid w:val="00361F84"/>
    <w:rsid w:val="0036203A"/>
    <w:rsid w:val="0036207D"/>
    <w:rsid w:val="003620DB"/>
    <w:rsid w:val="00362152"/>
    <w:rsid w:val="0036236D"/>
    <w:rsid w:val="0036242A"/>
    <w:rsid w:val="00362506"/>
    <w:rsid w:val="0036272D"/>
    <w:rsid w:val="00362945"/>
    <w:rsid w:val="00362986"/>
    <w:rsid w:val="003629C1"/>
    <w:rsid w:val="00362B20"/>
    <w:rsid w:val="00362B23"/>
    <w:rsid w:val="00362C1C"/>
    <w:rsid w:val="00362D2F"/>
    <w:rsid w:val="00362EA2"/>
    <w:rsid w:val="00362ED2"/>
    <w:rsid w:val="00362F4E"/>
    <w:rsid w:val="003630A7"/>
    <w:rsid w:val="00363213"/>
    <w:rsid w:val="00363303"/>
    <w:rsid w:val="00363562"/>
    <w:rsid w:val="0036366C"/>
    <w:rsid w:val="003636C1"/>
    <w:rsid w:val="003636E9"/>
    <w:rsid w:val="0036383A"/>
    <w:rsid w:val="003638E4"/>
    <w:rsid w:val="0036393C"/>
    <w:rsid w:val="00363987"/>
    <w:rsid w:val="0036399A"/>
    <w:rsid w:val="00363A6F"/>
    <w:rsid w:val="00363AB0"/>
    <w:rsid w:val="00363AE9"/>
    <w:rsid w:val="00363B07"/>
    <w:rsid w:val="00363BF1"/>
    <w:rsid w:val="00363CA1"/>
    <w:rsid w:val="00363EE2"/>
    <w:rsid w:val="00363FC2"/>
    <w:rsid w:val="00364186"/>
    <w:rsid w:val="003641CF"/>
    <w:rsid w:val="0036454D"/>
    <w:rsid w:val="00364647"/>
    <w:rsid w:val="0036467D"/>
    <w:rsid w:val="003647F2"/>
    <w:rsid w:val="003647F5"/>
    <w:rsid w:val="003647F6"/>
    <w:rsid w:val="00364927"/>
    <w:rsid w:val="0036492C"/>
    <w:rsid w:val="00364BAC"/>
    <w:rsid w:val="00364F0B"/>
    <w:rsid w:val="00364F49"/>
    <w:rsid w:val="00364F71"/>
    <w:rsid w:val="00364F77"/>
    <w:rsid w:val="0036502E"/>
    <w:rsid w:val="00365261"/>
    <w:rsid w:val="00365276"/>
    <w:rsid w:val="003652AC"/>
    <w:rsid w:val="003652AE"/>
    <w:rsid w:val="00365337"/>
    <w:rsid w:val="003653AC"/>
    <w:rsid w:val="00365430"/>
    <w:rsid w:val="003655E7"/>
    <w:rsid w:val="00365818"/>
    <w:rsid w:val="00365884"/>
    <w:rsid w:val="00365A36"/>
    <w:rsid w:val="00365A37"/>
    <w:rsid w:val="00365A4C"/>
    <w:rsid w:val="00365A68"/>
    <w:rsid w:val="00365B1E"/>
    <w:rsid w:val="00365CB5"/>
    <w:rsid w:val="00365E19"/>
    <w:rsid w:val="00365E52"/>
    <w:rsid w:val="00365EB8"/>
    <w:rsid w:val="00365FE3"/>
    <w:rsid w:val="00366059"/>
    <w:rsid w:val="003660C9"/>
    <w:rsid w:val="003663FA"/>
    <w:rsid w:val="00366536"/>
    <w:rsid w:val="0036655D"/>
    <w:rsid w:val="00366699"/>
    <w:rsid w:val="00366722"/>
    <w:rsid w:val="00366961"/>
    <w:rsid w:val="003669A6"/>
    <w:rsid w:val="00366ABC"/>
    <w:rsid w:val="00366AFC"/>
    <w:rsid w:val="00366B18"/>
    <w:rsid w:val="00366BB1"/>
    <w:rsid w:val="00366CD9"/>
    <w:rsid w:val="00366D6C"/>
    <w:rsid w:val="00366D86"/>
    <w:rsid w:val="00366DDD"/>
    <w:rsid w:val="00366F3D"/>
    <w:rsid w:val="00366F62"/>
    <w:rsid w:val="00366FF4"/>
    <w:rsid w:val="0036711C"/>
    <w:rsid w:val="00367229"/>
    <w:rsid w:val="00367379"/>
    <w:rsid w:val="00367380"/>
    <w:rsid w:val="00367486"/>
    <w:rsid w:val="0036758F"/>
    <w:rsid w:val="003677D0"/>
    <w:rsid w:val="003679EE"/>
    <w:rsid w:val="003679FA"/>
    <w:rsid w:val="00367B57"/>
    <w:rsid w:val="00367BA0"/>
    <w:rsid w:val="00367D07"/>
    <w:rsid w:val="00367DB7"/>
    <w:rsid w:val="00367E77"/>
    <w:rsid w:val="00367FAD"/>
    <w:rsid w:val="00370216"/>
    <w:rsid w:val="00370346"/>
    <w:rsid w:val="00370388"/>
    <w:rsid w:val="003703D8"/>
    <w:rsid w:val="00370487"/>
    <w:rsid w:val="0037048A"/>
    <w:rsid w:val="003704B8"/>
    <w:rsid w:val="003704CF"/>
    <w:rsid w:val="00370508"/>
    <w:rsid w:val="0037053D"/>
    <w:rsid w:val="00370557"/>
    <w:rsid w:val="003705F6"/>
    <w:rsid w:val="00370758"/>
    <w:rsid w:val="003707BA"/>
    <w:rsid w:val="003707D4"/>
    <w:rsid w:val="003707E8"/>
    <w:rsid w:val="00370841"/>
    <w:rsid w:val="00370851"/>
    <w:rsid w:val="00370937"/>
    <w:rsid w:val="003709DE"/>
    <w:rsid w:val="00370B36"/>
    <w:rsid w:val="00370C35"/>
    <w:rsid w:val="00370CF0"/>
    <w:rsid w:val="00370EA3"/>
    <w:rsid w:val="003711CF"/>
    <w:rsid w:val="00371229"/>
    <w:rsid w:val="003712CC"/>
    <w:rsid w:val="00371310"/>
    <w:rsid w:val="003717E1"/>
    <w:rsid w:val="0037198D"/>
    <w:rsid w:val="003719ED"/>
    <w:rsid w:val="00371A96"/>
    <w:rsid w:val="00371B40"/>
    <w:rsid w:val="00371DFB"/>
    <w:rsid w:val="00371FE7"/>
    <w:rsid w:val="00372039"/>
    <w:rsid w:val="0037210E"/>
    <w:rsid w:val="00372134"/>
    <w:rsid w:val="00372497"/>
    <w:rsid w:val="003724A6"/>
    <w:rsid w:val="00372A54"/>
    <w:rsid w:val="00372A55"/>
    <w:rsid w:val="00372B94"/>
    <w:rsid w:val="00372C92"/>
    <w:rsid w:val="00372CD7"/>
    <w:rsid w:val="00372D0A"/>
    <w:rsid w:val="00372F22"/>
    <w:rsid w:val="00372F85"/>
    <w:rsid w:val="0037301A"/>
    <w:rsid w:val="0037303C"/>
    <w:rsid w:val="003730AC"/>
    <w:rsid w:val="00373103"/>
    <w:rsid w:val="0037310F"/>
    <w:rsid w:val="00373110"/>
    <w:rsid w:val="00373180"/>
    <w:rsid w:val="003731D1"/>
    <w:rsid w:val="003732CB"/>
    <w:rsid w:val="003733CD"/>
    <w:rsid w:val="003734E3"/>
    <w:rsid w:val="00373618"/>
    <w:rsid w:val="0037368C"/>
    <w:rsid w:val="003736FB"/>
    <w:rsid w:val="003737ED"/>
    <w:rsid w:val="003739AF"/>
    <w:rsid w:val="00373A6A"/>
    <w:rsid w:val="00373AEA"/>
    <w:rsid w:val="00373C20"/>
    <w:rsid w:val="00373C6D"/>
    <w:rsid w:val="00373CB0"/>
    <w:rsid w:val="00373D3F"/>
    <w:rsid w:val="00373D8C"/>
    <w:rsid w:val="00373DF0"/>
    <w:rsid w:val="00373E1E"/>
    <w:rsid w:val="00373F23"/>
    <w:rsid w:val="00373F2E"/>
    <w:rsid w:val="00374096"/>
    <w:rsid w:val="003740CE"/>
    <w:rsid w:val="003740FD"/>
    <w:rsid w:val="00374217"/>
    <w:rsid w:val="0037423C"/>
    <w:rsid w:val="00374286"/>
    <w:rsid w:val="003742A4"/>
    <w:rsid w:val="00374317"/>
    <w:rsid w:val="00374356"/>
    <w:rsid w:val="003743D6"/>
    <w:rsid w:val="003743D7"/>
    <w:rsid w:val="00374415"/>
    <w:rsid w:val="00374540"/>
    <w:rsid w:val="00374572"/>
    <w:rsid w:val="00374574"/>
    <w:rsid w:val="0037470D"/>
    <w:rsid w:val="00374770"/>
    <w:rsid w:val="00374779"/>
    <w:rsid w:val="0037486E"/>
    <w:rsid w:val="003748D1"/>
    <w:rsid w:val="0037499A"/>
    <w:rsid w:val="003749A7"/>
    <w:rsid w:val="00374AAB"/>
    <w:rsid w:val="00374B2C"/>
    <w:rsid w:val="00374BDB"/>
    <w:rsid w:val="00374D24"/>
    <w:rsid w:val="00374D48"/>
    <w:rsid w:val="00374D82"/>
    <w:rsid w:val="00374E79"/>
    <w:rsid w:val="00374EBA"/>
    <w:rsid w:val="00374FF3"/>
    <w:rsid w:val="0037518D"/>
    <w:rsid w:val="0037520D"/>
    <w:rsid w:val="003753DA"/>
    <w:rsid w:val="003754C5"/>
    <w:rsid w:val="00375593"/>
    <w:rsid w:val="003756A7"/>
    <w:rsid w:val="003756C4"/>
    <w:rsid w:val="003756C9"/>
    <w:rsid w:val="0037570B"/>
    <w:rsid w:val="00375724"/>
    <w:rsid w:val="003757EC"/>
    <w:rsid w:val="00375946"/>
    <w:rsid w:val="00375951"/>
    <w:rsid w:val="00375A2E"/>
    <w:rsid w:val="00375A42"/>
    <w:rsid w:val="00375A4D"/>
    <w:rsid w:val="00375A76"/>
    <w:rsid w:val="00375AFD"/>
    <w:rsid w:val="00375B4C"/>
    <w:rsid w:val="00375C5F"/>
    <w:rsid w:val="00375C9E"/>
    <w:rsid w:val="00375E1F"/>
    <w:rsid w:val="00375EBC"/>
    <w:rsid w:val="00375FB0"/>
    <w:rsid w:val="003760AD"/>
    <w:rsid w:val="0037621A"/>
    <w:rsid w:val="0037632B"/>
    <w:rsid w:val="00376407"/>
    <w:rsid w:val="0037648F"/>
    <w:rsid w:val="00376499"/>
    <w:rsid w:val="00376624"/>
    <w:rsid w:val="0037666B"/>
    <w:rsid w:val="003767F8"/>
    <w:rsid w:val="00376812"/>
    <w:rsid w:val="003769EE"/>
    <w:rsid w:val="00376A15"/>
    <w:rsid w:val="00376BCA"/>
    <w:rsid w:val="00376C08"/>
    <w:rsid w:val="00376C0B"/>
    <w:rsid w:val="00376D8A"/>
    <w:rsid w:val="00376E9E"/>
    <w:rsid w:val="00376F73"/>
    <w:rsid w:val="00377008"/>
    <w:rsid w:val="00377113"/>
    <w:rsid w:val="0037711D"/>
    <w:rsid w:val="0037727C"/>
    <w:rsid w:val="00377288"/>
    <w:rsid w:val="0037734A"/>
    <w:rsid w:val="003773AF"/>
    <w:rsid w:val="00377654"/>
    <w:rsid w:val="003776F8"/>
    <w:rsid w:val="003777A0"/>
    <w:rsid w:val="00377832"/>
    <w:rsid w:val="00377970"/>
    <w:rsid w:val="0037799A"/>
    <w:rsid w:val="00377A89"/>
    <w:rsid w:val="00377B56"/>
    <w:rsid w:val="00377D5B"/>
    <w:rsid w:val="00377E0B"/>
    <w:rsid w:val="0038001F"/>
    <w:rsid w:val="003800D0"/>
    <w:rsid w:val="003801D3"/>
    <w:rsid w:val="003802AB"/>
    <w:rsid w:val="003802AF"/>
    <w:rsid w:val="003802C1"/>
    <w:rsid w:val="003803C2"/>
    <w:rsid w:val="003803D2"/>
    <w:rsid w:val="003804C3"/>
    <w:rsid w:val="003804F6"/>
    <w:rsid w:val="00380803"/>
    <w:rsid w:val="00380A9B"/>
    <w:rsid w:val="00380B59"/>
    <w:rsid w:val="00380B6F"/>
    <w:rsid w:val="00380B8E"/>
    <w:rsid w:val="00380B96"/>
    <w:rsid w:val="00380D36"/>
    <w:rsid w:val="00380D83"/>
    <w:rsid w:val="00380EE4"/>
    <w:rsid w:val="00380FEB"/>
    <w:rsid w:val="0038103A"/>
    <w:rsid w:val="00381113"/>
    <w:rsid w:val="00381181"/>
    <w:rsid w:val="00381289"/>
    <w:rsid w:val="003812BE"/>
    <w:rsid w:val="0038137C"/>
    <w:rsid w:val="00381413"/>
    <w:rsid w:val="00381556"/>
    <w:rsid w:val="00381647"/>
    <w:rsid w:val="00381661"/>
    <w:rsid w:val="003817E0"/>
    <w:rsid w:val="003818BB"/>
    <w:rsid w:val="003819EE"/>
    <w:rsid w:val="00381A3E"/>
    <w:rsid w:val="00381A47"/>
    <w:rsid w:val="00381A59"/>
    <w:rsid w:val="00381B83"/>
    <w:rsid w:val="00381DC0"/>
    <w:rsid w:val="00381E60"/>
    <w:rsid w:val="00381E7F"/>
    <w:rsid w:val="00381EFC"/>
    <w:rsid w:val="00381FBB"/>
    <w:rsid w:val="00381FC2"/>
    <w:rsid w:val="00382086"/>
    <w:rsid w:val="00382104"/>
    <w:rsid w:val="00382219"/>
    <w:rsid w:val="0038239E"/>
    <w:rsid w:val="00382436"/>
    <w:rsid w:val="0038243E"/>
    <w:rsid w:val="00382486"/>
    <w:rsid w:val="00382533"/>
    <w:rsid w:val="00382537"/>
    <w:rsid w:val="00382583"/>
    <w:rsid w:val="00382600"/>
    <w:rsid w:val="00382644"/>
    <w:rsid w:val="00382712"/>
    <w:rsid w:val="00382850"/>
    <w:rsid w:val="00382A06"/>
    <w:rsid w:val="00382A5B"/>
    <w:rsid w:val="00382B01"/>
    <w:rsid w:val="00382B3F"/>
    <w:rsid w:val="00382BE7"/>
    <w:rsid w:val="00382BE8"/>
    <w:rsid w:val="00382C41"/>
    <w:rsid w:val="00382E62"/>
    <w:rsid w:val="00382E76"/>
    <w:rsid w:val="00383088"/>
    <w:rsid w:val="003830D9"/>
    <w:rsid w:val="003830E9"/>
    <w:rsid w:val="00383114"/>
    <w:rsid w:val="00383200"/>
    <w:rsid w:val="003832A0"/>
    <w:rsid w:val="00383311"/>
    <w:rsid w:val="00383312"/>
    <w:rsid w:val="0038334E"/>
    <w:rsid w:val="003833BE"/>
    <w:rsid w:val="00383584"/>
    <w:rsid w:val="0038358E"/>
    <w:rsid w:val="003835B0"/>
    <w:rsid w:val="003835C2"/>
    <w:rsid w:val="003835D7"/>
    <w:rsid w:val="00383610"/>
    <w:rsid w:val="003836F3"/>
    <w:rsid w:val="00383721"/>
    <w:rsid w:val="003837F4"/>
    <w:rsid w:val="0038396E"/>
    <w:rsid w:val="00383AB4"/>
    <w:rsid w:val="00383AE5"/>
    <w:rsid w:val="00383CE8"/>
    <w:rsid w:val="00383D5C"/>
    <w:rsid w:val="00383D86"/>
    <w:rsid w:val="00383F26"/>
    <w:rsid w:val="00383F77"/>
    <w:rsid w:val="0038400B"/>
    <w:rsid w:val="0038402F"/>
    <w:rsid w:val="00384048"/>
    <w:rsid w:val="003840FF"/>
    <w:rsid w:val="00384233"/>
    <w:rsid w:val="00384368"/>
    <w:rsid w:val="003845B5"/>
    <w:rsid w:val="00384737"/>
    <w:rsid w:val="00384743"/>
    <w:rsid w:val="003847F6"/>
    <w:rsid w:val="00384824"/>
    <w:rsid w:val="003848DD"/>
    <w:rsid w:val="003849BC"/>
    <w:rsid w:val="00384A23"/>
    <w:rsid w:val="00384A83"/>
    <w:rsid w:val="00384AF3"/>
    <w:rsid w:val="00384B39"/>
    <w:rsid w:val="00384BB9"/>
    <w:rsid w:val="00384BCF"/>
    <w:rsid w:val="00384BD8"/>
    <w:rsid w:val="00384C50"/>
    <w:rsid w:val="00384F3F"/>
    <w:rsid w:val="003850CD"/>
    <w:rsid w:val="003850F4"/>
    <w:rsid w:val="00385153"/>
    <w:rsid w:val="003851EB"/>
    <w:rsid w:val="00385239"/>
    <w:rsid w:val="003852AA"/>
    <w:rsid w:val="003855BD"/>
    <w:rsid w:val="003855EB"/>
    <w:rsid w:val="00385806"/>
    <w:rsid w:val="003858A3"/>
    <w:rsid w:val="003859FA"/>
    <w:rsid w:val="00385ABB"/>
    <w:rsid w:val="00385C8A"/>
    <w:rsid w:val="00385E20"/>
    <w:rsid w:val="00385E8E"/>
    <w:rsid w:val="00385EA1"/>
    <w:rsid w:val="00385EB7"/>
    <w:rsid w:val="00386029"/>
    <w:rsid w:val="00386180"/>
    <w:rsid w:val="00386326"/>
    <w:rsid w:val="003863F9"/>
    <w:rsid w:val="003864CC"/>
    <w:rsid w:val="003864F5"/>
    <w:rsid w:val="00386721"/>
    <w:rsid w:val="00386778"/>
    <w:rsid w:val="00386886"/>
    <w:rsid w:val="003868F5"/>
    <w:rsid w:val="00386A5E"/>
    <w:rsid w:val="00386B4D"/>
    <w:rsid w:val="00386B64"/>
    <w:rsid w:val="00386BB1"/>
    <w:rsid w:val="00386BE3"/>
    <w:rsid w:val="00386C8F"/>
    <w:rsid w:val="00386CA3"/>
    <w:rsid w:val="00386D83"/>
    <w:rsid w:val="00386D9B"/>
    <w:rsid w:val="00386DE6"/>
    <w:rsid w:val="00386DEF"/>
    <w:rsid w:val="00386E0F"/>
    <w:rsid w:val="00386F3A"/>
    <w:rsid w:val="003871FC"/>
    <w:rsid w:val="00387202"/>
    <w:rsid w:val="0038721A"/>
    <w:rsid w:val="003874D2"/>
    <w:rsid w:val="003875A9"/>
    <w:rsid w:val="00387650"/>
    <w:rsid w:val="003876A2"/>
    <w:rsid w:val="00387800"/>
    <w:rsid w:val="00387874"/>
    <w:rsid w:val="003878A5"/>
    <w:rsid w:val="00387948"/>
    <w:rsid w:val="003879B4"/>
    <w:rsid w:val="00387ABC"/>
    <w:rsid w:val="00387B69"/>
    <w:rsid w:val="00387B84"/>
    <w:rsid w:val="00387D2C"/>
    <w:rsid w:val="00387D52"/>
    <w:rsid w:val="00387D7D"/>
    <w:rsid w:val="00387E99"/>
    <w:rsid w:val="00387FAB"/>
    <w:rsid w:val="00390017"/>
    <w:rsid w:val="003900FE"/>
    <w:rsid w:val="0039036E"/>
    <w:rsid w:val="003905DA"/>
    <w:rsid w:val="00390666"/>
    <w:rsid w:val="0039069D"/>
    <w:rsid w:val="003906FF"/>
    <w:rsid w:val="0039071D"/>
    <w:rsid w:val="00390748"/>
    <w:rsid w:val="003907C2"/>
    <w:rsid w:val="003907D5"/>
    <w:rsid w:val="003907D6"/>
    <w:rsid w:val="00390807"/>
    <w:rsid w:val="0039097D"/>
    <w:rsid w:val="003909BF"/>
    <w:rsid w:val="003909CC"/>
    <w:rsid w:val="00390ACD"/>
    <w:rsid w:val="00390BEC"/>
    <w:rsid w:val="00390C0F"/>
    <w:rsid w:val="00390C87"/>
    <w:rsid w:val="00390C92"/>
    <w:rsid w:val="00390DAF"/>
    <w:rsid w:val="00390EA6"/>
    <w:rsid w:val="0039107E"/>
    <w:rsid w:val="00391176"/>
    <w:rsid w:val="003911D1"/>
    <w:rsid w:val="00391201"/>
    <w:rsid w:val="0039122B"/>
    <w:rsid w:val="0039133E"/>
    <w:rsid w:val="0039136C"/>
    <w:rsid w:val="003914F9"/>
    <w:rsid w:val="00391522"/>
    <w:rsid w:val="0039153C"/>
    <w:rsid w:val="00391613"/>
    <w:rsid w:val="003917BB"/>
    <w:rsid w:val="00391AF7"/>
    <w:rsid w:val="00391C0F"/>
    <w:rsid w:val="00391D16"/>
    <w:rsid w:val="00391D4E"/>
    <w:rsid w:val="00391F24"/>
    <w:rsid w:val="00391F57"/>
    <w:rsid w:val="00391FB6"/>
    <w:rsid w:val="00391FDD"/>
    <w:rsid w:val="00392047"/>
    <w:rsid w:val="0039205D"/>
    <w:rsid w:val="00392141"/>
    <w:rsid w:val="00392158"/>
    <w:rsid w:val="00392266"/>
    <w:rsid w:val="003922AC"/>
    <w:rsid w:val="00392460"/>
    <w:rsid w:val="00392685"/>
    <w:rsid w:val="003927E6"/>
    <w:rsid w:val="0039291B"/>
    <w:rsid w:val="003929FD"/>
    <w:rsid w:val="00392A19"/>
    <w:rsid w:val="00392B4C"/>
    <w:rsid w:val="00392DC6"/>
    <w:rsid w:val="00392E9B"/>
    <w:rsid w:val="00392EA4"/>
    <w:rsid w:val="00392F0F"/>
    <w:rsid w:val="00393007"/>
    <w:rsid w:val="00393014"/>
    <w:rsid w:val="003930A6"/>
    <w:rsid w:val="0039323F"/>
    <w:rsid w:val="0039328A"/>
    <w:rsid w:val="003932B5"/>
    <w:rsid w:val="003932CC"/>
    <w:rsid w:val="003933D6"/>
    <w:rsid w:val="003933E7"/>
    <w:rsid w:val="00393409"/>
    <w:rsid w:val="00393448"/>
    <w:rsid w:val="00393460"/>
    <w:rsid w:val="00393472"/>
    <w:rsid w:val="0039351C"/>
    <w:rsid w:val="00393524"/>
    <w:rsid w:val="00393575"/>
    <w:rsid w:val="003935B4"/>
    <w:rsid w:val="0039369B"/>
    <w:rsid w:val="003936DE"/>
    <w:rsid w:val="0039373D"/>
    <w:rsid w:val="00393792"/>
    <w:rsid w:val="003938AC"/>
    <w:rsid w:val="003939DA"/>
    <w:rsid w:val="00393B5E"/>
    <w:rsid w:val="00393BAF"/>
    <w:rsid w:val="00393BC0"/>
    <w:rsid w:val="00393BFF"/>
    <w:rsid w:val="00393C29"/>
    <w:rsid w:val="00393D4A"/>
    <w:rsid w:val="00393E50"/>
    <w:rsid w:val="00394003"/>
    <w:rsid w:val="00394479"/>
    <w:rsid w:val="003944AB"/>
    <w:rsid w:val="003946E6"/>
    <w:rsid w:val="003949A9"/>
    <w:rsid w:val="00394ED1"/>
    <w:rsid w:val="00395270"/>
    <w:rsid w:val="0039540D"/>
    <w:rsid w:val="00395457"/>
    <w:rsid w:val="00395510"/>
    <w:rsid w:val="00395755"/>
    <w:rsid w:val="003957F5"/>
    <w:rsid w:val="0039584F"/>
    <w:rsid w:val="00395A8C"/>
    <w:rsid w:val="00395AC6"/>
    <w:rsid w:val="00395B92"/>
    <w:rsid w:val="00395C20"/>
    <w:rsid w:val="00395C7E"/>
    <w:rsid w:val="00395E06"/>
    <w:rsid w:val="00395E5F"/>
    <w:rsid w:val="0039606D"/>
    <w:rsid w:val="003960B6"/>
    <w:rsid w:val="003962D9"/>
    <w:rsid w:val="00396364"/>
    <w:rsid w:val="003963E4"/>
    <w:rsid w:val="003963E9"/>
    <w:rsid w:val="00396425"/>
    <w:rsid w:val="0039645A"/>
    <w:rsid w:val="0039655F"/>
    <w:rsid w:val="0039659F"/>
    <w:rsid w:val="003965D8"/>
    <w:rsid w:val="003965EF"/>
    <w:rsid w:val="0039664A"/>
    <w:rsid w:val="00396671"/>
    <w:rsid w:val="0039670B"/>
    <w:rsid w:val="00396756"/>
    <w:rsid w:val="003967DE"/>
    <w:rsid w:val="0039682E"/>
    <w:rsid w:val="00396887"/>
    <w:rsid w:val="003968F8"/>
    <w:rsid w:val="00396957"/>
    <w:rsid w:val="003969FF"/>
    <w:rsid w:val="00396A5F"/>
    <w:rsid w:val="00396B58"/>
    <w:rsid w:val="00396C6F"/>
    <w:rsid w:val="00396C94"/>
    <w:rsid w:val="00396D01"/>
    <w:rsid w:val="00396D83"/>
    <w:rsid w:val="00396E07"/>
    <w:rsid w:val="00397066"/>
    <w:rsid w:val="00397167"/>
    <w:rsid w:val="003971CB"/>
    <w:rsid w:val="003971D7"/>
    <w:rsid w:val="003974E9"/>
    <w:rsid w:val="00397581"/>
    <w:rsid w:val="0039758E"/>
    <w:rsid w:val="0039768F"/>
    <w:rsid w:val="00397734"/>
    <w:rsid w:val="00397743"/>
    <w:rsid w:val="00397773"/>
    <w:rsid w:val="003978FB"/>
    <w:rsid w:val="00397903"/>
    <w:rsid w:val="0039791E"/>
    <w:rsid w:val="0039792A"/>
    <w:rsid w:val="003979F6"/>
    <w:rsid w:val="00397A2A"/>
    <w:rsid w:val="00397A4F"/>
    <w:rsid w:val="00397B82"/>
    <w:rsid w:val="00397BFB"/>
    <w:rsid w:val="00397D86"/>
    <w:rsid w:val="00397DBD"/>
    <w:rsid w:val="00397E6D"/>
    <w:rsid w:val="003A01A1"/>
    <w:rsid w:val="003A02E6"/>
    <w:rsid w:val="003A0322"/>
    <w:rsid w:val="003A0327"/>
    <w:rsid w:val="003A03DE"/>
    <w:rsid w:val="003A049A"/>
    <w:rsid w:val="003A04A4"/>
    <w:rsid w:val="003A04BC"/>
    <w:rsid w:val="003A05B1"/>
    <w:rsid w:val="003A05CB"/>
    <w:rsid w:val="003A05FC"/>
    <w:rsid w:val="003A062C"/>
    <w:rsid w:val="003A063B"/>
    <w:rsid w:val="003A06CE"/>
    <w:rsid w:val="003A0798"/>
    <w:rsid w:val="003A07DE"/>
    <w:rsid w:val="003A0839"/>
    <w:rsid w:val="003A0901"/>
    <w:rsid w:val="003A09C6"/>
    <w:rsid w:val="003A0A56"/>
    <w:rsid w:val="003A0BD7"/>
    <w:rsid w:val="003A0D4C"/>
    <w:rsid w:val="003A0D65"/>
    <w:rsid w:val="003A0DCC"/>
    <w:rsid w:val="003A0E61"/>
    <w:rsid w:val="003A0EC5"/>
    <w:rsid w:val="003A10E5"/>
    <w:rsid w:val="003A10EE"/>
    <w:rsid w:val="003A121D"/>
    <w:rsid w:val="003A1245"/>
    <w:rsid w:val="003A154D"/>
    <w:rsid w:val="003A162B"/>
    <w:rsid w:val="003A164F"/>
    <w:rsid w:val="003A1677"/>
    <w:rsid w:val="003A16BC"/>
    <w:rsid w:val="003A17AA"/>
    <w:rsid w:val="003A17DB"/>
    <w:rsid w:val="003A18A2"/>
    <w:rsid w:val="003A1994"/>
    <w:rsid w:val="003A1A98"/>
    <w:rsid w:val="003A1AB3"/>
    <w:rsid w:val="003A1C41"/>
    <w:rsid w:val="003A1EEE"/>
    <w:rsid w:val="003A1FB6"/>
    <w:rsid w:val="003A202E"/>
    <w:rsid w:val="003A21DE"/>
    <w:rsid w:val="003A22D8"/>
    <w:rsid w:val="003A22EB"/>
    <w:rsid w:val="003A2381"/>
    <w:rsid w:val="003A24CE"/>
    <w:rsid w:val="003A254F"/>
    <w:rsid w:val="003A258C"/>
    <w:rsid w:val="003A258F"/>
    <w:rsid w:val="003A25CA"/>
    <w:rsid w:val="003A2864"/>
    <w:rsid w:val="003A28AE"/>
    <w:rsid w:val="003A2954"/>
    <w:rsid w:val="003A2A24"/>
    <w:rsid w:val="003A2A9B"/>
    <w:rsid w:val="003A2B66"/>
    <w:rsid w:val="003A2BC3"/>
    <w:rsid w:val="003A2D9F"/>
    <w:rsid w:val="003A2E8D"/>
    <w:rsid w:val="003A2EEC"/>
    <w:rsid w:val="003A2EFF"/>
    <w:rsid w:val="003A30D1"/>
    <w:rsid w:val="003A30EC"/>
    <w:rsid w:val="003A3116"/>
    <w:rsid w:val="003A319B"/>
    <w:rsid w:val="003A31F0"/>
    <w:rsid w:val="003A32A1"/>
    <w:rsid w:val="003A3396"/>
    <w:rsid w:val="003A352C"/>
    <w:rsid w:val="003A3573"/>
    <w:rsid w:val="003A3613"/>
    <w:rsid w:val="003A3681"/>
    <w:rsid w:val="003A381E"/>
    <w:rsid w:val="003A387D"/>
    <w:rsid w:val="003A39B7"/>
    <w:rsid w:val="003A39C1"/>
    <w:rsid w:val="003A39D0"/>
    <w:rsid w:val="003A39E6"/>
    <w:rsid w:val="003A3C51"/>
    <w:rsid w:val="003A3C81"/>
    <w:rsid w:val="003A3CA2"/>
    <w:rsid w:val="003A3CC8"/>
    <w:rsid w:val="003A3CD5"/>
    <w:rsid w:val="003A3CE8"/>
    <w:rsid w:val="003A3D51"/>
    <w:rsid w:val="003A3F01"/>
    <w:rsid w:val="003A403D"/>
    <w:rsid w:val="003A409F"/>
    <w:rsid w:val="003A40B8"/>
    <w:rsid w:val="003A40F4"/>
    <w:rsid w:val="003A422C"/>
    <w:rsid w:val="003A422D"/>
    <w:rsid w:val="003A429C"/>
    <w:rsid w:val="003A44B1"/>
    <w:rsid w:val="003A44D8"/>
    <w:rsid w:val="003A456A"/>
    <w:rsid w:val="003A45C2"/>
    <w:rsid w:val="003A45CA"/>
    <w:rsid w:val="003A45EA"/>
    <w:rsid w:val="003A46DE"/>
    <w:rsid w:val="003A47C5"/>
    <w:rsid w:val="003A48C4"/>
    <w:rsid w:val="003A4984"/>
    <w:rsid w:val="003A49F6"/>
    <w:rsid w:val="003A49FF"/>
    <w:rsid w:val="003A4AE7"/>
    <w:rsid w:val="003A4B25"/>
    <w:rsid w:val="003A4B63"/>
    <w:rsid w:val="003A4C00"/>
    <w:rsid w:val="003A4D85"/>
    <w:rsid w:val="003A4E1F"/>
    <w:rsid w:val="003A4E8A"/>
    <w:rsid w:val="003A4EB3"/>
    <w:rsid w:val="003A4F1C"/>
    <w:rsid w:val="003A4F95"/>
    <w:rsid w:val="003A5005"/>
    <w:rsid w:val="003A52B2"/>
    <w:rsid w:val="003A52FB"/>
    <w:rsid w:val="003A534C"/>
    <w:rsid w:val="003A5422"/>
    <w:rsid w:val="003A542A"/>
    <w:rsid w:val="003A54E2"/>
    <w:rsid w:val="003A5696"/>
    <w:rsid w:val="003A5747"/>
    <w:rsid w:val="003A5893"/>
    <w:rsid w:val="003A5A7C"/>
    <w:rsid w:val="003A5B64"/>
    <w:rsid w:val="003A5C16"/>
    <w:rsid w:val="003A5CD4"/>
    <w:rsid w:val="003A5D38"/>
    <w:rsid w:val="003A5DE4"/>
    <w:rsid w:val="003A5E7C"/>
    <w:rsid w:val="003A6073"/>
    <w:rsid w:val="003A60E1"/>
    <w:rsid w:val="003A6145"/>
    <w:rsid w:val="003A6177"/>
    <w:rsid w:val="003A6181"/>
    <w:rsid w:val="003A61DF"/>
    <w:rsid w:val="003A6301"/>
    <w:rsid w:val="003A6304"/>
    <w:rsid w:val="003A63F6"/>
    <w:rsid w:val="003A641F"/>
    <w:rsid w:val="003A64E4"/>
    <w:rsid w:val="003A65B7"/>
    <w:rsid w:val="003A65C4"/>
    <w:rsid w:val="003A666A"/>
    <w:rsid w:val="003A66B5"/>
    <w:rsid w:val="003A66E9"/>
    <w:rsid w:val="003A680B"/>
    <w:rsid w:val="003A68E6"/>
    <w:rsid w:val="003A6930"/>
    <w:rsid w:val="003A6958"/>
    <w:rsid w:val="003A6A15"/>
    <w:rsid w:val="003A6B95"/>
    <w:rsid w:val="003A6BAC"/>
    <w:rsid w:val="003A6BAE"/>
    <w:rsid w:val="003A6D8C"/>
    <w:rsid w:val="003A6E12"/>
    <w:rsid w:val="003A6E56"/>
    <w:rsid w:val="003A6F55"/>
    <w:rsid w:val="003A6F65"/>
    <w:rsid w:val="003A7188"/>
    <w:rsid w:val="003A71D8"/>
    <w:rsid w:val="003A7219"/>
    <w:rsid w:val="003A72C3"/>
    <w:rsid w:val="003A72E9"/>
    <w:rsid w:val="003A739C"/>
    <w:rsid w:val="003A73AA"/>
    <w:rsid w:val="003A746E"/>
    <w:rsid w:val="003A764C"/>
    <w:rsid w:val="003A7869"/>
    <w:rsid w:val="003A78A0"/>
    <w:rsid w:val="003A7954"/>
    <w:rsid w:val="003A79C5"/>
    <w:rsid w:val="003A7A6A"/>
    <w:rsid w:val="003A7B85"/>
    <w:rsid w:val="003A7B8E"/>
    <w:rsid w:val="003A7CD0"/>
    <w:rsid w:val="003A7D17"/>
    <w:rsid w:val="003A7E47"/>
    <w:rsid w:val="003A7E8D"/>
    <w:rsid w:val="003A7EBB"/>
    <w:rsid w:val="003A7F2D"/>
    <w:rsid w:val="003B00DD"/>
    <w:rsid w:val="003B00FB"/>
    <w:rsid w:val="003B01C9"/>
    <w:rsid w:val="003B01E4"/>
    <w:rsid w:val="003B020D"/>
    <w:rsid w:val="003B0258"/>
    <w:rsid w:val="003B02ED"/>
    <w:rsid w:val="003B032A"/>
    <w:rsid w:val="003B037D"/>
    <w:rsid w:val="003B03BD"/>
    <w:rsid w:val="003B03EC"/>
    <w:rsid w:val="003B0442"/>
    <w:rsid w:val="003B0587"/>
    <w:rsid w:val="003B0707"/>
    <w:rsid w:val="003B07D7"/>
    <w:rsid w:val="003B0818"/>
    <w:rsid w:val="003B085A"/>
    <w:rsid w:val="003B08D5"/>
    <w:rsid w:val="003B08F5"/>
    <w:rsid w:val="003B09F1"/>
    <w:rsid w:val="003B0A4A"/>
    <w:rsid w:val="003B0A60"/>
    <w:rsid w:val="003B0B04"/>
    <w:rsid w:val="003B0D81"/>
    <w:rsid w:val="003B10AF"/>
    <w:rsid w:val="003B10D7"/>
    <w:rsid w:val="003B10DD"/>
    <w:rsid w:val="003B11A6"/>
    <w:rsid w:val="003B11CD"/>
    <w:rsid w:val="003B12D4"/>
    <w:rsid w:val="003B1658"/>
    <w:rsid w:val="003B167E"/>
    <w:rsid w:val="003B16E1"/>
    <w:rsid w:val="003B1702"/>
    <w:rsid w:val="003B1751"/>
    <w:rsid w:val="003B179A"/>
    <w:rsid w:val="003B17B1"/>
    <w:rsid w:val="003B17F1"/>
    <w:rsid w:val="003B1842"/>
    <w:rsid w:val="003B18C4"/>
    <w:rsid w:val="003B19D1"/>
    <w:rsid w:val="003B1A03"/>
    <w:rsid w:val="003B1A48"/>
    <w:rsid w:val="003B1A6C"/>
    <w:rsid w:val="003B1A73"/>
    <w:rsid w:val="003B1A88"/>
    <w:rsid w:val="003B1B39"/>
    <w:rsid w:val="003B1B85"/>
    <w:rsid w:val="003B1BE9"/>
    <w:rsid w:val="003B1D1D"/>
    <w:rsid w:val="003B1E8A"/>
    <w:rsid w:val="003B1EC9"/>
    <w:rsid w:val="003B1F84"/>
    <w:rsid w:val="003B1FF9"/>
    <w:rsid w:val="003B224A"/>
    <w:rsid w:val="003B22E1"/>
    <w:rsid w:val="003B258C"/>
    <w:rsid w:val="003B274C"/>
    <w:rsid w:val="003B2791"/>
    <w:rsid w:val="003B288D"/>
    <w:rsid w:val="003B28B0"/>
    <w:rsid w:val="003B28E4"/>
    <w:rsid w:val="003B29FD"/>
    <w:rsid w:val="003B2A11"/>
    <w:rsid w:val="003B2AFE"/>
    <w:rsid w:val="003B2B40"/>
    <w:rsid w:val="003B2BB2"/>
    <w:rsid w:val="003B2C7A"/>
    <w:rsid w:val="003B2CEC"/>
    <w:rsid w:val="003B2DBB"/>
    <w:rsid w:val="003B2E67"/>
    <w:rsid w:val="003B2F01"/>
    <w:rsid w:val="003B2F25"/>
    <w:rsid w:val="003B307D"/>
    <w:rsid w:val="003B3179"/>
    <w:rsid w:val="003B319F"/>
    <w:rsid w:val="003B337F"/>
    <w:rsid w:val="003B3489"/>
    <w:rsid w:val="003B3589"/>
    <w:rsid w:val="003B3650"/>
    <w:rsid w:val="003B3824"/>
    <w:rsid w:val="003B384A"/>
    <w:rsid w:val="003B385B"/>
    <w:rsid w:val="003B3982"/>
    <w:rsid w:val="003B39A1"/>
    <w:rsid w:val="003B3C00"/>
    <w:rsid w:val="003B3C47"/>
    <w:rsid w:val="003B3CC9"/>
    <w:rsid w:val="003B3EA5"/>
    <w:rsid w:val="003B3F0A"/>
    <w:rsid w:val="003B4017"/>
    <w:rsid w:val="003B40C8"/>
    <w:rsid w:val="003B410D"/>
    <w:rsid w:val="003B4147"/>
    <w:rsid w:val="003B41FE"/>
    <w:rsid w:val="003B421D"/>
    <w:rsid w:val="003B422A"/>
    <w:rsid w:val="003B4289"/>
    <w:rsid w:val="003B4369"/>
    <w:rsid w:val="003B4591"/>
    <w:rsid w:val="003B45D2"/>
    <w:rsid w:val="003B46E4"/>
    <w:rsid w:val="003B4879"/>
    <w:rsid w:val="003B48B6"/>
    <w:rsid w:val="003B49D4"/>
    <w:rsid w:val="003B4A23"/>
    <w:rsid w:val="003B4B2A"/>
    <w:rsid w:val="003B4B66"/>
    <w:rsid w:val="003B4B9B"/>
    <w:rsid w:val="003B4C28"/>
    <w:rsid w:val="003B4C33"/>
    <w:rsid w:val="003B4D0F"/>
    <w:rsid w:val="003B4D26"/>
    <w:rsid w:val="003B4D6D"/>
    <w:rsid w:val="003B4F5B"/>
    <w:rsid w:val="003B50C3"/>
    <w:rsid w:val="003B510E"/>
    <w:rsid w:val="003B5252"/>
    <w:rsid w:val="003B528C"/>
    <w:rsid w:val="003B52CE"/>
    <w:rsid w:val="003B53D6"/>
    <w:rsid w:val="003B53F4"/>
    <w:rsid w:val="003B54B7"/>
    <w:rsid w:val="003B54C2"/>
    <w:rsid w:val="003B54E8"/>
    <w:rsid w:val="003B570B"/>
    <w:rsid w:val="003B5710"/>
    <w:rsid w:val="003B57D8"/>
    <w:rsid w:val="003B57FE"/>
    <w:rsid w:val="003B5816"/>
    <w:rsid w:val="003B584E"/>
    <w:rsid w:val="003B5893"/>
    <w:rsid w:val="003B58B5"/>
    <w:rsid w:val="003B5B8E"/>
    <w:rsid w:val="003B5C08"/>
    <w:rsid w:val="003B5C4E"/>
    <w:rsid w:val="003B5C70"/>
    <w:rsid w:val="003B5C71"/>
    <w:rsid w:val="003B5D01"/>
    <w:rsid w:val="003B5F07"/>
    <w:rsid w:val="003B5F1B"/>
    <w:rsid w:val="003B5F91"/>
    <w:rsid w:val="003B636D"/>
    <w:rsid w:val="003B65F9"/>
    <w:rsid w:val="003B6670"/>
    <w:rsid w:val="003B66B9"/>
    <w:rsid w:val="003B678A"/>
    <w:rsid w:val="003B690A"/>
    <w:rsid w:val="003B694B"/>
    <w:rsid w:val="003B6A7F"/>
    <w:rsid w:val="003B6A94"/>
    <w:rsid w:val="003B6D20"/>
    <w:rsid w:val="003B70C5"/>
    <w:rsid w:val="003B70CB"/>
    <w:rsid w:val="003B70D3"/>
    <w:rsid w:val="003B710F"/>
    <w:rsid w:val="003B7171"/>
    <w:rsid w:val="003B764C"/>
    <w:rsid w:val="003B76C1"/>
    <w:rsid w:val="003B77A5"/>
    <w:rsid w:val="003B792C"/>
    <w:rsid w:val="003B7A62"/>
    <w:rsid w:val="003B7C33"/>
    <w:rsid w:val="003B7C53"/>
    <w:rsid w:val="003B7EFF"/>
    <w:rsid w:val="003B7FC7"/>
    <w:rsid w:val="003B7FD7"/>
    <w:rsid w:val="003C013A"/>
    <w:rsid w:val="003C015B"/>
    <w:rsid w:val="003C018E"/>
    <w:rsid w:val="003C0215"/>
    <w:rsid w:val="003C030B"/>
    <w:rsid w:val="003C05B7"/>
    <w:rsid w:val="003C06D5"/>
    <w:rsid w:val="003C0774"/>
    <w:rsid w:val="003C07FA"/>
    <w:rsid w:val="003C082D"/>
    <w:rsid w:val="003C0839"/>
    <w:rsid w:val="003C08A2"/>
    <w:rsid w:val="003C095D"/>
    <w:rsid w:val="003C0A08"/>
    <w:rsid w:val="003C0BC0"/>
    <w:rsid w:val="003C0BD0"/>
    <w:rsid w:val="003C0C18"/>
    <w:rsid w:val="003C0CE6"/>
    <w:rsid w:val="003C0D40"/>
    <w:rsid w:val="003C0E87"/>
    <w:rsid w:val="003C1007"/>
    <w:rsid w:val="003C12F4"/>
    <w:rsid w:val="003C1573"/>
    <w:rsid w:val="003C183C"/>
    <w:rsid w:val="003C1873"/>
    <w:rsid w:val="003C1B0D"/>
    <w:rsid w:val="003C1C8F"/>
    <w:rsid w:val="003C1CA8"/>
    <w:rsid w:val="003C1CD6"/>
    <w:rsid w:val="003C1D19"/>
    <w:rsid w:val="003C1D60"/>
    <w:rsid w:val="003C1D7A"/>
    <w:rsid w:val="003C1DF6"/>
    <w:rsid w:val="003C2063"/>
    <w:rsid w:val="003C219C"/>
    <w:rsid w:val="003C21BC"/>
    <w:rsid w:val="003C22F7"/>
    <w:rsid w:val="003C2449"/>
    <w:rsid w:val="003C248C"/>
    <w:rsid w:val="003C2524"/>
    <w:rsid w:val="003C25B2"/>
    <w:rsid w:val="003C25C3"/>
    <w:rsid w:val="003C25D2"/>
    <w:rsid w:val="003C25DE"/>
    <w:rsid w:val="003C261B"/>
    <w:rsid w:val="003C2730"/>
    <w:rsid w:val="003C27AE"/>
    <w:rsid w:val="003C2800"/>
    <w:rsid w:val="003C2860"/>
    <w:rsid w:val="003C289B"/>
    <w:rsid w:val="003C2902"/>
    <w:rsid w:val="003C29E6"/>
    <w:rsid w:val="003C2ADA"/>
    <w:rsid w:val="003C2B91"/>
    <w:rsid w:val="003C2C0B"/>
    <w:rsid w:val="003C2C92"/>
    <w:rsid w:val="003C2E16"/>
    <w:rsid w:val="003C2F1C"/>
    <w:rsid w:val="003C2F1E"/>
    <w:rsid w:val="003C2F4E"/>
    <w:rsid w:val="003C316F"/>
    <w:rsid w:val="003C3206"/>
    <w:rsid w:val="003C3272"/>
    <w:rsid w:val="003C32B2"/>
    <w:rsid w:val="003C32FE"/>
    <w:rsid w:val="003C33DA"/>
    <w:rsid w:val="003C3410"/>
    <w:rsid w:val="003C3653"/>
    <w:rsid w:val="003C3700"/>
    <w:rsid w:val="003C3719"/>
    <w:rsid w:val="003C3BE5"/>
    <w:rsid w:val="003C3C65"/>
    <w:rsid w:val="003C3CEE"/>
    <w:rsid w:val="003C3D94"/>
    <w:rsid w:val="003C3E47"/>
    <w:rsid w:val="003C3F29"/>
    <w:rsid w:val="003C3F87"/>
    <w:rsid w:val="003C41BA"/>
    <w:rsid w:val="003C425A"/>
    <w:rsid w:val="003C4347"/>
    <w:rsid w:val="003C4465"/>
    <w:rsid w:val="003C4519"/>
    <w:rsid w:val="003C451B"/>
    <w:rsid w:val="003C466A"/>
    <w:rsid w:val="003C4B71"/>
    <w:rsid w:val="003C4B99"/>
    <w:rsid w:val="003C4C1B"/>
    <w:rsid w:val="003C4C63"/>
    <w:rsid w:val="003C4C85"/>
    <w:rsid w:val="003C4D0A"/>
    <w:rsid w:val="003C4E24"/>
    <w:rsid w:val="003C4F83"/>
    <w:rsid w:val="003C5209"/>
    <w:rsid w:val="003C521A"/>
    <w:rsid w:val="003C5248"/>
    <w:rsid w:val="003C538E"/>
    <w:rsid w:val="003C53B0"/>
    <w:rsid w:val="003C552C"/>
    <w:rsid w:val="003C558E"/>
    <w:rsid w:val="003C55A2"/>
    <w:rsid w:val="003C5636"/>
    <w:rsid w:val="003C56F9"/>
    <w:rsid w:val="003C570C"/>
    <w:rsid w:val="003C586B"/>
    <w:rsid w:val="003C595D"/>
    <w:rsid w:val="003C596C"/>
    <w:rsid w:val="003C59ED"/>
    <w:rsid w:val="003C5A11"/>
    <w:rsid w:val="003C5ABC"/>
    <w:rsid w:val="003C5ACD"/>
    <w:rsid w:val="003C5B32"/>
    <w:rsid w:val="003C5C09"/>
    <w:rsid w:val="003C5C24"/>
    <w:rsid w:val="003C5E09"/>
    <w:rsid w:val="003C5E58"/>
    <w:rsid w:val="003C5E90"/>
    <w:rsid w:val="003C5F8E"/>
    <w:rsid w:val="003C609D"/>
    <w:rsid w:val="003C61F3"/>
    <w:rsid w:val="003C6224"/>
    <w:rsid w:val="003C6262"/>
    <w:rsid w:val="003C6263"/>
    <w:rsid w:val="003C6267"/>
    <w:rsid w:val="003C626E"/>
    <w:rsid w:val="003C6294"/>
    <w:rsid w:val="003C62EB"/>
    <w:rsid w:val="003C66C3"/>
    <w:rsid w:val="003C67B2"/>
    <w:rsid w:val="003C685C"/>
    <w:rsid w:val="003C6897"/>
    <w:rsid w:val="003C68F6"/>
    <w:rsid w:val="003C69F8"/>
    <w:rsid w:val="003C6A4F"/>
    <w:rsid w:val="003C6B03"/>
    <w:rsid w:val="003C6B3F"/>
    <w:rsid w:val="003C6BBE"/>
    <w:rsid w:val="003C6E6C"/>
    <w:rsid w:val="003C6FFE"/>
    <w:rsid w:val="003C7117"/>
    <w:rsid w:val="003C72B3"/>
    <w:rsid w:val="003C73E9"/>
    <w:rsid w:val="003C74A7"/>
    <w:rsid w:val="003C74AE"/>
    <w:rsid w:val="003C7541"/>
    <w:rsid w:val="003C7580"/>
    <w:rsid w:val="003C75F9"/>
    <w:rsid w:val="003C7646"/>
    <w:rsid w:val="003C7653"/>
    <w:rsid w:val="003C76F3"/>
    <w:rsid w:val="003C7795"/>
    <w:rsid w:val="003C77E6"/>
    <w:rsid w:val="003C7841"/>
    <w:rsid w:val="003C7926"/>
    <w:rsid w:val="003C79EB"/>
    <w:rsid w:val="003C7B38"/>
    <w:rsid w:val="003C7C56"/>
    <w:rsid w:val="003C7D13"/>
    <w:rsid w:val="003C7DB0"/>
    <w:rsid w:val="003C7F48"/>
    <w:rsid w:val="003D000E"/>
    <w:rsid w:val="003D00F8"/>
    <w:rsid w:val="003D00F9"/>
    <w:rsid w:val="003D0301"/>
    <w:rsid w:val="003D0390"/>
    <w:rsid w:val="003D0407"/>
    <w:rsid w:val="003D0432"/>
    <w:rsid w:val="003D0452"/>
    <w:rsid w:val="003D0472"/>
    <w:rsid w:val="003D04CC"/>
    <w:rsid w:val="003D04D7"/>
    <w:rsid w:val="003D05CD"/>
    <w:rsid w:val="003D06C0"/>
    <w:rsid w:val="003D0737"/>
    <w:rsid w:val="003D0916"/>
    <w:rsid w:val="003D09EC"/>
    <w:rsid w:val="003D09EF"/>
    <w:rsid w:val="003D09F0"/>
    <w:rsid w:val="003D0A00"/>
    <w:rsid w:val="003D0A6F"/>
    <w:rsid w:val="003D0BA5"/>
    <w:rsid w:val="003D0BDC"/>
    <w:rsid w:val="003D0BF0"/>
    <w:rsid w:val="003D0C52"/>
    <w:rsid w:val="003D0D95"/>
    <w:rsid w:val="003D0DA0"/>
    <w:rsid w:val="003D0EAB"/>
    <w:rsid w:val="003D0F33"/>
    <w:rsid w:val="003D1033"/>
    <w:rsid w:val="003D1098"/>
    <w:rsid w:val="003D110F"/>
    <w:rsid w:val="003D1132"/>
    <w:rsid w:val="003D1211"/>
    <w:rsid w:val="003D12EF"/>
    <w:rsid w:val="003D1383"/>
    <w:rsid w:val="003D140B"/>
    <w:rsid w:val="003D144D"/>
    <w:rsid w:val="003D1559"/>
    <w:rsid w:val="003D1587"/>
    <w:rsid w:val="003D161C"/>
    <w:rsid w:val="003D163B"/>
    <w:rsid w:val="003D1656"/>
    <w:rsid w:val="003D1788"/>
    <w:rsid w:val="003D17B6"/>
    <w:rsid w:val="003D181C"/>
    <w:rsid w:val="003D1823"/>
    <w:rsid w:val="003D1951"/>
    <w:rsid w:val="003D1956"/>
    <w:rsid w:val="003D19AF"/>
    <w:rsid w:val="003D1AE4"/>
    <w:rsid w:val="003D1B6C"/>
    <w:rsid w:val="003D1BDA"/>
    <w:rsid w:val="003D1CAD"/>
    <w:rsid w:val="003D1CB9"/>
    <w:rsid w:val="003D1CD6"/>
    <w:rsid w:val="003D1D38"/>
    <w:rsid w:val="003D1DF3"/>
    <w:rsid w:val="003D1F6A"/>
    <w:rsid w:val="003D1FFC"/>
    <w:rsid w:val="003D2221"/>
    <w:rsid w:val="003D2261"/>
    <w:rsid w:val="003D22CC"/>
    <w:rsid w:val="003D2331"/>
    <w:rsid w:val="003D23A4"/>
    <w:rsid w:val="003D24B8"/>
    <w:rsid w:val="003D24D0"/>
    <w:rsid w:val="003D25EB"/>
    <w:rsid w:val="003D26FA"/>
    <w:rsid w:val="003D28A5"/>
    <w:rsid w:val="003D28BB"/>
    <w:rsid w:val="003D290D"/>
    <w:rsid w:val="003D29E5"/>
    <w:rsid w:val="003D2A37"/>
    <w:rsid w:val="003D2B17"/>
    <w:rsid w:val="003D2B1A"/>
    <w:rsid w:val="003D2B6B"/>
    <w:rsid w:val="003D2BBA"/>
    <w:rsid w:val="003D2CC6"/>
    <w:rsid w:val="003D2CD7"/>
    <w:rsid w:val="003D2D44"/>
    <w:rsid w:val="003D2ECE"/>
    <w:rsid w:val="003D2FAA"/>
    <w:rsid w:val="003D2FDC"/>
    <w:rsid w:val="003D3098"/>
    <w:rsid w:val="003D314F"/>
    <w:rsid w:val="003D3221"/>
    <w:rsid w:val="003D3228"/>
    <w:rsid w:val="003D3285"/>
    <w:rsid w:val="003D332A"/>
    <w:rsid w:val="003D3360"/>
    <w:rsid w:val="003D336B"/>
    <w:rsid w:val="003D3465"/>
    <w:rsid w:val="003D3480"/>
    <w:rsid w:val="003D3508"/>
    <w:rsid w:val="003D35EE"/>
    <w:rsid w:val="003D3683"/>
    <w:rsid w:val="003D377A"/>
    <w:rsid w:val="003D38F6"/>
    <w:rsid w:val="003D39F2"/>
    <w:rsid w:val="003D39F6"/>
    <w:rsid w:val="003D3A1B"/>
    <w:rsid w:val="003D3AF9"/>
    <w:rsid w:val="003D3B26"/>
    <w:rsid w:val="003D3B9D"/>
    <w:rsid w:val="003D3DB3"/>
    <w:rsid w:val="003D3E39"/>
    <w:rsid w:val="003D3EFF"/>
    <w:rsid w:val="003D3F31"/>
    <w:rsid w:val="003D4081"/>
    <w:rsid w:val="003D40F4"/>
    <w:rsid w:val="003D4141"/>
    <w:rsid w:val="003D4221"/>
    <w:rsid w:val="003D435F"/>
    <w:rsid w:val="003D4377"/>
    <w:rsid w:val="003D4434"/>
    <w:rsid w:val="003D446D"/>
    <w:rsid w:val="003D4537"/>
    <w:rsid w:val="003D4580"/>
    <w:rsid w:val="003D4619"/>
    <w:rsid w:val="003D468D"/>
    <w:rsid w:val="003D469A"/>
    <w:rsid w:val="003D4716"/>
    <w:rsid w:val="003D47D5"/>
    <w:rsid w:val="003D484A"/>
    <w:rsid w:val="003D4873"/>
    <w:rsid w:val="003D4A1B"/>
    <w:rsid w:val="003D4A5F"/>
    <w:rsid w:val="003D4AA6"/>
    <w:rsid w:val="003D4C3E"/>
    <w:rsid w:val="003D4C6A"/>
    <w:rsid w:val="003D4D20"/>
    <w:rsid w:val="003D4D39"/>
    <w:rsid w:val="003D4D5D"/>
    <w:rsid w:val="003D4E95"/>
    <w:rsid w:val="003D4EC9"/>
    <w:rsid w:val="003D4F57"/>
    <w:rsid w:val="003D4FF5"/>
    <w:rsid w:val="003D505E"/>
    <w:rsid w:val="003D51AF"/>
    <w:rsid w:val="003D51B8"/>
    <w:rsid w:val="003D51F1"/>
    <w:rsid w:val="003D528A"/>
    <w:rsid w:val="003D5447"/>
    <w:rsid w:val="003D548A"/>
    <w:rsid w:val="003D548E"/>
    <w:rsid w:val="003D5492"/>
    <w:rsid w:val="003D552A"/>
    <w:rsid w:val="003D55BC"/>
    <w:rsid w:val="003D55DB"/>
    <w:rsid w:val="003D55F3"/>
    <w:rsid w:val="003D5612"/>
    <w:rsid w:val="003D5623"/>
    <w:rsid w:val="003D56D0"/>
    <w:rsid w:val="003D5716"/>
    <w:rsid w:val="003D5756"/>
    <w:rsid w:val="003D5792"/>
    <w:rsid w:val="003D57BF"/>
    <w:rsid w:val="003D580B"/>
    <w:rsid w:val="003D5825"/>
    <w:rsid w:val="003D5898"/>
    <w:rsid w:val="003D5969"/>
    <w:rsid w:val="003D5A7D"/>
    <w:rsid w:val="003D5AB0"/>
    <w:rsid w:val="003D5AD8"/>
    <w:rsid w:val="003D5C0D"/>
    <w:rsid w:val="003D5CF2"/>
    <w:rsid w:val="003D5D33"/>
    <w:rsid w:val="003D5DA6"/>
    <w:rsid w:val="003D5DD6"/>
    <w:rsid w:val="003D5FC3"/>
    <w:rsid w:val="003D6013"/>
    <w:rsid w:val="003D604E"/>
    <w:rsid w:val="003D6368"/>
    <w:rsid w:val="003D6427"/>
    <w:rsid w:val="003D6445"/>
    <w:rsid w:val="003D6451"/>
    <w:rsid w:val="003D647D"/>
    <w:rsid w:val="003D6507"/>
    <w:rsid w:val="003D650C"/>
    <w:rsid w:val="003D653D"/>
    <w:rsid w:val="003D6711"/>
    <w:rsid w:val="003D6769"/>
    <w:rsid w:val="003D67EE"/>
    <w:rsid w:val="003D69C3"/>
    <w:rsid w:val="003D69E4"/>
    <w:rsid w:val="003D6A0B"/>
    <w:rsid w:val="003D6A21"/>
    <w:rsid w:val="003D6AD6"/>
    <w:rsid w:val="003D6AF3"/>
    <w:rsid w:val="003D6B14"/>
    <w:rsid w:val="003D6B38"/>
    <w:rsid w:val="003D6B52"/>
    <w:rsid w:val="003D6BE6"/>
    <w:rsid w:val="003D6C69"/>
    <w:rsid w:val="003D6C97"/>
    <w:rsid w:val="003D6E44"/>
    <w:rsid w:val="003D6F40"/>
    <w:rsid w:val="003D71E5"/>
    <w:rsid w:val="003D7318"/>
    <w:rsid w:val="003D7341"/>
    <w:rsid w:val="003D73A8"/>
    <w:rsid w:val="003D7406"/>
    <w:rsid w:val="003D74FB"/>
    <w:rsid w:val="003D7518"/>
    <w:rsid w:val="003D7524"/>
    <w:rsid w:val="003D756C"/>
    <w:rsid w:val="003D7580"/>
    <w:rsid w:val="003D7593"/>
    <w:rsid w:val="003D7631"/>
    <w:rsid w:val="003D765B"/>
    <w:rsid w:val="003D7691"/>
    <w:rsid w:val="003D776F"/>
    <w:rsid w:val="003D7878"/>
    <w:rsid w:val="003D788F"/>
    <w:rsid w:val="003D78C3"/>
    <w:rsid w:val="003D78CD"/>
    <w:rsid w:val="003D7943"/>
    <w:rsid w:val="003D7A1F"/>
    <w:rsid w:val="003D7AE0"/>
    <w:rsid w:val="003D7B7D"/>
    <w:rsid w:val="003D7C26"/>
    <w:rsid w:val="003D7CB3"/>
    <w:rsid w:val="003D7D88"/>
    <w:rsid w:val="003D7DEE"/>
    <w:rsid w:val="003D7E32"/>
    <w:rsid w:val="003D7F95"/>
    <w:rsid w:val="003E0015"/>
    <w:rsid w:val="003E00F4"/>
    <w:rsid w:val="003E012A"/>
    <w:rsid w:val="003E02AE"/>
    <w:rsid w:val="003E0571"/>
    <w:rsid w:val="003E05B8"/>
    <w:rsid w:val="003E069B"/>
    <w:rsid w:val="003E06B3"/>
    <w:rsid w:val="003E07C7"/>
    <w:rsid w:val="003E0897"/>
    <w:rsid w:val="003E091D"/>
    <w:rsid w:val="003E0ABF"/>
    <w:rsid w:val="003E0C17"/>
    <w:rsid w:val="003E0C30"/>
    <w:rsid w:val="003E0DD8"/>
    <w:rsid w:val="003E0DDA"/>
    <w:rsid w:val="003E0DFC"/>
    <w:rsid w:val="003E0E6C"/>
    <w:rsid w:val="003E0E75"/>
    <w:rsid w:val="003E0EE1"/>
    <w:rsid w:val="003E0EEA"/>
    <w:rsid w:val="003E0F38"/>
    <w:rsid w:val="003E10FB"/>
    <w:rsid w:val="003E142C"/>
    <w:rsid w:val="003E147A"/>
    <w:rsid w:val="003E14F0"/>
    <w:rsid w:val="003E16A2"/>
    <w:rsid w:val="003E16F9"/>
    <w:rsid w:val="003E1793"/>
    <w:rsid w:val="003E180A"/>
    <w:rsid w:val="003E181D"/>
    <w:rsid w:val="003E1955"/>
    <w:rsid w:val="003E199C"/>
    <w:rsid w:val="003E19E6"/>
    <w:rsid w:val="003E19FA"/>
    <w:rsid w:val="003E1A0A"/>
    <w:rsid w:val="003E1BF8"/>
    <w:rsid w:val="003E1D2A"/>
    <w:rsid w:val="003E1D31"/>
    <w:rsid w:val="003E1D7E"/>
    <w:rsid w:val="003E1E6D"/>
    <w:rsid w:val="003E1F47"/>
    <w:rsid w:val="003E1FA6"/>
    <w:rsid w:val="003E2002"/>
    <w:rsid w:val="003E209E"/>
    <w:rsid w:val="003E20BF"/>
    <w:rsid w:val="003E210A"/>
    <w:rsid w:val="003E21C4"/>
    <w:rsid w:val="003E233B"/>
    <w:rsid w:val="003E2478"/>
    <w:rsid w:val="003E24BD"/>
    <w:rsid w:val="003E24F3"/>
    <w:rsid w:val="003E2670"/>
    <w:rsid w:val="003E26DA"/>
    <w:rsid w:val="003E2773"/>
    <w:rsid w:val="003E29C5"/>
    <w:rsid w:val="003E2A8F"/>
    <w:rsid w:val="003E2C81"/>
    <w:rsid w:val="003E2D5A"/>
    <w:rsid w:val="003E2DEF"/>
    <w:rsid w:val="003E2E7D"/>
    <w:rsid w:val="003E2F68"/>
    <w:rsid w:val="003E3014"/>
    <w:rsid w:val="003E30C6"/>
    <w:rsid w:val="003E316C"/>
    <w:rsid w:val="003E31FB"/>
    <w:rsid w:val="003E32E4"/>
    <w:rsid w:val="003E3306"/>
    <w:rsid w:val="003E36C5"/>
    <w:rsid w:val="003E376E"/>
    <w:rsid w:val="003E38C9"/>
    <w:rsid w:val="003E3A45"/>
    <w:rsid w:val="003E3A87"/>
    <w:rsid w:val="003E3AC6"/>
    <w:rsid w:val="003E3B3A"/>
    <w:rsid w:val="003E3BB9"/>
    <w:rsid w:val="003E3BE4"/>
    <w:rsid w:val="003E3CB1"/>
    <w:rsid w:val="003E3D4B"/>
    <w:rsid w:val="003E3D7A"/>
    <w:rsid w:val="003E3DD7"/>
    <w:rsid w:val="003E3E16"/>
    <w:rsid w:val="003E405E"/>
    <w:rsid w:val="003E4076"/>
    <w:rsid w:val="003E40DC"/>
    <w:rsid w:val="003E41EF"/>
    <w:rsid w:val="003E42A8"/>
    <w:rsid w:val="003E4356"/>
    <w:rsid w:val="003E4491"/>
    <w:rsid w:val="003E44BB"/>
    <w:rsid w:val="003E4557"/>
    <w:rsid w:val="003E45ED"/>
    <w:rsid w:val="003E4727"/>
    <w:rsid w:val="003E4738"/>
    <w:rsid w:val="003E473F"/>
    <w:rsid w:val="003E480D"/>
    <w:rsid w:val="003E484A"/>
    <w:rsid w:val="003E49E2"/>
    <w:rsid w:val="003E4A67"/>
    <w:rsid w:val="003E4A75"/>
    <w:rsid w:val="003E4C3E"/>
    <w:rsid w:val="003E4D26"/>
    <w:rsid w:val="003E4E0C"/>
    <w:rsid w:val="003E4E8F"/>
    <w:rsid w:val="003E4F23"/>
    <w:rsid w:val="003E4F73"/>
    <w:rsid w:val="003E5052"/>
    <w:rsid w:val="003E5131"/>
    <w:rsid w:val="003E5276"/>
    <w:rsid w:val="003E5362"/>
    <w:rsid w:val="003E551C"/>
    <w:rsid w:val="003E5656"/>
    <w:rsid w:val="003E5684"/>
    <w:rsid w:val="003E575D"/>
    <w:rsid w:val="003E57A5"/>
    <w:rsid w:val="003E58B2"/>
    <w:rsid w:val="003E58CA"/>
    <w:rsid w:val="003E5A9C"/>
    <w:rsid w:val="003E5BDF"/>
    <w:rsid w:val="003E5C2F"/>
    <w:rsid w:val="003E5D12"/>
    <w:rsid w:val="003E5D1B"/>
    <w:rsid w:val="003E5EE1"/>
    <w:rsid w:val="003E6066"/>
    <w:rsid w:val="003E6086"/>
    <w:rsid w:val="003E614C"/>
    <w:rsid w:val="003E616E"/>
    <w:rsid w:val="003E61A7"/>
    <w:rsid w:val="003E6290"/>
    <w:rsid w:val="003E63EE"/>
    <w:rsid w:val="003E6480"/>
    <w:rsid w:val="003E6537"/>
    <w:rsid w:val="003E6547"/>
    <w:rsid w:val="003E655C"/>
    <w:rsid w:val="003E65D1"/>
    <w:rsid w:val="003E67BE"/>
    <w:rsid w:val="003E6842"/>
    <w:rsid w:val="003E69A1"/>
    <w:rsid w:val="003E6B70"/>
    <w:rsid w:val="003E6C93"/>
    <w:rsid w:val="003E6D98"/>
    <w:rsid w:val="003E6E25"/>
    <w:rsid w:val="003E700D"/>
    <w:rsid w:val="003E70B8"/>
    <w:rsid w:val="003E7273"/>
    <w:rsid w:val="003E730B"/>
    <w:rsid w:val="003E7429"/>
    <w:rsid w:val="003E74C6"/>
    <w:rsid w:val="003E757C"/>
    <w:rsid w:val="003E7593"/>
    <w:rsid w:val="003E76D1"/>
    <w:rsid w:val="003E7894"/>
    <w:rsid w:val="003E78EC"/>
    <w:rsid w:val="003E7971"/>
    <w:rsid w:val="003E7A47"/>
    <w:rsid w:val="003E7AED"/>
    <w:rsid w:val="003E7B45"/>
    <w:rsid w:val="003E7C8F"/>
    <w:rsid w:val="003E7E13"/>
    <w:rsid w:val="003E7E40"/>
    <w:rsid w:val="003F01D4"/>
    <w:rsid w:val="003F0268"/>
    <w:rsid w:val="003F0275"/>
    <w:rsid w:val="003F0380"/>
    <w:rsid w:val="003F03BC"/>
    <w:rsid w:val="003F048F"/>
    <w:rsid w:val="003F0563"/>
    <w:rsid w:val="003F0626"/>
    <w:rsid w:val="003F076C"/>
    <w:rsid w:val="003F0813"/>
    <w:rsid w:val="003F0866"/>
    <w:rsid w:val="003F08C9"/>
    <w:rsid w:val="003F097A"/>
    <w:rsid w:val="003F0981"/>
    <w:rsid w:val="003F0988"/>
    <w:rsid w:val="003F0A48"/>
    <w:rsid w:val="003F0B23"/>
    <w:rsid w:val="003F0B7B"/>
    <w:rsid w:val="003F0C5B"/>
    <w:rsid w:val="003F0C97"/>
    <w:rsid w:val="003F0E72"/>
    <w:rsid w:val="003F0FC6"/>
    <w:rsid w:val="003F0FC8"/>
    <w:rsid w:val="003F0FEB"/>
    <w:rsid w:val="003F118B"/>
    <w:rsid w:val="003F11CB"/>
    <w:rsid w:val="003F1228"/>
    <w:rsid w:val="003F14EB"/>
    <w:rsid w:val="003F159C"/>
    <w:rsid w:val="003F15C4"/>
    <w:rsid w:val="003F164B"/>
    <w:rsid w:val="003F181F"/>
    <w:rsid w:val="003F1912"/>
    <w:rsid w:val="003F1958"/>
    <w:rsid w:val="003F1A2C"/>
    <w:rsid w:val="003F1B73"/>
    <w:rsid w:val="003F1C7E"/>
    <w:rsid w:val="003F1D01"/>
    <w:rsid w:val="003F1D44"/>
    <w:rsid w:val="003F1D62"/>
    <w:rsid w:val="003F1E47"/>
    <w:rsid w:val="003F1E9E"/>
    <w:rsid w:val="003F1EBB"/>
    <w:rsid w:val="003F1FD3"/>
    <w:rsid w:val="003F2022"/>
    <w:rsid w:val="003F203D"/>
    <w:rsid w:val="003F20F3"/>
    <w:rsid w:val="003F20F5"/>
    <w:rsid w:val="003F223E"/>
    <w:rsid w:val="003F2388"/>
    <w:rsid w:val="003F23BC"/>
    <w:rsid w:val="003F23C0"/>
    <w:rsid w:val="003F23EA"/>
    <w:rsid w:val="003F2472"/>
    <w:rsid w:val="003F24F2"/>
    <w:rsid w:val="003F28D5"/>
    <w:rsid w:val="003F2932"/>
    <w:rsid w:val="003F2968"/>
    <w:rsid w:val="003F2998"/>
    <w:rsid w:val="003F29EC"/>
    <w:rsid w:val="003F2BF1"/>
    <w:rsid w:val="003F2C49"/>
    <w:rsid w:val="003F2C4E"/>
    <w:rsid w:val="003F2CC5"/>
    <w:rsid w:val="003F2E5F"/>
    <w:rsid w:val="003F2F28"/>
    <w:rsid w:val="003F2FCB"/>
    <w:rsid w:val="003F30E3"/>
    <w:rsid w:val="003F3223"/>
    <w:rsid w:val="003F3425"/>
    <w:rsid w:val="003F3484"/>
    <w:rsid w:val="003F34CE"/>
    <w:rsid w:val="003F34FF"/>
    <w:rsid w:val="003F35B0"/>
    <w:rsid w:val="003F3663"/>
    <w:rsid w:val="003F36BD"/>
    <w:rsid w:val="003F3700"/>
    <w:rsid w:val="003F3717"/>
    <w:rsid w:val="003F3787"/>
    <w:rsid w:val="003F3792"/>
    <w:rsid w:val="003F3896"/>
    <w:rsid w:val="003F3AE6"/>
    <w:rsid w:val="003F3B12"/>
    <w:rsid w:val="003F3B59"/>
    <w:rsid w:val="003F3D08"/>
    <w:rsid w:val="003F3D45"/>
    <w:rsid w:val="003F3DC5"/>
    <w:rsid w:val="003F3EB7"/>
    <w:rsid w:val="003F3F0B"/>
    <w:rsid w:val="003F3FE4"/>
    <w:rsid w:val="003F419A"/>
    <w:rsid w:val="003F41D1"/>
    <w:rsid w:val="003F422C"/>
    <w:rsid w:val="003F42DD"/>
    <w:rsid w:val="003F4313"/>
    <w:rsid w:val="003F4341"/>
    <w:rsid w:val="003F436B"/>
    <w:rsid w:val="003F443D"/>
    <w:rsid w:val="003F4669"/>
    <w:rsid w:val="003F4741"/>
    <w:rsid w:val="003F4756"/>
    <w:rsid w:val="003F47EA"/>
    <w:rsid w:val="003F499D"/>
    <w:rsid w:val="003F4A79"/>
    <w:rsid w:val="003F4BB7"/>
    <w:rsid w:val="003F4C95"/>
    <w:rsid w:val="003F4CCE"/>
    <w:rsid w:val="003F4FA4"/>
    <w:rsid w:val="003F4FD5"/>
    <w:rsid w:val="003F50D7"/>
    <w:rsid w:val="003F51B8"/>
    <w:rsid w:val="003F51E3"/>
    <w:rsid w:val="003F5249"/>
    <w:rsid w:val="003F528A"/>
    <w:rsid w:val="003F52FF"/>
    <w:rsid w:val="003F5350"/>
    <w:rsid w:val="003F5443"/>
    <w:rsid w:val="003F556D"/>
    <w:rsid w:val="003F55EA"/>
    <w:rsid w:val="003F55EE"/>
    <w:rsid w:val="003F564D"/>
    <w:rsid w:val="003F56F6"/>
    <w:rsid w:val="003F5711"/>
    <w:rsid w:val="003F571D"/>
    <w:rsid w:val="003F5791"/>
    <w:rsid w:val="003F5801"/>
    <w:rsid w:val="003F5804"/>
    <w:rsid w:val="003F585E"/>
    <w:rsid w:val="003F5921"/>
    <w:rsid w:val="003F5A1F"/>
    <w:rsid w:val="003F5AFB"/>
    <w:rsid w:val="003F5B77"/>
    <w:rsid w:val="003F5BD3"/>
    <w:rsid w:val="003F5C54"/>
    <w:rsid w:val="003F5D49"/>
    <w:rsid w:val="003F5E7C"/>
    <w:rsid w:val="003F5EA7"/>
    <w:rsid w:val="003F6038"/>
    <w:rsid w:val="003F605B"/>
    <w:rsid w:val="003F605D"/>
    <w:rsid w:val="003F608B"/>
    <w:rsid w:val="003F61A2"/>
    <w:rsid w:val="003F6235"/>
    <w:rsid w:val="003F62C9"/>
    <w:rsid w:val="003F670E"/>
    <w:rsid w:val="003F672D"/>
    <w:rsid w:val="003F6B35"/>
    <w:rsid w:val="003F6B95"/>
    <w:rsid w:val="003F6BD5"/>
    <w:rsid w:val="003F6DFC"/>
    <w:rsid w:val="003F6E9E"/>
    <w:rsid w:val="003F6ED1"/>
    <w:rsid w:val="003F6EDA"/>
    <w:rsid w:val="003F6EEC"/>
    <w:rsid w:val="003F6F4E"/>
    <w:rsid w:val="003F717B"/>
    <w:rsid w:val="003F71C8"/>
    <w:rsid w:val="003F7257"/>
    <w:rsid w:val="003F730C"/>
    <w:rsid w:val="003F7314"/>
    <w:rsid w:val="003F734D"/>
    <w:rsid w:val="003F737F"/>
    <w:rsid w:val="003F7413"/>
    <w:rsid w:val="003F7500"/>
    <w:rsid w:val="003F75F1"/>
    <w:rsid w:val="003F76E8"/>
    <w:rsid w:val="003F7700"/>
    <w:rsid w:val="003F7740"/>
    <w:rsid w:val="003F7961"/>
    <w:rsid w:val="003F79AE"/>
    <w:rsid w:val="003F7BD9"/>
    <w:rsid w:val="003F7C91"/>
    <w:rsid w:val="003F7D06"/>
    <w:rsid w:val="003F7D62"/>
    <w:rsid w:val="003F7F5E"/>
    <w:rsid w:val="00400088"/>
    <w:rsid w:val="00400107"/>
    <w:rsid w:val="004001B7"/>
    <w:rsid w:val="00400231"/>
    <w:rsid w:val="004002E6"/>
    <w:rsid w:val="00400316"/>
    <w:rsid w:val="004003BF"/>
    <w:rsid w:val="0040052E"/>
    <w:rsid w:val="004005A0"/>
    <w:rsid w:val="004005D6"/>
    <w:rsid w:val="00400688"/>
    <w:rsid w:val="00400846"/>
    <w:rsid w:val="004008B5"/>
    <w:rsid w:val="004008E5"/>
    <w:rsid w:val="00400B9F"/>
    <w:rsid w:val="00400BB2"/>
    <w:rsid w:val="00400C9D"/>
    <w:rsid w:val="00400CEC"/>
    <w:rsid w:val="00400DA5"/>
    <w:rsid w:val="00400E12"/>
    <w:rsid w:val="00400E7D"/>
    <w:rsid w:val="00400FAC"/>
    <w:rsid w:val="00401043"/>
    <w:rsid w:val="004010B1"/>
    <w:rsid w:val="0040113A"/>
    <w:rsid w:val="0040122D"/>
    <w:rsid w:val="00401260"/>
    <w:rsid w:val="004012B8"/>
    <w:rsid w:val="004012D3"/>
    <w:rsid w:val="004013B1"/>
    <w:rsid w:val="00401556"/>
    <w:rsid w:val="004015C5"/>
    <w:rsid w:val="00401737"/>
    <w:rsid w:val="004017D4"/>
    <w:rsid w:val="0040191E"/>
    <w:rsid w:val="004019EF"/>
    <w:rsid w:val="00401BC5"/>
    <w:rsid w:val="00401DCF"/>
    <w:rsid w:val="00401DE3"/>
    <w:rsid w:val="00401F72"/>
    <w:rsid w:val="00401F78"/>
    <w:rsid w:val="00401F9E"/>
    <w:rsid w:val="004020C0"/>
    <w:rsid w:val="00402178"/>
    <w:rsid w:val="00402316"/>
    <w:rsid w:val="00402387"/>
    <w:rsid w:val="00402480"/>
    <w:rsid w:val="004024DB"/>
    <w:rsid w:val="00402554"/>
    <w:rsid w:val="004025E2"/>
    <w:rsid w:val="00402756"/>
    <w:rsid w:val="004029D2"/>
    <w:rsid w:val="00402A48"/>
    <w:rsid w:val="00402B0D"/>
    <w:rsid w:val="00402BA8"/>
    <w:rsid w:val="00402BCB"/>
    <w:rsid w:val="00402C5E"/>
    <w:rsid w:val="00402C7B"/>
    <w:rsid w:val="00402D12"/>
    <w:rsid w:val="00402D40"/>
    <w:rsid w:val="00402D8F"/>
    <w:rsid w:val="00402FC7"/>
    <w:rsid w:val="00402FF4"/>
    <w:rsid w:val="00403047"/>
    <w:rsid w:val="0040305C"/>
    <w:rsid w:val="004030ED"/>
    <w:rsid w:val="00403192"/>
    <w:rsid w:val="004032AB"/>
    <w:rsid w:val="00403455"/>
    <w:rsid w:val="00403540"/>
    <w:rsid w:val="004035B7"/>
    <w:rsid w:val="004035F5"/>
    <w:rsid w:val="0040360B"/>
    <w:rsid w:val="00403B70"/>
    <w:rsid w:val="00403BAB"/>
    <w:rsid w:val="00403C28"/>
    <w:rsid w:val="00403D17"/>
    <w:rsid w:val="00403DEB"/>
    <w:rsid w:val="004040F4"/>
    <w:rsid w:val="00404113"/>
    <w:rsid w:val="00404163"/>
    <w:rsid w:val="004041BE"/>
    <w:rsid w:val="004041D3"/>
    <w:rsid w:val="004041F3"/>
    <w:rsid w:val="00404224"/>
    <w:rsid w:val="004042E8"/>
    <w:rsid w:val="004044A0"/>
    <w:rsid w:val="00404534"/>
    <w:rsid w:val="00404560"/>
    <w:rsid w:val="0040490C"/>
    <w:rsid w:val="0040496A"/>
    <w:rsid w:val="00404971"/>
    <w:rsid w:val="004049D8"/>
    <w:rsid w:val="00404A16"/>
    <w:rsid w:val="00404A1C"/>
    <w:rsid w:val="00404AAE"/>
    <w:rsid w:val="00404B7C"/>
    <w:rsid w:val="00404C02"/>
    <w:rsid w:val="00404C28"/>
    <w:rsid w:val="00404C35"/>
    <w:rsid w:val="00404C43"/>
    <w:rsid w:val="00404CE7"/>
    <w:rsid w:val="00404D05"/>
    <w:rsid w:val="00404D9D"/>
    <w:rsid w:val="00404E9B"/>
    <w:rsid w:val="00404F79"/>
    <w:rsid w:val="00405023"/>
    <w:rsid w:val="00405122"/>
    <w:rsid w:val="004052E0"/>
    <w:rsid w:val="004054D5"/>
    <w:rsid w:val="004054F5"/>
    <w:rsid w:val="0040552B"/>
    <w:rsid w:val="00405545"/>
    <w:rsid w:val="0040554E"/>
    <w:rsid w:val="004055F2"/>
    <w:rsid w:val="00405786"/>
    <w:rsid w:val="00405787"/>
    <w:rsid w:val="00405979"/>
    <w:rsid w:val="004059CB"/>
    <w:rsid w:val="00405A18"/>
    <w:rsid w:val="00405A22"/>
    <w:rsid w:val="00405AA5"/>
    <w:rsid w:val="00405C96"/>
    <w:rsid w:val="00405E06"/>
    <w:rsid w:val="00405E1B"/>
    <w:rsid w:val="00405EEF"/>
    <w:rsid w:val="00406144"/>
    <w:rsid w:val="00406225"/>
    <w:rsid w:val="004062E8"/>
    <w:rsid w:val="004062EC"/>
    <w:rsid w:val="004063CB"/>
    <w:rsid w:val="004063CC"/>
    <w:rsid w:val="004063D9"/>
    <w:rsid w:val="004063E0"/>
    <w:rsid w:val="004063E5"/>
    <w:rsid w:val="00406497"/>
    <w:rsid w:val="004064C7"/>
    <w:rsid w:val="00406549"/>
    <w:rsid w:val="00406575"/>
    <w:rsid w:val="0040664B"/>
    <w:rsid w:val="00406669"/>
    <w:rsid w:val="0040666F"/>
    <w:rsid w:val="004066A1"/>
    <w:rsid w:val="00406707"/>
    <w:rsid w:val="0040675D"/>
    <w:rsid w:val="00406766"/>
    <w:rsid w:val="00406AAF"/>
    <w:rsid w:val="00406BDB"/>
    <w:rsid w:val="00406C7D"/>
    <w:rsid w:val="00406D7B"/>
    <w:rsid w:val="00406DB8"/>
    <w:rsid w:val="00406DD4"/>
    <w:rsid w:val="00406E6B"/>
    <w:rsid w:val="00406EB4"/>
    <w:rsid w:val="00406F0F"/>
    <w:rsid w:val="00407094"/>
    <w:rsid w:val="004070C3"/>
    <w:rsid w:val="00407114"/>
    <w:rsid w:val="0040711D"/>
    <w:rsid w:val="00407130"/>
    <w:rsid w:val="004071C2"/>
    <w:rsid w:val="004072A3"/>
    <w:rsid w:val="004072CC"/>
    <w:rsid w:val="004073B6"/>
    <w:rsid w:val="0040741A"/>
    <w:rsid w:val="00407649"/>
    <w:rsid w:val="00407651"/>
    <w:rsid w:val="0040776F"/>
    <w:rsid w:val="00407792"/>
    <w:rsid w:val="00407A77"/>
    <w:rsid w:val="00407AD2"/>
    <w:rsid w:val="00407B1E"/>
    <w:rsid w:val="00407C70"/>
    <w:rsid w:val="00407CEF"/>
    <w:rsid w:val="00407D9E"/>
    <w:rsid w:val="00407E80"/>
    <w:rsid w:val="00410039"/>
    <w:rsid w:val="00410060"/>
    <w:rsid w:val="004100D2"/>
    <w:rsid w:val="0041018C"/>
    <w:rsid w:val="0041039C"/>
    <w:rsid w:val="004103AA"/>
    <w:rsid w:val="004103D6"/>
    <w:rsid w:val="0041042A"/>
    <w:rsid w:val="004104A7"/>
    <w:rsid w:val="004104B3"/>
    <w:rsid w:val="00410693"/>
    <w:rsid w:val="00410760"/>
    <w:rsid w:val="00410786"/>
    <w:rsid w:val="0041092F"/>
    <w:rsid w:val="004109D7"/>
    <w:rsid w:val="00410A63"/>
    <w:rsid w:val="00410D2D"/>
    <w:rsid w:val="00410E4A"/>
    <w:rsid w:val="00410FCB"/>
    <w:rsid w:val="0041100D"/>
    <w:rsid w:val="004110BA"/>
    <w:rsid w:val="004111CA"/>
    <w:rsid w:val="00411419"/>
    <w:rsid w:val="00411584"/>
    <w:rsid w:val="004116BC"/>
    <w:rsid w:val="00411750"/>
    <w:rsid w:val="0041179E"/>
    <w:rsid w:val="004117C4"/>
    <w:rsid w:val="00411856"/>
    <w:rsid w:val="0041192D"/>
    <w:rsid w:val="00411956"/>
    <w:rsid w:val="004119C0"/>
    <w:rsid w:val="004119C4"/>
    <w:rsid w:val="00411D6A"/>
    <w:rsid w:val="00411E48"/>
    <w:rsid w:val="00411FB4"/>
    <w:rsid w:val="004120D2"/>
    <w:rsid w:val="004120D7"/>
    <w:rsid w:val="004121BE"/>
    <w:rsid w:val="004121D1"/>
    <w:rsid w:val="004123F9"/>
    <w:rsid w:val="0041243B"/>
    <w:rsid w:val="004124AF"/>
    <w:rsid w:val="00412505"/>
    <w:rsid w:val="0041264E"/>
    <w:rsid w:val="00412798"/>
    <w:rsid w:val="004128B3"/>
    <w:rsid w:val="00412957"/>
    <w:rsid w:val="00412997"/>
    <w:rsid w:val="00412A18"/>
    <w:rsid w:val="00412A7D"/>
    <w:rsid w:val="00412A8B"/>
    <w:rsid w:val="00412ACF"/>
    <w:rsid w:val="00412B64"/>
    <w:rsid w:val="00412E09"/>
    <w:rsid w:val="00412EA4"/>
    <w:rsid w:val="00412F62"/>
    <w:rsid w:val="00412F96"/>
    <w:rsid w:val="00413070"/>
    <w:rsid w:val="004130CA"/>
    <w:rsid w:val="00413115"/>
    <w:rsid w:val="00413119"/>
    <w:rsid w:val="004132A3"/>
    <w:rsid w:val="00413351"/>
    <w:rsid w:val="004135FE"/>
    <w:rsid w:val="0041362B"/>
    <w:rsid w:val="0041364E"/>
    <w:rsid w:val="0041368E"/>
    <w:rsid w:val="004136DF"/>
    <w:rsid w:val="00413744"/>
    <w:rsid w:val="0041384D"/>
    <w:rsid w:val="0041389C"/>
    <w:rsid w:val="004138AF"/>
    <w:rsid w:val="004138D8"/>
    <w:rsid w:val="0041394D"/>
    <w:rsid w:val="004139A3"/>
    <w:rsid w:val="004139E8"/>
    <w:rsid w:val="00413A2C"/>
    <w:rsid w:val="00413A85"/>
    <w:rsid w:val="00413AA7"/>
    <w:rsid w:val="00413ADC"/>
    <w:rsid w:val="00413BBF"/>
    <w:rsid w:val="00413D16"/>
    <w:rsid w:val="00413D5F"/>
    <w:rsid w:val="00413F01"/>
    <w:rsid w:val="00413FD1"/>
    <w:rsid w:val="00414013"/>
    <w:rsid w:val="004140AF"/>
    <w:rsid w:val="004140B8"/>
    <w:rsid w:val="00414153"/>
    <w:rsid w:val="004141D4"/>
    <w:rsid w:val="0041425F"/>
    <w:rsid w:val="004144C2"/>
    <w:rsid w:val="00414512"/>
    <w:rsid w:val="004146DC"/>
    <w:rsid w:val="004147B0"/>
    <w:rsid w:val="004147D6"/>
    <w:rsid w:val="0041481A"/>
    <w:rsid w:val="0041491A"/>
    <w:rsid w:val="004149AF"/>
    <w:rsid w:val="00414A77"/>
    <w:rsid w:val="00414AA9"/>
    <w:rsid w:val="00414AC1"/>
    <w:rsid w:val="00414AE7"/>
    <w:rsid w:val="00414C61"/>
    <w:rsid w:val="00414E0D"/>
    <w:rsid w:val="00414E22"/>
    <w:rsid w:val="00414F1E"/>
    <w:rsid w:val="00414F39"/>
    <w:rsid w:val="00414F93"/>
    <w:rsid w:val="00414FBD"/>
    <w:rsid w:val="0041508A"/>
    <w:rsid w:val="00415159"/>
    <w:rsid w:val="004155AE"/>
    <w:rsid w:val="00415693"/>
    <w:rsid w:val="004157B3"/>
    <w:rsid w:val="004158B9"/>
    <w:rsid w:val="0041597C"/>
    <w:rsid w:val="004159E1"/>
    <w:rsid w:val="004159EC"/>
    <w:rsid w:val="00415B27"/>
    <w:rsid w:val="00415BB5"/>
    <w:rsid w:val="00415BD9"/>
    <w:rsid w:val="00415BFD"/>
    <w:rsid w:val="00415C79"/>
    <w:rsid w:val="00415CE2"/>
    <w:rsid w:val="00415D92"/>
    <w:rsid w:val="00415E01"/>
    <w:rsid w:val="00415ED1"/>
    <w:rsid w:val="00415F94"/>
    <w:rsid w:val="00415FE1"/>
    <w:rsid w:val="004161BD"/>
    <w:rsid w:val="0041628F"/>
    <w:rsid w:val="0041629F"/>
    <w:rsid w:val="004162D2"/>
    <w:rsid w:val="00416349"/>
    <w:rsid w:val="0041658E"/>
    <w:rsid w:val="0041666A"/>
    <w:rsid w:val="0041673C"/>
    <w:rsid w:val="004168C0"/>
    <w:rsid w:val="0041692B"/>
    <w:rsid w:val="004169CF"/>
    <w:rsid w:val="00416CB1"/>
    <w:rsid w:val="00416CC2"/>
    <w:rsid w:val="00416DEE"/>
    <w:rsid w:val="00416E63"/>
    <w:rsid w:val="00416F48"/>
    <w:rsid w:val="00416FFD"/>
    <w:rsid w:val="00417059"/>
    <w:rsid w:val="0041714B"/>
    <w:rsid w:val="004171CE"/>
    <w:rsid w:val="00417200"/>
    <w:rsid w:val="00417225"/>
    <w:rsid w:val="00417245"/>
    <w:rsid w:val="0041725B"/>
    <w:rsid w:val="0041729E"/>
    <w:rsid w:val="00417379"/>
    <w:rsid w:val="00417671"/>
    <w:rsid w:val="00417861"/>
    <w:rsid w:val="00417B7E"/>
    <w:rsid w:val="00417BBA"/>
    <w:rsid w:val="00417CCD"/>
    <w:rsid w:val="00417DB0"/>
    <w:rsid w:val="00420166"/>
    <w:rsid w:val="0042016F"/>
    <w:rsid w:val="00420181"/>
    <w:rsid w:val="004201AB"/>
    <w:rsid w:val="00420250"/>
    <w:rsid w:val="004202E4"/>
    <w:rsid w:val="004202FF"/>
    <w:rsid w:val="0042044B"/>
    <w:rsid w:val="004205AE"/>
    <w:rsid w:val="004205F1"/>
    <w:rsid w:val="0042061B"/>
    <w:rsid w:val="0042064A"/>
    <w:rsid w:val="00420797"/>
    <w:rsid w:val="00420804"/>
    <w:rsid w:val="0042091A"/>
    <w:rsid w:val="00420C2F"/>
    <w:rsid w:val="00420D33"/>
    <w:rsid w:val="00420DB7"/>
    <w:rsid w:val="00420DB9"/>
    <w:rsid w:val="00420E2D"/>
    <w:rsid w:val="00420EA7"/>
    <w:rsid w:val="00421054"/>
    <w:rsid w:val="0042109C"/>
    <w:rsid w:val="0042111C"/>
    <w:rsid w:val="004211D4"/>
    <w:rsid w:val="004213B5"/>
    <w:rsid w:val="00421438"/>
    <w:rsid w:val="004214E8"/>
    <w:rsid w:val="004214F9"/>
    <w:rsid w:val="0042150C"/>
    <w:rsid w:val="0042152D"/>
    <w:rsid w:val="0042166A"/>
    <w:rsid w:val="00421679"/>
    <w:rsid w:val="00421763"/>
    <w:rsid w:val="004217BA"/>
    <w:rsid w:val="004217DF"/>
    <w:rsid w:val="00421976"/>
    <w:rsid w:val="00421BB6"/>
    <w:rsid w:val="00421C7B"/>
    <w:rsid w:val="00421D7F"/>
    <w:rsid w:val="00421FE9"/>
    <w:rsid w:val="00422059"/>
    <w:rsid w:val="0042224A"/>
    <w:rsid w:val="004222B5"/>
    <w:rsid w:val="00422342"/>
    <w:rsid w:val="0042234E"/>
    <w:rsid w:val="0042239D"/>
    <w:rsid w:val="004224D9"/>
    <w:rsid w:val="0042261B"/>
    <w:rsid w:val="004226A7"/>
    <w:rsid w:val="004227BE"/>
    <w:rsid w:val="004227EE"/>
    <w:rsid w:val="004228B7"/>
    <w:rsid w:val="00422961"/>
    <w:rsid w:val="00422B4A"/>
    <w:rsid w:val="00422B5D"/>
    <w:rsid w:val="00422B91"/>
    <w:rsid w:val="00422CAF"/>
    <w:rsid w:val="00422E7B"/>
    <w:rsid w:val="00422EF8"/>
    <w:rsid w:val="00422F98"/>
    <w:rsid w:val="00423045"/>
    <w:rsid w:val="004230B0"/>
    <w:rsid w:val="0042310E"/>
    <w:rsid w:val="0042312D"/>
    <w:rsid w:val="00423242"/>
    <w:rsid w:val="00423267"/>
    <w:rsid w:val="0042345C"/>
    <w:rsid w:val="004234FA"/>
    <w:rsid w:val="00423607"/>
    <w:rsid w:val="00423660"/>
    <w:rsid w:val="0042379F"/>
    <w:rsid w:val="0042380C"/>
    <w:rsid w:val="004238FC"/>
    <w:rsid w:val="00423ADE"/>
    <w:rsid w:val="00423B1B"/>
    <w:rsid w:val="00423C35"/>
    <w:rsid w:val="00423C76"/>
    <w:rsid w:val="00423C8E"/>
    <w:rsid w:val="00423CAA"/>
    <w:rsid w:val="00423CE0"/>
    <w:rsid w:val="00423D65"/>
    <w:rsid w:val="00423D86"/>
    <w:rsid w:val="00423DE1"/>
    <w:rsid w:val="00423E63"/>
    <w:rsid w:val="00423E92"/>
    <w:rsid w:val="00423F5B"/>
    <w:rsid w:val="00423F93"/>
    <w:rsid w:val="00423FE0"/>
    <w:rsid w:val="004240D1"/>
    <w:rsid w:val="004240D7"/>
    <w:rsid w:val="0042418E"/>
    <w:rsid w:val="0042418F"/>
    <w:rsid w:val="004241E9"/>
    <w:rsid w:val="0042423E"/>
    <w:rsid w:val="0042427E"/>
    <w:rsid w:val="004242A8"/>
    <w:rsid w:val="004242A9"/>
    <w:rsid w:val="0042445A"/>
    <w:rsid w:val="00424468"/>
    <w:rsid w:val="00424625"/>
    <w:rsid w:val="00424795"/>
    <w:rsid w:val="004247A8"/>
    <w:rsid w:val="004247B4"/>
    <w:rsid w:val="004247C5"/>
    <w:rsid w:val="004247D3"/>
    <w:rsid w:val="00424922"/>
    <w:rsid w:val="00424A16"/>
    <w:rsid w:val="00424B03"/>
    <w:rsid w:val="00424B19"/>
    <w:rsid w:val="00424B6A"/>
    <w:rsid w:val="00424BBC"/>
    <w:rsid w:val="00424BCD"/>
    <w:rsid w:val="00424D99"/>
    <w:rsid w:val="00424F1A"/>
    <w:rsid w:val="004250A6"/>
    <w:rsid w:val="004250F8"/>
    <w:rsid w:val="0042520A"/>
    <w:rsid w:val="00425255"/>
    <w:rsid w:val="00425289"/>
    <w:rsid w:val="0042534C"/>
    <w:rsid w:val="00425534"/>
    <w:rsid w:val="00425619"/>
    <w:rsid w:val="00425682"/>
    <w:rsid w:val="004257B3"/>
    <w:rsid w:val="004258FA"/>
    <w:rsid w:val="004259F2"/>
    <w:rsid w:val="004259F5"/>
    <w:rsid w:val="00425B17"/>
    <w:rsid w:val="00425B19"/>
    <w:rsid w:val="00425BD9"/>
    <w:rsid w:val="00425BDD"/>
    <w:rsid w:val="00425CB5"/>
    <w:rsid w:val="00425CD2"/>
    <w:rsid w:val="00425CDD"/>
    <w:rsid w:val="00425D7D"/>
    <w:rsid w:val="00425D9E"/>
    <w:rsid w:val="00425DB4"/>
    <w:rsid w:val="00425E01"/>
    <w:rsid w:val="00425E53"/>
    <w:rsid w:val="00425F3B"/>
    <w:rsid w:val="00425FB5"/>
    <w:rsid w:val="004261EF"/>
    <w:rsid w:val="004261F0"/>
    <w:rsid w:val="00426217"/>
    <w:rsid w:val="00426244"/>
    <w:rsid w:val="00426321"/>
    <w:rsid w:val="004263B8"/>
    <w:rsid w:val="00426403"/>
    <w:rsid w:val="004264C3"/>
    <w:rsid w:val="00426523"/>
    <w:rsid w:val="00426537"/>
    <w:rsid w:val="004267C8"/>
    <w:rsid w:val="00426856"/>
    <w:rsid w:val="00426ADD"/>
    <w:rsid w:val="00426B0C"/>
    <w:rsid w:val="00426B14"/>
    <w:rsid w:val="00426DA0"/>
    <w:rsid w:val="004270F5"/>
    <w:rsid w:val="00427291"/>
    <w:rsid w:val="00427304"/>
    <w:rsid w:val="004274A2"/>
    <w:rsid w:val="00427534"/>
    <w:rsid w:val="00427570"/>
    <w:rsid w:val="004276E5"/>
    <w:rsid w:val="00427783"/>
    <w:rsid w:val="004277AB"/>
    <w:rsid w:val="00427852"/>
    <w:rsid w:val="0042789C"/>
    <w:rsid w:val="00427951"/>
    <w:rsid w:val="00427A32"/>
    <w:rsid w:val="00427A51"/>
    <w:rsid w:val="00427B2D"/>
    <w:rsid w:val="00427D14"/>
    <w:rsid w:val="00427DCA"/>
    <w:rsid w:val="00427E22"/>
    <w:rsid w:val="00427E7A"/>
    <w:rsid w:val="00427F20"/>
    <w:rsid w:val="00427F85"/>
    <w:rsid w:val="00427FC8"/>
    <w:rsid w:val="00427FEE"/>
    <w:rsid w:val="00427FF5"/>
    <w:rsid w:val="00430052"/>
    <w:rsid w:val="00430088"/>
    <w:rsid w:val="004300C8"/>
    <w:rsid w:val="00430176"/>
    <w:rsid w:val="004301EF"/>
    <w:rsid w:val="00430266"/>
    <w:rsid w:val="0043028D"/>
    <w:rsid w:val="0043029C"/>
    <w:rsid w:val="004303B1"/>
    <w:rsid w:val="004303C1"/>
    <w:rsid w:val="004303F3"/>
    <w:rsid w:val="004306C1"/>
    <w:rsid w:val="0043075E"/>
    <w:rsid w:val="00430902"/>
    <w:rsid w:val="004309DC"/>
    <w:rsid w:val="004309EC"/>
    <w:rsid w:val="00430B9D"/>
    <w:rsid w:val="00430D90"/>
    <w:rsid w:val="00431004"/>
    <w:rsid w:val="00431024"/>
    <w:rsid w:val="004310B3"/>
    <w:rsid w:val="00431196"/>
    <w:rsid w:val="004311B7"/>
    <w:rsid w:val="00431487"/>
    <w:rsid w:val="004314FB"/>
    <w:rsid w:val="00431595"/>
    <w:rsid w:val="00431675"/>
    <w:rsid w:val="0043181F"/>
    <w:rsid w:val="004319D6"/>
    <w:rsid w:val="004319F0"/>
    <w:rsid w:val="00431A7D"/>
    <w:rsid w:val="00431AE3"/>
    <w:rsid w:val="00431B1A"/>
    <w:rsid w:val="00431B7B"/>
    <w:rsid w:val="00431BA8"/>
    <w:rsid w:val="00431BAD"/>
    <w:rsid w:val="00431C23"/>
    <w:rsid w:val="00431C43"/>
    <w:rsid w:val="00431CA9"/>
    <w:rsid w:val="00431D1E"/>
    <w:rsid w:val="00431DDF"/>
    <w:rsid w:val="00431F92"/>
    <w:rsid w:val="00432010"/>
    <w:rsid w:val="0043202D"/>
    <w:rsid w:val="0043211A"/>
    <w:rsid w:val="00432211"/>
    <w:rsid w:val="004322EA"/>
    <w:rsid w:val="00432313"/>
    <w:rsid w:val="00432330"/>
    <w:rsid w:val="00432347"/>
    <w:rsid w:val="00432478"/>
    <w:rsid w:val="004324BC"/>
    <w:rsid w:val="004324BF"/>
    <w:rsid w:val="00432535"/>
    <w:rsid w:val="004325A8"/>
    <w:rsid w:val="004325B4"/>
    <w:rsid w:val="0043267F"/>
    <w:rsid w:val="004328CE"/>
    <w:rsid w:val="0043296B"/>
    <w:rsid w:val="004329B7"/>
    <w:rsid w:val="00432AC0"/>
    <w:rsid w:val="00432B75"/>
    <w:rsid w:val="00432BBC"/>
    <w:rsid w:val="00432CA8"/>
    <w:rsid w:val="00432DEE"/>
    <w:rsid w:val="00432FCE"/>
    <w:rsid w:val="00433097"/>
    <w:rsid w:val="004331AB"/>
    <w:rsid w:val="00433204"/>
    <w:rsid w:val="0043326F"/>
    <w:rsid w:val="004332B9"/>
    <w:rsid w:val="004332DE"/>
    <w:rsid w:val="00433474"/>
    <w:rsid w:val="004334A2"/>
    <w:rsid w:val="0043355B"/>
    <w:rsid w:val="00433568"/>
    <w:rsid w:val="004335A1"/>
    <w:rsid w:val="004337B8"/>
    <w:rsid w:val="0043384A"/>
    <w:rsid w:val="00433875"/>
    <w:rsid w:val="004338F4"/>
    <w:rsid w:val="00433934"/>
    <w:rsid w:val="00433964"/>
    <w:rsid w:val="004339FE"/>
    <w:rsid w:val="00433C1F"/>
    <w:rsid w:val="00433D13"/>
    <w:rsid w:val="00433D14"/>
    <w:rsid w:val="00433D67"/>
    <w:rsid w:val="00433F2B"/>
    <w:rsid w:val="00433F84"/>
    <w:rsid w:val="00434132"/>
    <w:rsid w:val="0043421F"/>
    <w:rsid w:val="0043424C"/>
    <w:rsid w:val="0043438D"/>
    <w:rsid w:val="00434399"/>
    <w:rsid w:val="0043475B"/>
    <w:rsid w:val="004348F4"/>
    <w:rsid w:val="0043490F"/>
    <w:rsid w:val="0043496E"/>
    <w:rsid w:val="004349CA"/>
    <w:rsid w:val="00434A83"/>
    <w:rsid w:val="00434AA8"/>
    <w:rsid w:val="00434B29"/>
    <w:rsid w:val="00434BE3"/>
    <w:rsid w:val="00434C15"/>
    <w:rsid w:val="00434CD4"/>
    <w:rsid w:val="00434D47"/>
    <w:rsid w:val="00434DAD"/>
    <w:rsid w:val="00434DB0"/>
    <w:rsid w:val="00434E09"/>
    <w:rsid w:val="00434E58"/>
    <w:rsid w:val="00434EFE"/>
    <w:rsid w:val="004350D7"/>
    <w:rsid w:val="00435194"/>
    <w:rsid w:val="00435313"/>
    <w:rsid w:val="004353A4"/>
    <w:rsid w:val="004353E4"/>
    <w:rsid w:val="00435590"/>
    <w:rsid w:val="00435677"/>
    <w:rsid w:val="00435763"/>
    <w:rsid w:val="004357CC"/>
    <w:rsid w:val="00435803"/>
    <w:rsid w:val="004358D8"/>
    <w:rsid w:val="00435960"/>
    <w:rsid w:val="00435B53"/>
    <w:rsid w:val="00435B8C"/>
    <w:rsid w:val="00435C9E"/>
    <w:rsid w:val="00435CE4"/>
    <w:rsid w:val="00435D9C"/>
    <w:rsid w:val="00435DC8"/>
    <w:rsid w:val="00435F1A"/>
    <w:rsid w:val="00435F48"/>
    <w:rsid w:val="00435F53"/>
    <w:rsid w:val="00435FDC"/>
    <w:rsid w:val="00435FF2"/>
    <w:rsid w:val="0043605C"/>
    <w:rsid w:val="00436091"/>
    <w:rsid w:val="00436126"/>
    <w:rsid w:val="0043615A"/>
    <w:rsid w:val="004361BC"/>
    <w:rsid w:val="00436213"/>
    <w:rsid w:val="00436253"/>
    <w:rsid w:val="00436341"/>
    <w:rsid w:val="00436509"/>
    <w:rsid w:val="0043652C"/>
    <w:rsid w:val="004366C4"/>
    <w:rsid w:val="00436769"/>
    <w:rsid w:val="004367FD"/>
    <w:rsid w:val="00436A5E"/>
    <w:rsid w:val="00436AD8"/>
    <w:rsid w:val="00436B12"/>
    <w:rsid w:val="00436B8D"/>
    <w:rsid w:val="00436B9E"/>
    <w:rsid w:val="00436C0A"/>
    <w:rsid w:val="00436C7D"/>
    <w:rsid w:val="00436DB9"/>
    <w:rsid w:val="00436F3A"/>
    <w:rsid w:val="00436FAB"/>
    <w:rsid w:val="00437038"/>
    <w:rsid w:val="0043720C"/>
    <w:rsid w:val="004372FE"/>
    <w:rsid w:val="0043732F"/>
    <w:rsid w:val="004373BA"/>
    <w:rsid w:val="004373FA"/>
    <w:rsid w:val="0043749B"/>
    <w:rsid w:val="004375C9"/>
    <w:rsid w:val="004376A4"/>
    <w:rsid w:val="004376A6"/>
    <w:rsid w:val="00437712"/>
    <w:rsid w:val="004377D0"/>
    <w:rsid w:val="004378F7"/>
    <w:rsid w:val="004379B4"/>
    <w:rsid w:val="004379C5"/>
    <w:rsid w:val="00437AA7"/>
    <w:rsid w:val="00437AF2"/>
    <w:rsid w:val="00437B58"/>
    <w:rsid w:val="00437BED"/>
    <w:rsid w:val="00437C88"/>
    <w:rsid w:val="00437EA8"/>
    <w:rsid w:val="00437EEA"/>
    <w:rsid w:val="00437FB2"/>
    <w:rsid w:val="00437FB4"/>
    <w:rsid w:val="00437FE8"/>
    <w:rsid w:val="004401A8"/>
    <w:rsid w:val="004401EE"/>
    <w:rsid w:val="00440229"/>
    <w:rsid w:val="0044022C"/>
    <w:rsid w:val="0044029D"/>
    <w:rsid w:val="004402C1"/>
    <w:rsid w:val="00440304"/>
    <w:rsid w:val="00440319"/>
    <w:rsid w:val="0044036F"/>
    <w:rsid w:val="00440403"/>
    <w:rsid w:val="00440429"/>
    <w:rsid w:val="00440432"/>
    <w:rsid w:val="0044055B"/>
    <w:rsid w:val="004405BC"/>
    <w:rsid w:val="004405CF"/>
    <w:rsid w:val="0044078C"/>
    <w:rsid w:val="00440812"/>
    <w:rsid w:val="00440889"/>
    <w:rsid w:val="00440939"/>
    <w:rsid w:val="00440968"/>
    <w:rsid w:val="00440AD4"/>
    <w:rsid w:val="00440B72"/>
    <w:rsid w:val="00440BF2"/>
    <w:rsid w:val="00440CD5"/>
    <w:rsid w:val="00440DFB"/>
    <w:rsid w:val="00440F7B"/>
    <w:rsid w:val="0044108C"/>
    <w:rsid w:val="00441151"/>
    <w:rsid w:val="004412E0"/>
    <w:rsid w:val="004413A4"/>
    <w:rsid w:val="00441459"/>
    <w:rsid w:val="0044155A"/>
    <w:rsid w:val="004415EF"/>
    <w:rsid w:val="0044162B"/>
    <w:rsid w:val="00441708"/>
    <w:rsid w:val="004417B4"/>
    <w:rsid w:val="00441866"/>
    <w:rsid w:val="0044197A"/>
    <w:rsid w:val="004419C2"/>
    <w:rsid w:val="00441A40"/>
    <w:rsid w:val="00441C22"/>
    <w:rsid w:val="00441D9D"/>
    <w:rsid w:val="00441DA6"/>
    <w:rsid w:val="00441DE0"/>
    <w:rsid w:val="00441E14"/>
    <w:rsid w:val="00441F33"/>
    <w:rsid w:val="00441FF2"/>
    <w:rsid w:val="00442017"/>
    <w:rsid w:val="004420C3"/>
    <w:rsid w:val="00442125"/>
    <w:rsid w:val="00442235"/>
    <w:rsid w:val="00442308"/>
    <w:rsid w:val="00442381"/>
    <w:rsid w:val="00442405"/>
    <w:rsid w:val="004425D3"/>
    <w:rsid w:val="004425F2"/>
    <w:rsid w:val="004428A5"/>
    <w:rsid w:val="0044291E"/>
    <w:rsid w:val="004429A1"/>
    <w:rsid w:val="004429D6"/>
    <w:rsid w:val="00442A49"/>
    <w:rsid w:val="00442B57"/>
    <w:rsid w:val="00442B8E"/>
    <w:rsid w:val="00442C12"/>
    <w:rsid w:val="00442C76"/>
    <w:rsid w:val="00442D6D"/>
    <w:rsid w:val="00442E45"/>
    <w:rsid w:val="00442F8C"/>
    <w:rsid w:val="00443044"/>
    <w:rsid w:val="0044305A"/>
    <w:rsid w:val="0044308D"/>
    <w:rsid w:val="004430EA"/>
    <w:rsid w:val="0044316C"/>
    <w:rsid w:val="004433AD"/>
    <w:rsid w:val="00443407"/>
    <w:rsid w:val="0044341B"/>
    <w:rsid w:val="004435F9"/>
    <w:rsid w:val="00443723"/>
    <w:rsid w:val="00443890"/>
    <w:rsid w:val="004438BC"/>
    <w:rsid w:val="004439C6"/>
    <w:rsid w:val="00443A81"/>
    <w:rsid w:val="00443B00"/>
    <w:rsid w:val="00443C6B"/>
    <w:rsid w:val="00443C77"/>
    <w:rsid w:val="00443D01"/>
    <w:rsid w:val="00443D42"/>
    <w:rsid w:val="00443D75"/>
    <w:rsid w:val="00443EDB"/>
    <w:rsid w:val="00443F67"/>
    <w:rsid w:val="00443FF8"/>
    <w:rsid w:val="0044420D"/>
    <w:rsid w:val="004442AE"/>
    <w:rsid w:val="004442C1"/>
    <w:rsid w:val="0044431B"/>
    <w:rsid w:val="00444323"/>
    <w:rsid w:val="004443AB"/>
    <w:rsid w:val="00444637"/>
    <w:rsid w:val="0044466A"/>
    <w:rsid w:val="00444772"/>
    <w:rsid w:val="004447A3"/>
    <w:rsid w:val="004447AE"/>
    <w:rsid w:val="004447BD"/>
    <w:rsid w:val="004447D3"/>
    <w:rsid w:val="00444906"/>
    <w:rsid w:val="0044494D"/>
    <w:rsid w:val="004449FC"/>
    <w:rsid w:val="00444A00"/>
    <w:rsid w:val="00444A0B"/>
    <w:rsid w:val="00444B44"/>
    <w:rsid w:val="00444C19"/>
    <w:rsid w:val="00444C94"/>
    <w:rsid w:val="00444E98"/>
    <w:rsid w:val="00444EDF"/>
    <w:rsid w:val="00444F4D"/>
    <w:rsid w:val="00444F95"/>
    <w:rsid w:val="0044507D"/>
    <w:rsid w:val="0044535E"/>
    <w:rsid w:val="0044539E"/>
    <w:rsid w:val="00445483"/>
    <w:rsid w:val="0044549E"/>
    <w:rsid w:val="0044555C"/>
    <w:rsid w:val="0044558D"/>
    <w:rsid w:val="00445629"/>
    <w:rsid w:val="00445763"/>
    <w:rsid w:val="0044585E"/>
    <w:rsid w:val="00445889"/>
    <w:rsid w:val="004458A9"/>
    <w:rsid w:val="00445939"/>
    <w:rsid w:val="00445978"/>
    <w:rsid w:val="0044598B"/>
    <w:rsid w:val="00445995"/>
    <w:rsid w:val="004459AA"/>
    <w:rsid w:val="00445B40"/>
    <w:rsid w:val="00445B4A"/>
    <w:rsid w:val="00445B9C"/>
    <w:rsid w:val="00445C47"/>
    <w:rsid w:val="00445C7C"/>
    <w:rsid w:val="00445C9A"/>
    <w:rsid w:val="00445E0E"/>
    <w:rsid w:val="00445E6F"/>
    <w:rsid w:val="00445E77"/>
    <w:rsid w:val="00445EB3"/>
    <w:rsid w:val="00445FBB"/>
    <w:rsid w:val="004460C5"/>
    <w:rsid w:val="00446157"/>
    <w:rsid w:val="00446162"/>
    <w:rsid w:val="00446197"/>
    <w:rsid w:val="004461DF"/>
    <w:rsid w:val="00446201"/>
    <w:rsid w:val="004462F7"/>
    <w:rsid w:val="0044638C"/>
    <w:rsid w:val="004465B3"/>
    <w:rsid w:val="00446755"/>
    <w:rsid w:val="00446790"/>
    <w:rsid w:val="004469F3"/>
    <w:rsid w:val="004469FD"/>
    <w:rsid w:val="00446A05"/>
    <w:rsid w:val="00446A0F"/>
    <w:rsid w:val="00446A92"/>
    <w:rsid w:val="00446B72"/>
    <w:rsid w:val="00446B86"/>
    <w:rsid w:val="00446D79"/>
    <w:rsid w:val="00446DBF"/>
    <w:rsid w:val="00446E46"/>
    <w:rsid w:val="00446FD7"/>
    <w:rsid w:val="0044701E"/>
    <w:rsid w:val="00447125"/>
    <w:rsid w:val="0044747A"/>
    <w:rsid w:val="00447550"/>
    <w:rsid w:val="00447553"/>
    <w:rsid w:val="004475FD"/>
    <w:rsid w:val="0044778F"/>
    <w:rsid w:val="0044780B"/>
    <w:rsid w:val="0044784C"/>
    <w:rsid w:val="0044785E"/>
    <w:rsid w:val="0044793F"/>
    <w:rsid w:val="00447A4E"/>
    <w:rsid w:val="00447A97"/>
    <w:rsid w:val="00447AB9"/>
    <w:rsid w:val="00447AED"/>
    <w:rsid w:val="00447BDC"/>
    <w:rsid w:val="00447C6F"/>
    <w:rsid w:val="00447C87"/>
    <w:rsid w:val="00447D3B"/>
    <w:rsid w:val="00447DF0"/>
    <w:rsid w:val="00447E98"/>
    <w:rsid w:val="00447F98"/>
    <w:rsid w:val="004500A3"/>
    <w:rsid w:val="004500C0"/>
    <w:rsid w:val="00450143"/>
    <w:rsid w:val="0045014C"/>
    <w:rsid w:val="004501A7"/>
    <w:rsid w:val="0045020E"/>
    <w:rsid w:val="00450297"/>
    <w:rsid w:val="004502E0"/>
    <w:rsid w:val="00450446"/>
    <w:rsid w:val="004504D3"/>
    <w:rsid w:val="004506D9"/>
    <w:rsid w:val="00450729"/>
    <w:rsid w:val="00450814"/>
    <w:rsid w:val="00450878"/>
    <w:rsid w:val="004508A9"/>
    <w:rsid w:val="0045096F"/>
    <w:rsid w:val="00450977"/>
    <w:rsid w:val="004509AF"/>
    <w:rsid w:val="004509DA"/>
    <w:rsid w:val="00450B83"/>
    <w:rsid w:val="00450D33"/>
    <w:rsid w:val="00450D3B"/>
    <w:rsid w:val="00450D98"/>
    <w:rsid w:val="00450D9C"/>
    <w:rsid w:val="00450E0D"/>
    <w:rsid w:val="00451144"/>
    <w:rsid w:val="0045125E"/>
    <w:rsid w:val="00451358"/>
    <w:rsid w:val="0045137C"/>
    <w:rsid w:val="004514F3"/>
    <w:rsid w:val="0045174A"/>
    <w:rsid w:val="00451756"/>
    <w:rsid w:val="0045182F"/>
    <w:rsid w:val="00451899"/>
    <w:rsid w:val="00451C62"/>
    <w:rsid w:val="00451D71"/>
    <w:rsid w:val="00451EDA"/>
    <w:rsid w:val="00451FF1"/>
    <w:rsid w:val="0045203A"/>
    <w:rsid w:val="00452113"/>
    <w:rsid w:val="004521FF"/>
    <w:rsid w:val="0045229F"/>
    <w:rsid w:val="0045267F"/>
    <w:rsid w:val="00452780"/>
    <w:rsid w:val="004527F5"/>
    <w:rsid w:val="00452A62"/>
    <w:rsid w:val="00452AA7"/>
    <w:rsid w:val="00452B40"/>
    <w:rsid w:val="00452BB9"/>
    <w:rsid w:val="00452DA6"/>
    <w:rsid w:val="00452E0E"/>
    <w:rsid w:val="00452E41"/>
    <w:rsid w:val="004531DC"/>
    <w:rsid w:val="004531ED"/>
    <w:rsid w:val="0045320C"/>
    <w:rsid w:val="00453221"/>
    <w:rsid w:val="00453318"/>
    <w:rsid w:val="00453450"/>
    <w:rsid w:val="004534FC"/>
    <w:rsid w:val="00453582"/>
    <w:rsid w:val="00453654"/>
    <w:rsid w:val="004537DD"/>
    <w:rsid w:val="00453842"/>
    <w:rsid w:val="004538DB"/>
    <w:rsid w:val="0045391F"/>
    <w:rsid w:val="00453B88"/>
    <w:rsid w:val="00453BFC"/>
    <w:rsid w:val="00453DF7"/>
    <w:rsid w:val="00453E30"/>
    <w:rsid w:val="00453E57"/>
    <w:rsid w:val="00453E7E"/>
    <w:rsid w:val="00453EE1"/>
    <w:rsid w:val="004540A9"/>
    <w:rsid w:val="00454120"/>
    <w:rsid w:val="0045416C"/>
    <w:rsid w:val="00454180"/>
    <w:rsid w:val="004541FD"/>
    <w:rsid w:val="0045424C"/>
    <w:rsid w:val="00454251"/>
    <w:rsid w:val="004542C0"/>
    <w:rsid w:val="0045430A"/>
    <w:rsid w:val="00454422"/>
    <w:rsid w:val="00454597"/>
    <w:rsid w:val="004545EC"/>
    <w:rsid w:val="0045460E"/>
    <w:rsid w:val="004546A8"/>
    <w:rsid w:val="004546FA"/>
    <w:rsid w:val="00454795"/>
    <w:rsid w:val="004548FF"/>
    <w:rsid w:val="00454A70"/>
    <w:rsid w:val="00454AE8"/>
    <w:rsid w:val="00454B51"/>
    <w:rsid w:val="00454BC2"/>
    <w:rsid w:val="00454C2A"/>
    <w:rsid w:val="00454CD9"/>
    <w:rsid w:val="00454D11"/>
    <w:rsid w:val="00454D6F"/>
    <w:rsid w:val="00454DBB"/>
    <w:rsid w:val="00454DC9"/>
    <w:rsid w:val="00454EA8"/>
    <w:rsid w:val="00454ED2"/>
    <w:rsid w:val="00454F4C"/>
    <w:rsid w:val="00454FED"/>
    <w:rsid w:val="0045501D"/>
    <w:rsid w:val="00455095"/>
    <w:rsid w:val="00455099"/>
    <w:rsid w:val="00455221"/>
    <w:rsid w:val="004552D7"/>
    <w:rsid w:val="0045545D"/>
    <w:rsid w:val="0045547C"/>
    <w:rsid w:val="004554DC"/>
    <w:rsid w:val="004554E5"/>
    <w:rsid w:val="004554F9"/>
    <w:rsid w:val="00455557"/>
    <w:rsid w:val="004556D8"/>
    <w:rsid w:val="00455896"/>
    <w:rsid w:val="0045589B"/>
    <w:rsid w:val="00455936"/>
    <w:rsid w:val="00455C5D"/>
    <w:rsid w:val="00455DD2"/>
    <w:rsid w:val="00455E31"/>
    <w:rsid w:val="00455E93"/>
    <w:rsid w:val="00455EA3"/>
    <w:rsid w:val="00455EC8"/>
    <w:rsid w:val="00455EE3"/>
    <w:rsid w:val="00455F75"/>
    <w:rsid w:val="0045614A"/>
    <w:rsid w:val="00456269"/>
    <w:rsid w:val="0045632A"/>
    <w:rsid w:val="0045632F"/>
    <w:rsid w:val="00456470"/>
    <w:rsid w:val="0045648A"/>
    <w:rsid w:val="00456529"/>
    <w:rsid w:val="0045654D"/>
    <w:rsid w:val="00456562"/>
    <w:rsid w:val="004565B4"/>
    <w:rsid w:val="004565E3"/>
    <w:rsid w:val="004565FB"/>
    <w:rsid w:val="00456690"/>
    <w:rsid w:val="004566DF"/>
    <w:rsid w:val="004567CB"/>
    <w:rsid w:val="004569F6"/>
    <w:rsid w:val="00456B5F"/>
    <w:rsid w:val="00456BDE"/>
    <w:rsid w:val="00456C66"/>
    <w:rsid w:val="00456CC0"/>
    <w:rsid w:val="00456EDE"/>
    <w:rsid w:val="004571E4"/>
    <w:rsid w:val="00457245"/>
    <w:rsid w:val="004572F6"/>
    <w:rsid w:val="004573F6"/>
    <w:rsid w:val="00457654"/>
    <w:rsid w:val="00457754"/>
    <w:rsid w:val="004578A1"/>
    <w:rsid w:val="00457BFE"/>
    <w:rsid w:val="00457CFE"/>
    <w:rsid w:val="00457D2D"/>
    <w:rsid w:val="00460013"/>
    <w:rsid w:val="004603C5"/>
    <w:rsid w:val="004605D9"/>
    <w:rsid w:val="00460655"/>
    <w:rsid w:val="00460748"/>
    <w:rsid w:val="00460827"/>
    <w:rsid w:val="0046082B"/>
    <w:rsid w:val="004608D1"/>
    <w:rsid w:val="004608EF"/>
    <w:rsid w:val="0046092D"/>
    <w:rsid w:val="00460950"/>
    <w:rsid w:val="00460962"/>
    <w:rsid w:val="00460A7D"/>
    <w:rsid w:val="00460B97"/>
    <w:rsid w:val="00460BAC"/>
    <w:rsid w:val="00460C98"/>
    <w:rsid w:val="00460CAF"/>
    <w:rsid w:val="00460D37"/>
    <w:rsid w:val="00460E05"/>
    <w:rsid w:val="00460E38"/>
    <w:rsid w:val="00460F00"/>
    <w:rsid w:val="00460FBF"/>
    <w:rsid w:val="00460FCA"/>
    <w:rsid w:val="004610AC"/>
    <w:rsid w:val="004610B5"/>
    <w:rsid w:val="004611E6"/>
    <w:rsid w:val="004612C9"/>
    <w:rsid w:val="0046137D"/>
    <w:rsid w:val="004613EE"/>
    <w:rsid w:val="004615A6"/>
    <w:rsid w:val="00461752"/>
    <w:rsid w:val="0046175C"/>
    <w:rsid w:val="0046176D"/>
    <w:rsid w:val="004617E8"/>
    <w:rsid w:val="0046180C"/>
    <w:rsid w:val="00461825"/>
    <w:rsid w:val="00461BEB"/>
    <w:rsid w:val="00461C03"/>
    <w:rsid w:val="00461CCF"/>
    <w:rsid w:val="00461CD5"/>
    <w:rsid w:val="00461D88"/>
    <w:rsid w:val="00461DDE"/>
    <w:rsid w:val="00461E18"/>
    <w:rsid w:val="00461EDE"/>
    <w:rsid w:val="00461EEB"/>
    <w:rsid w:val="00461FAA"/>
    <w:rsid w:val="00462076"/>
    <w:rsid w:val="00462111"/>
    <w:rsid w:val="00462132"/>
    <w:rsid w:val="004622B5"/>
    <w:rsid w:val="004622FB"/>
    <w:rsid w:val="00462451"/>
    <w:rsid w:val="00462596"/>
    <w:rsid w:val="00462624"/>
    <w:rsid w:val="004626CD"/>
    <w:rsid w:val="004626CF"/>
    <w:rsid w:val="00462779"/>
    <w:rsid w:val="004627C9"/>
    <w:rsid w:val="004627FC"/>
    <w:rsid w:val="00462932"/>
    <w:rsid w:val="00462A6A"/>
    <w:rsid w:val="00462C72"/>
    <w:rsid w:val="00462D33"/>
    <w:rsid w:val="00462E49"/>
    <w:rsid w:val="00462FBD"/>
    <w:rsid w:val="00462FF0"/>
    <w:rsid w:val="00463152"/>
    <w:rsid w:val="00463249"/>
    <w:rsid w:val="004633F3"/>
    <w:rsid w:val="004634C6"/>
    <w:rsid w:val="004635A8"/>
    <w:rsid w:val="004635C9"/>
    <w:rsid w:val="00463623"/>
    <w:rsid w:val="0046366F"/>
    <w:rsid w:val="004636EA"/>
    <w:rsid w:val="0046371C"/>
    <w:rsid w:val="0046376F"/>
    <w:rsid w:val="004637ED"/>
    <w:rsid w:val="004638AC"/>
    <w:rsid w:val="004639A3"/>
    <w:rsid w:val="00463A2E"/>
    <w:rsid w:val="00463A48"/>
    <w:rsid w:val="00463C8F"/>
    <w:rsid w:val="00463CE1"/>
    <w:rsid w:val="00463E13"/>
    <w:rsid w:val="00463E80"/>
    <w:rsid w:val="00463EB8"/>
    <w:rsid w:val="00463F6E"/>
    <w:rsid w:val="0046405E"/>
    <w:rsid w:val="00464072"/>
    <w:rsid w:val="004640AD"/>
    <w:rsid w:val="00464130"/>
    <w:rsid w:val="00464309"/>
    <w:rsid w:val="0046435C"/>
    <w:rsid w:val="00464381"/>
    <w:rsid w:val="0046451D"/>
    <w:rsid w:val="00464749"/>
    <w:rsid w:val="004647FD"/>
    <w:rsid w:val="0046491B"/>
    <w:rsid w:val="00464A37"/>
    <w:rsid w:val="00464C07"/>
    <w:rsid w:val="00464CB4"/>
    <w:rsid w:val="00464CD8"/>
    <w:rsid w:val="00464DE6"/>
    <w:rsid w:val="00464ECF"/>
    <w:rsid w:val="00464F2B"/>
    <w:rsid w:val="00464FAA"/>
    <w:rsid w:val="00465092"/>
    <w:rsid w:val="0046516F"/>
    <w:rsid w:val="004653F4"/>
    <w:rsid w:val="0046544B"/>
    <w:rsid w:val="004654C3"/>
    <w:rsid w:val="00465632"/>
    <w:rsid w:val="004656B3"/>
    <w:rsid w:val="004656CE"/>
    <w:rsid w:val="00465718"/>
    <w:rsid w:val="0046584C"/>
    <w:rsid w:val="004659DE"/>
    <w:rsid w:val="00465A6E"/>
    <w:rsid w:val="00465B45"/>
    <w:rsid w:val="00465B70"/>
    <w:rsid w:val="00465D8B"/>
    <w:rsid w:val="00465E11"/>
    <w:rsid w:val="00465E17"/>
    <w:rsid w:val="00465EB5"/>
    <w:rsid w:val="00465F3E"/>
    <w:rsid w:val="00465FA1"/>
    <w:rsid w:val="00465FDE"/>
    <w:rsid w:val="00466046"/>
    <w:rsid w:val="00466058"/>
    <w:rsid w:val="004660C6"/>
    <w:rsid w:val="0046613C"/>
    <w:rsid w:val="00466154"/>
    <w:rsid w:val="004661A2"/>
    <w:rsid w:val="004661BA"/>
    <w:rsid w:val="00466322"/>
    <w:rsid w:val="00466325"/>
    <w:rsid w:val="004663C5"/>
    <w:rsid w:val="004663D9"/>
    <w:rsid w:val="004663DF"/>
    <w:rsid w:val="00466442"/>
    <w:rsid w:val="0046664E"/>
    <w:rsid w:val="00466701"/>
    <w:rsid w:val="0046675E"/>
    <w:rsid w:val="0046680F"/>
    <w:rsid w:val="00466818"/>
    <w:rsid w:val="0046689C"/>
    <w:rsid w:val="0046692E"/>
    <w:rsid w:val="00466944"/>
    <w:rsid w:val="004669CE"/>
    <w:rsid w:val="00466A3A"/>
    <w:rsid w:val="00466D6E"/>
    <w:rsid w:val="00466D81"/>
    <w:rsid w:val="00466E85"/>
    <w:rsid w:val="00466F70"/>
    <w:rsid w:val="00466FBB"/>
    <w:rsid w:val="00466FC7"/>
    <w:rsid w:val="004670D5"/>
    <w:rsid w:val="004672E6"/>
    <w:rsid w:val="00467316"/>
    <w:rsid w:val="00467419"/>
    <w:rsid w:val="00467529"/>
    <w:rsid w:val="00467554"/>
    <w:rsid w:val="00467605"/>
    <w:rsid w:val="00467700"/>
    <w:rsid w:val="0046774E"/>
    <w:rsid w:val="0046790B"/>
    <w:rsid w:val="00467944"/>
    <w:rsid w:val="0046795A"/>
    <w:rsid w:val="004679AD"/>
    <w:rsid w:val="004679FF"/>
    <w:rsid w:val="00467A27"/>
    <w:rsid w:val="00467A7E"/>
    <w:rsid w:val="00467AAA"/>
    <w:rsid w:val="00467B1C"/>
    <w:rsid w:val="00467C01"/>
    <w:rsid w:val="00467C10"/>
    <w:rsid w:val="00467C19"/>
    <w:rsid w:val="00467C26"/>
    <w:rsid w:val="00467CD2"/>
    <w:rsid w:val="00467DC9"/>
    <w:rsid w:val="00467F3F"/>
    <w:rsid w:val="0047005C"/>
    <w:rsid w:val="00470315"/>
    <w:rsid w:val="00470323"/>
    <w:rsid w:val="004703F7"/>
    <w:rsid w:val="004704A1"/>
    <w:rsid w:val="004705A6"/>
    <w:rsid w:val="004705D9"/>
    <w:rsid w:val="00470696"/>
    <w:rsid w:val="00470700"/>
    <w:rsid w:val="00470745"/>
    <w:rsid w:val="0047074E"/>
    <w:rsid w:val="004707EF"/>
    <w:rsid w:val="0047082A"/>
    <w:rsid w:val="0047085E"/>
    <w:rsid w:val="004708C6"/>
    <w:rsid w:val="00470936"/>
    <w:rsid w:val="00470952"/>
    <w:rsid w:val="004709BB"/>
    <w:rsid w:val="004709DD"/>
    <w:rsid w:val="00470C5D"/>
    <w:rsid w:val="00470C6A"/>
    <w:rsid w:val="00470CC1"/>
    <w:rsid w:val="00470CEC"/>
    <w:rsid w:val="00470D33"/>
    <w:rsid w:val="00470D3B"/>
    <w:rsid w:val="00470ED0"/>
    <w:rsid w:val="00470FEF"/>
    <w:rsid w:val="0047102B"/>
    <w:rsid w:val="0047105B"/>
    <w:rsid w:val="004710E9"/>
    <w:rsid w:val="004711AC"/>
    <w:rsid w:val="0047124F"/>
    <w:rsid w:val="004712FD"/>
    <w:rsid w:val="00471320"/>
    <w:rsid w:val="00471476"/>
    <w:rsid w:val="00471602"/>
    <w:rsid w:val="00471695"/>
    <w:rsid w:val="00471838"/>
    <w:rsid w:val="004719AE"/>
    <w:rsid w:val="004719E6"/>
    <w:rsid w:val="004719FB"/>
    <w:rsid w:val="00471A6C"/>
    <w:rsid w:val="00471C40"/>
    <w:rsid w:val="00471C71"/>
    <w:rsid w:val="00471D88"/>
    <w:rsid w:val="00471FC5"/>
    <w:rsid w:val="004720D1"/>
    <w:rsid w:val="004720F7"/>
    <w:rsid w:val="00472149"/>
    <w:rsid w:val="004721FA"/>
    <w:rsid w:val="00472280"/>
    <w:rsid w:val="004722AD"/>
    <w:rsid w:val="004722E1"/>
    <w:rsid w:val="0047254A"/>
    <w:rsid w:val="00472561"/>
    <w:rsid w:val="00472738"/>
    <w:rsid w:val="004727BF"/>
    <w:rsid w:val="00472803"/>
    <w:rsid w:val="00472999"/>
    <w:rsid w:val="00472A29"/>
    <w:rsid w:val="00472AB6"/>
    <w:rsid w:val="00472B17"/>
    <w:rsid w:val="00472BA1"/>
    <w:rsid w:val="00472C20"/>
    <w:rsid w:val="00472DEA"/>
    <w:rsid w:val="00472F75"/>
    <w:rsid w:val="00473312"/>
    <w:rsid w:val="00473546"/>
    <w:rsid w:val="004737B0"/>
    <w:rsid w:val="004739D4"/>
    <w:rsid w:val="00473AF9"/>
    <w:rsid w:val="00473FF5"/>
    <w:rsid w:val="0047429E"/>
    <w:rsid w:val="004742FC"/>
    <w:rsid w:val="0047431C"/>
    <w:rsid w:val="004743A3"/>
    <w:rsid w:val="004743EE"/>
    <w:rsid w:val="00474478"/>
    <w:rsid w:val="004744EC"/>
    <w:rsid w:val="00474534"/>
    <w:rsid w:val="00474563"/>
    <w:rsid w:val="0047456B"/>
    <w:rsid w:val="004745B4"/>
    <w:rsid w:val="0047463B"/>
    <w:rsid w:val="0047476C"/>
    <w:rsid w:val="004747A6"/>
    <w:rsid w:val="004747BB"/>
    <w:rsid w:val="00474841"/>
    <w:rsid w:val="00474921"/>
    <w:rsid w:val="004749A1"/>
    <w:rsid w:val="004749B6"/>
    <w:rsid w:val="00474A37"/>
    <w:rsid w:val="00474A9A"/>
    <w:rsid w:val="00474B38"/>
    <w:rsid w:val="00474B85"/>
    <w:rsid w:val="00474C22"/>
    <w:rsid w:val="00474C78"/>
    <w:rsid w:val="00474D35"/>
    <w:rsid w:val="00474D3F"/>
    <w:rsid w:val="00474E57"/>
    <w:rsid w:val="00474EAE"/>
    <w:rsid w:val="00474F16"/>
    <w:rsid w:val="00474F5A"/>
    <w:rsid w:val="004750A4"/>
    <w:rsid w:val="004750A9"/>
    <w:rsid w:val="00475110"/>
    <w:rsid w:val="00475213"/>
    <w:rsid w:val="004752C1"/>
    <w:rsid w:val="004752EE"/>
    <w:rsid w:val="00475394"/>
    <w:rsid w:val="004753BE"/>
    <w:rsid w:val="00475404"/>
    <w:rsid w:val="00475419"/>
    <w:rsid w:val="0047543C"/>
    <w:rsid w:val="0047544B"/>
    <w:rsid w:val="00475544"/>
    <w:rsid w:val="00475578"/>
    <w:rsid w:val="00475727"/>
    <w:rsid w:val="0047576C"/>
    <w:rsid w:val="0047576E"/>
    <w:rsid w:val="004759D3"/>
    <w:rsid w:val="00475BD6"/>
    <w:rsid w:val="00475D7E"/>
    <w:rsid w:val="00475DE5"/>
    <w:rsid w:val="00475FE7"/>
    <w:rsid w:val="0047605D"/>
    <w:rsid w:val="0047628D"/>
    <w:rsid w:val="00476333"/>
    <w:rsid w:val="0047650E"/>
    <w:rsid w:val="00476531"/>
    <w:rsid w:val="004765A4"/>
    <w:rsid w:val="004765EF"/>
    <w:rsid w:val="0047662F"/>
    <w:rsid w:val="00476669"/>
    <w:rsid w:val="0047672B"/>
    <w:rsid w:val="0047677C"/>
    <w:rsid w:val="0047685C"/>
    <w:rsid w:val="00476869"/>
    <w:rsid w:val="00476920"/>
    <w:rsid w:val="00476DF6"/>
    <w:rsid w:val="00476E24"/>
    <w:rsid w:val="004772F9"/>
    <w:rsid w:val="00477301"/>
    <w:rsid w:val="00477404"/>
    <w:rsid w:val="0047745D"/>
    <w:rsid w:val="004775BC"/>
    <w:rsid w:val="00477702"/>
    <w:rsid w:val="00477711"/>
    <w:rsid w:val="00477792"/>
    <w:rsid w:val="00477831"/>
    <w:rsid w:val="00477876"/>
    <w:rsid w:val="0047788B"/>
    <w:rsid w:val="004778A6"/>
    <w:rsid w:val="00477918"/>
    <w:rsid w:val="00477A72"/>
    <w:rsid w:val="00477A82"/>
    <w:rsid w:val="00477AAC"/>
    <w:rsid w:val="00477BC9"/>
    <w:rsid w:val="00477BDC"/>
    <w:rsid w:val="00477BF3"/>
    <w:rsid w:val="00477C14"/>
    <w:rsid w:val="00477CAE"/>
    <w:rsid w:val="00477E8B"/>
    <w:rsid w:val="00477E91"/>
    <w:rsid w:val="00477F56"/>
    <w:rsid w:val="00477FC9"/>
    <w:rsid w:val="004800C4"/>
    <w:rsid w:val="00480243"/>
    <w:rsid w:val="004802DA"/>
    <w:rsid w:val="00480309"/>
    <w:rsid w:val="004803C1"/>
    <w:rsid w:val="00480423"/>
    <w:rsid w:val="00480499"/>
    <w:rsid w:val="004805A2"/>
    <w:rsid w:val="00480857"/>
    <w:rsid w:val="004808F5"/>
    <w:rsid w:val="00480943"/>
    <w:rsid w:val="00480949"/>
    <w:rsid w:val="004809D8"/>
    <w:rsid w:val="00480A66"/>
    <w:rsid w:val="00480B5A"/>
    <w:rsid w:val="00480C1C"/>
    <w:rsid w:val="00480F96"/>
    <w:rsid w:val="00481241"/>
    <w:rsid w:val="00481255"/>
    <w:rsid w:val="004812D9"/>
    <w:rsid w:val="0048134A"/>
    <w:rsid w:val="00481366"/>
    <w:rsid w:val="004813D1"/>
    <w:rsid w:val="004814B8"/>
    <w:rsid w:val="0048161D"/>
    <w:rsid w:val="004817B5"/>
    <w:rsid w:val="004817E3"/>
    <w:rsid w:val="00481818"/>
    <w:rsid w:val="00481825"/>
    <w:rsid w:val="0048189E"/>
    <w:rsid w:val="00481AB0"/>
    <w:rsid w:val="00481B46"/>
    <w:rsid w:val="00481D43"/>
    <w:rsid w:val="00481D9C"/>
    <w:rsid w:val="00481DBE"/>
    <w:rsid w:val="00481E58"/>
    <w:rsid w:val="00481EC0"/>
    <w:rsid w:val="00481FC4"/>
    <w:rsid w:val="00482044"/>
    <w:rsid w:val="004820C9"/>
    <w:rsid w:val="004820F9"/>
    <w:rsid w:val="004821DE"/>
    <w:rsid w:val="004822FB"/>
    <w:rsid w:val="00482519"/>
    <w:rsid w:val="00482672"/>
    <w:rsid w:val="004827A4"/>
    <w:rsid w:val="0048293D"/>
    <w:rsid w:val="00482A27"/>
    <w:rsid w:val="00482A5C"/>
    <w:rsid w:val="00482C08"/>
    <w:rsid w:val="00482C2B"/>
    <w:rsid w:val="00482D1E"/>
    <w:rsid w:val="00482D79"/>
    <w:rsid w:val="00482F38"/>
    <w:rsid w:val="00482F7D"/>
    <w:rsid w:val="0048301A"/>
    <w:rsid w:val="00483139"/>
    <w:rsid w:val="00483145"/>
    <w:rsid w:val="004831A1"/>
    <w:rsid w:val="0048324F"/>
    <w:rsid w:val="004832F4"/>
    <w:rsid w:val="004833C5"/>
    <w:rsid w:val="004834B0"/>
    <w:rsid w:val="00483598"/>
    <w:rsid w:val="004835DA"/>
    <w:rsid w:val="004836E3"/>
    <w:rsid w:val="004836EB"/>
    <w:rsid w:val="00483720"/>
    <w:rsid w:val="0048375A"/>
    <w:rsid w:val="004837C9"/>
    <w:rsid w:val="00483852"/>
    <w:rsid w:val="004838A1"/>
    <w:rsid w:val="00483934"/>
    <w:rsid w:val="0048396B"/>
    <w:rsid w:val="00483A3F"/>
    <w:rsid w:val="00483AAF"/>
    <w:rsid w:val="00483B65"/>
    <w:rsid w:val="004840AD"/>
    <w:rsid w:val="004840F2"/>
    <w:rsid w:val="00484133"/>
    <w:rsid w:val="004841A0"/>
    <w:rsid w:val="0048443B"/>
    <w:rsid w:val="0048445D"/>
    <w:rsid w:val="004844C9"/>
    <w:rsid w:val="00484588"/>
    <w:rsid w:val="0048477E"/>
    <w:rsid w:val="004847BF"/>
    <w:rsid w:val="004847C0"/>
    <w:rsid w:val="004847EC"/>
    <w:rsid w:val="00484818"/>
    <w:rsid w:val="00484873"/>
    <w:rsid w:val="0048498E"/>
    <w:rsid w:val="00484A99"/>
    <w:rsid w:val="00484B30"/>
    <w:rsid w:val="00484BD6"/>
    <w:rsid w:val="00484C73"/>
    <w:rsid w:val="00484C8A"/>
    <w:rsid w:val="00484CBA"/>
    <w:rsid w:val="0048534D"/>
    <w:rsid w:val="00485354"/>
    <w:rsid w:val="004853AD"/>
    <w:rsid w:val="0048547D"/>
    <w:rsid w:val="004854ED"/>
    <w:rsid w:val="00485563"/>
    <w:rsid w:val="00485929"/>
    <w:rsid w:val="0048599B"/>
    <w:rsid w:val="00485A2F"/>
    <w:rsid w:val="00485ACD"/>
    <w:rsid w:val="00485B25"/>
    <w:rsid w:val="00485B80"/>
    <w:rsid w:val="00485E27"/>
    <w:rsid w:val="0048601B"/>
    <w:rsid w:val="0048606C"/>
    <w:rsid w:val="00486202"/>
    <w:rsid w:val="004862A3"/>
    <w:rsid w:val="004862E5"/>
    <w:rsid w:val="00486366"/>
    <w:rsid w:val="00486430"/>
    <w:rsid w:val="00486432"/>
    <w:rsid w:val="0048650D"/>
    <w:rsid w:val="0048652F"/>
    <w:rsid w:val="00486539"/>
    <w:rsid w:val="0048668E"/>
    <w:rsid w:val="0048672F"/>
    <w:rsid w:val="0048677A"/>
    <w:rsid w:val="004869BD"/>
    <w:rsid w:val="00486A6C"/>
    <w:rsid w:val="00486B4D"/>
    <w:rsid w:val="00486B92"/>
    <w:rsid w:val="00486BE6"/>
    <w:rsid w:val="00486D42"/>
    <w:rsid w:val="00486DC1"/>
    <w:rsid w:val="00486DD7"/>
    <w:rsid w:val="00486E5E"/>
    <w:rsid w:val="00486EC9"/>
    <w:rsid w:val="00487210"/>
    <w:rsid w:val="00487358"/>
    <w:rsid w:val="0048745E"/>
    <w:rsid w:val="004874AF"/>
    <w:rsid w:val="00487528"/>
    <w:rsid w:val="00487578"/>
    <w:rsid w:val="004875CE"/>
    <w:rsid w:val="004875ED"/>
    <w:rsid w:val="00487632"/>
    <w:rsid w:val="00487719"/>
    <w:rsid w:val="004879C0"/>
    <w:rsid w:val="00487B53"/>
    <w:rsid w:val="00487B85"/>
    <w:rsid w:val="00487BC4"/>
    <w:rsid w:val="00487C24"/>
    <w:rsid w:val="00487C9A"/>
    <w:rsid w:val="00487DFA"/>
    <w:rsid w:val="00487E42"/>
    <w:rsid w:val="00487EEF"/>
    <w:rsid w:val="00487EF7"/>
    <w:rsid w:val="00487FCE"/>
    <w:rsid w:val="00490026"/>
    <w:rsid w:val="00490081"/>
    <w:rsid w:val="004900C9"/>
    <w:rsid w:val="00490142"/>
    <w:rsid w:val="004901BF"/>
    <w:rsid w:val="004902FC"/>
    <w:rsid w:val="0049033A"/>
    <w:rsid w:val="00490368"/>
    <w:rsid w:val="004903DA"/>
    <w:rsid w:val="00490450"/>
    <w:rsid w:val="00490530"/>
    <w:rsid w:val="0049059C"/>
    <w:rsid w:val="004905C2"/>
    <w:rsid w:val="00490631"/>
    <w:rsid w:val="004906C6"/>
    <w:rsid w:val="0049073E"/>
    <w:rsid w:val="00490782"/>
    <w:rsid w:val="0049087D"/>
    <w:rsid w:val="004909B3"/>
    <w:rsid w:val="00490A5E"/>
    <w:rsid w:val="00490A8D"/>
    <w:rsid w:val="00490B0B"/>
    <w:rsid w:val="00490B3E"/>
    <w:rsid w:val="00490C41"/>
    <w:rsid w:val="00490C68"/>
    <w:rsid w:val="00490CEA"/>
    <w:rsid w:val="00490DDC"/>
    <w:rsid w:val="00490DF0"/>
    <w:rsid w:val="00490DFB"/>
    <w:rsid w:val="00490E19"/>
    <w:rsid w:val="00490F0B"/>
    <w:rsid w:val="00490FA9"/>
    <w:rsid w:val="00491119"/>
    <w:rsid w:val="00491242"/>
    <w:rsid w:val="004912B5"/>
    <w:rsid w:val="00491336"/>
    <w:rsid w:val="00491397"/>
    <w:rsid w:val="004913AA"/>
    <w:rsid w:val="004913AB"/>
    <w:rsid w:val="004913B2"/>
    <w:rsid w:val="00491407"/>
    <w:rsid w:val="004914DA"/>
    <w:rsid w:val="00491544"/>
    <w:rsid w:val="00491564"/>
    <w:rsid w:val="004917F1"/>
    <w:rsid w:val="004917F6"/>
    <w:rsid w:val="00491870"/>
    <w:rsid w:val="00491903"/>
    <w:rsid w:val="0049190A"/>
    <w:rsid w:val="004919B7"/>
    <w:rsid w:val="00491A03"/>
    <w:rsid w:val="00491B29"/>
    <w:rsid w:val="00491CB4"/>
    <w:rsid w:val="00491D33"/>
    <w:rsid w:val="00491E89"/>
    <w:rsid w:val="00491FF9"/>
    <w:rsid w:val="00491FFE"/>
    <w:rsid w:val="004920B7"/>
    <w:rsid w:val="0049215B"/>
    <w:rsid w:val="00492261"/>
    <w:rsid w:val="004922E8"/>
    <w:rsid w:val="004923A2"/>
    <w:rsid w:val="004923CD"/>
    <w:rsid w:val="004923D4"/>
    <w:rsid w:val="004924B8"/>
    <w:rsid w:val="00492543"/>
    <w:rsid w:val="0049257C"/>
    <w:rsid w:val="0049270B"/>
    <w:rsid w:val="004927F2"/>
    <w:rsid w:val="00492957"/>
    <w:rsid w:val="004929AE"/>
    <w:rsid w:val="00492A5A"/>
    <w:rsid w:val="00492AD4"/>
    <w:rsid w:val="00492CC5"/>
    <w:rsid w:val="00492E22"/>
    <w:rsid w:val="00493099"/>
    <w:rsid w:val="00493203"/>
    <w:rsid w:val="004933DF"/>
    <w:rsid w:val="0049343D"/>
    <w:rsid w:val="004934B7"/>
    <w:rsid w:val="004934E5"/>
    <w:rsid w:val="00493525"/>
    <w:rsid w:val="0049359C"/>
    <w:rsid w:val="00493611"/>
    <w:rsid w:val="00493832"/>
    <w:rsid w:val="00493A3F"/>
    <w:rsid w:val="00493C46"/>
    <w:rsid w:val="00493CD6"/>
    <w:rsid w:val="00493D65"/>
    <w:rsid w:val="004940F0"/>
    <w:rsid w:val="00494114"/>
    <w:rsid w:val="00494299"/>
    <w:rsid w:val="004943A1"/>
    <w:rsid w:val="00494474"/>
    <w:rsid w:val="0049452D"/>
    <w:rsid w:val="0049464C"/>
    <w:rsid w:val="0049466F"/>
    <w:rsid w:val="0049468D"/>
    <w:rsid w:val="00494728"/>
    <w:rsid w:val="00494890"/>
    <w:rsid w:val="004948CD"/>
    <w:rsid w:val="004948EC"/>
    <w:rsid w:val="00494A19"/>
    <w:rsid w:val="00494B29"/>
    <w:rsid w:val="00494BCE"/>
    <w:rsid w:val="00494C79"/>
    <w:rsid w:val="00494CA0"/>
    <w:rsid w:val="00494D09"/>
    <w:rsid w:val="00494DBF"/>
    <w:rsid w:val="00494E2B"/>
    <w:rsid w:val="00494EF3"/>
    <w:rsid w:val="00494F9B"/>
    <w:rsid w:val="00494FB4"/>
    <w:rsid w:val="00495018"/>
    <w:rsid w:val="004950C0"/>
    <w:rsid w:val="00495129"/>
    <w:rsid w:val="0049525D"/>
    <w:rsid w:val="0049526A"/>
    <w:rsid w:val="0049526E"/>
    <w:rsid w:val="004952B7"/>
    <w:rsid w:val="00495434"/>
    <w:rsid w:val="004955E2"/>
    <w:rsid w:val="004956DD"/>
    <w:rsid w:val="00495793"/>
    <w:rsid w:val="0049579D"/>
    <w:rsid w:val="004957E3"/>
    <w:rsid w:val="004957FC"/>
    <w:rsid w:val="00495878"/>
    <w:rsid w:val="0049587C"/>
    <w:rsid w:val="00495905"/>
    <w:rsid w:val="00495A98"/>
    <w:rsid w:val="00495AA0"/>
    <w:rsid w:val="00495AF6"/>
    <w:rsid w:val="00495C61"/>
    <w:rsid w:val="00495D43"/>
    <w:rsid w:val="00495DAD"/>
    <w:rsid w:val="00495DB9"/>
    <w:rsid w:val="00495DD2"/>
    <w:rsid w:val="00496095"/>
    <w:rsid w:val="00496097"/>
    <w:rsid w:val="004960E4"/>
    <w:rsid w:val="004961DA"/>
    <w:rsid w:val="00496242"/>
    <w:rsid w:val="00496249"/>
    <w:rsid w:val="0049644B"/>
    <w:rsid w:val="004965A8"/>
    <w:rsid w:val="0049674F"/>
    <w:rsid w:val="004967D9"/>
    <w:rsid w:val="00496923"/>
    <w:rsid w:val="00496A97"/>
    <w:rsid w:val="00496A9D"/>
    <w:rsid w:val="00496AB9"/>
    <w:rsid w:val="00496C11"/>
    <w:rsid w:val="00496C17"/>
    <w:rsid w:val="00496CBC"/>
    <w:rsid w:val="00496D18"/>
    <w:rsid w:val="00496D3F"/>
    <w:rsid w:val="00496DC4"/>
    <w:rsid w:val="00496E41"/>
    <w:rsid w:val="00496F6F"/>
    <w:rsid w:val="00496FE2"/>
    <w:rsid w:val="00496FF5"/>
    <w:rsid w:val="004970D6"/>
    <w:rsid w:val="004970F0"/>
    <w:rsid w:val="004971CF"/>
    <w:rsid w:val="0049721C"/>
    <w:rsid w:val="004972A4"/>
    <w:rsid w:val="00497302"/>
    <w:rsid w:val="0049741B"/>
    <w:rsid w:val="0049759B"/>
    <w:rsid w:val="004976C0"/>
    <w:rsid w:val="00497709"/>
    <w:rsid w:val="0049780C"/>
    <w:rsid w:val="00497A8E"/>
    <w:rsid w:val="00497B2F"/>
    <w:rsid w:val="00497B3B"/>
    <w:rsid w:val="00497B48"/>
    <w:rsid w:val="00497B76"/>
    <w:rsid w:val="00497C89"/>
    <w:rsid w:val="00497C91"/>
    <w:rsid w:val="00497CF0"/>
    <w:rsid w:val="00497D62"/>
    <w:rsid w:val="00497DDC"/>
    <w:rsid w:val="00497DE7"/>
    <w:rsid w:val="00497E0F"/>
    <w:rsid w:val="00497E31"/>
    <w:rsid w:val="00497FE5"/>
    <w:rsid w:val="004A0043"/>
    <w:rsid w:val="004A0067"/>
    <w:rsid w:val="004A00DA"/>
    <w:rsid w:val="004A01F4"/>
    <w:rsid w:val="004A0260"/>
    <w:rsid w:val="004A02CF"/>
    <w:rsid w:val="004A02DC"/>
    <w:rsid w:val="004A0333"/>
    <w:rsid w:val="004A0553"/>
    <w:rsid w:val="004A05B9"/>
    <w:rsid w:val="004A05FC"/>
    <w:rsid w:val="004A07BE"/>
    <w:rsid w:val="004A095C"/>
    <w:rsid w:val="004A0A85"/>
    <w:rsid w:val="004A0C19"/>
    <w:rsid w:val="004A0D51"/>
    <w:rsid w:val="004A0D9A"/>
    <w:rsid w:val="004A0DC2"/>
    <w:rsid w:val="004A0F08"/>
    <w:rsid w:val="004A0F50"/>
    <w:rsid w:val="004A0FB4"/>
    <w:rsid w:val="004A0FBF"/>
    <w:rsid w:val="004A0FE0"/>
    <w:rsid w:val="004A119F"/>
    <w:rsid w:val="004A1266"/>
    <w:rsid w:val="004A135F"/>
    <w:rsid w:val="004A13E2"/>
    <w:rsid w:val="004A142E"/>
    <w:rsid w:val="004A16BF"/>
    <w:rsid w:val="004A1779"/>
    <w:rsid w:val="004A179A"/>
    <w:rsid w:val="004A1835"/>
    <w:rsid w:val="004A184C"/>
    <w:rsid w:val="004A188A"/>
    <w:rsid w:val="004A18E8"/>
    <w:rsid w:val="004A1979"/>
    <w:rsid w:val="004A199C"/>
    <w:rsid w:val="004A19AB"/>
    <w:rsid w:val="004A1A2E"/>
    <w:rsid w:val="004A1A93"/>
    <w:rsid w:val="004A1AD6"/>
    <w:rsid w:val="004A1B08"/>
    <w:rsid w:val="004A1B3C"/>
    <w:rsid w:val="004A1B6C"/>
    <w:rsid w:val="004A1BD3"/>
    <w:rsid w:val="004A1BE5"/>
    <w:rsid w:val="004A1C1B"/>
    <w:rsid w:val="004A1DBA"/>
    <w:rsid w:val="004A1E10"/>
    <w:rsid w:val="004A1F34"/>
    <w:rsid w:val="004A1F38"/>
    <w:rsid w:val="004A2049"/>
    <w:rsid w:val="004A20F4"/>
    <w:rsid w:val="004A2162"/>
    <w:rsid w:val="004A21BB"/>
    <w:rsid w:val="004A21EF"/>
    <w:rsid w:val="004A221A"/>
    <w:rsid w:val="004A226B"/>
    <w:rsid w:val="004A229B"/>
    <w:rsid w:val="004A22B5"/>
    <w:rsid w:val="004A233E"/>
    <w:rsid w:val="004A2654"/>
    <w:rsid w:val="004A27FB"/>
    <w:rsid w:val="004A2AA4"/>
    <w:rsid w:val="004A2B66"/>
    <w:rsid w:val="004A2B74"/>
    <w:rsid w:val="004A2C1C"/>
    <w:rsid w:val="004A2C9B"/>
    <w:rsid w:val="004A2D27"/>
    <w:rsid w:val="004A2EAA"/>
    <w:rsid w:val="004A2FC2"/>
    <w:rsid w:val="004A2FEA"/>
    <w:rsid w:val="004A3234"/>
    <w:rsid w:val="004A3264"/>
    <w:rsid w:val="004A375B"/>
    <w:rsid w:val="004A37E2"/>
    <w:rsid w:val="004A37ED"/>
    <w:rsid w:val="004A385B"/>
    <w:rsid w:val="004A38A5"/>
    <w:rsid w:val="004A39C0"/>
    <w:rsid w:val="004A3A1D"/>
    <w:rsid w:val="004A3BD8"/>
    <w:rsid w:val="004A3BDE"/>
    <w:rsid w:val="004A3C6C"/>
    <w:rsid w:val="004A3CC1"/>
    <w:rsid w:val="004A3D0D"/>
    <w:rsid w:val="004A3DC9"/>
    <w:rsid w:val="004A3FF1"/>
    <w:rsid w:val="004A4317"/>
    <w:rsid w:val="004A43B9"/>
    <w:rsid w:val="004A4511"/>
    <w:rsid w:val="004A4523"/>
    <w:rsid w:val="004A465F"/>
    <w:rsid w:val="004A467F"/>
    <w:rsid w:val="004A4760"/>
    <w:rsid w:val="004A488E"/>
    <w:rsid w:val="004A494D"/>
    <w:rsid w:val="004A49B0"/>
    <w:rsid w:val="004A4B89"/>
    <w:rsid w:val="004A4BD3"/>
    <w:rsid w:val="004A4C75"/>
    <w:rsid w:val="004A4CA1"/>
    <w:rsid w:val="004A5044"/>
    <w:rsid w:val="004A504B"/>
    <w:rsid w:val="004A506F"/>
    <w:rsid w:val="004A5166"/>
    <w:rsid w:val="004A5174"/>
    <w:rsid w:val="004A51C0"/>
    <w:rsid w:val="004A5212"/>
    <w:rsid w:val="004A5213"/>
    <w:rsid w:val="004A529C"/>
    <w:rsid w:val="004A53AF"/>
    <w:rsid w:val="004A53BB"/>
    <w:rsid w:val="004A53DC"/>
    <w:rsid w:val="004A54CE"/>
    <w:rsid w:val="004A565E"/>
    <w:rsid w:val="004A5768"/>
    <w:rsid w:val="004A5856"/>
    <w:rsid w:val="004A5871"/>
    <w:rsid w:val="004A5A1B"/>
    <w:rsid w:val="004A5AED"/>
    <w:rsid w:val="004A5C1E"/>
    <w:rsid w:val="004A5C20"/>
    <w:rsid w:val="004A5D36"/>
    <w:rsid w:val="004A5E79"/>
    <w:rsid w:val="004A5E98"/>
    <w:rsid w:val="004A6143"/>
    <w:rsid w:val="004A618D"/>
    <w:rsid w:val="004A6205"/>
    <w:rsid w:val="004A63E3"/>
    <w:rsid w:val="004A6453"/>
    <w:rsid w:val="004A6484"/>
    <w:rsid w:val="004A649D"/>
    <w:rsid w:val="004A64F0"/>
    <w:rsid w:val="004A6800"/>
    <w:rsid w:val="004A6969"/>
    <w:rsid w:val="004A6B4A"/>
    <w:rsid w:val="004A6C61"/>
    <w:rsid w:val="004A6C9C"/>
    <w:rsid w:val="004A6D82"/>
    <w:rsid w:val="004A6E7E"/>
    <w:rsid w:val="004A6FB1"/>
    <w:rsid w:val="004A7087"/>
    <w:rsid w:val="004A713E"/>
    <w:rsid w:val="004A7415"/>
    <w:rsid w:val="004A7447"/>
    <w:rsid w:val="004A75B4"/>
    <w:rsid w:val="004A77CC"/>
    <w:rsid w:val="004A780C"/>
    <w:rsid w:val="004A79CC"/>
    <w:rsid w:val="004A7AEC"/>
    <w:rsid w:val="004A7B29"/>
    <w:rsid w:val="004A7C8D"/>
    <w:rsid w:val="004A7CB3"/>
    <w:rsid w:val="004A7CB4"/>
    <w:rsid w:val="004A7D28"/>
    <w:rsid w:val="004A7F9A"/>
    <w:rsid w:val="004B0053"/>
    <w:rsid w:val="004B0127"/>
    <w:rsid w:val="004B0174"/>
    <w:rsid w:val="004B036A"/>
    <w:rsid w:val="004B03D1"/>
    <w:rsid w:val="004B06C4"/>
    <w:rsid w:val="004B084D"/>
    <w:rsid w:val="004B0931"/>
    <w:rsid w:val="004B0B67"/>
    <w:rsid w:val="004B0C91"/>
    <w:rsid w:val="004B0F4D"/>
    <w:rsid w:val="004B0F72"/>
    <w:rsid w:val="004B11AD"/>
    <w:rsid w:val="004B1275"/>
    <w:rsid w:val="004B1280"/>
    <w:rsid w:val="004B1409"/>
    <w:rsid w:val="004B1441"/>
    <w:rsid w:val="004B145D"/>
    <w:rsid w:val="004B1682"/>
    <w:rsid w:val="004B1746"/>
    <w:rsid w:val="004B17C2"/>
    <w:rsid w:val="004B1893"/>
    <w:rsid w:val="004B18E6"/>
    <w:rsid w:val="004B18ED"/>
    <w:rsid w:val="004B1923"/>
    <w:rsid w:val="004B1A43"/>
    <w:rsid w:val="004B1D9F"/>
    <w:rsid w:val="004B2095"/>
    <w:rsid w:val="004B209C"/>
    <w:rsid w:val="004B229C"/>
    <w:rsid w:val="004B22ED"/>
    <w:rsid w:val="004B2323"/>
    <w:rsid w:val="004B24B1"/>
    <w:rsid w:val="004B251C"/>
    <w:rsid w:val="004B2534"/>
    <w:rsid w:val="004B28BB"/>
    <w:rsid w:val="004B2959"/>
    <w:rsid w:val="004B29BB"/>
    <w:rsid w:val="004B2A38"/>
    <w:rsid w:val="004B2B4B"/>
    <w:rsid w:val="004B2BBA"/>
    <w:rsid w:val="004B2E73"/>
    <w:rsid w:val="004B2E97"/>
    <w:rsid w:val="004B2EFF"/>
    <w:rsid w:val="004B2F60"/>
    <w:rsid w:val="004B2F79"/>
    <w:rsid w:val="004B3117"/>
    <w:rsid w:val="004B32B7"/>
    <w:rsid w:val="004B3306"/>
    <w:rsid w:val="004B332A"/>
    <w:rsid w:val="004B3332"/>
    <w:rsid w:val="004B3357"/>
    <w:rsid w:val="004B34E7"/>
    <w:rsid w:val="004B35D4"/>
    <w:rsid w:val="004B3672"/>
    <w:rsid w:val="004B36BA"/>
    <w:rsid w:val="004B36DD"/>
    <w:rsid w:val="004B3732"/>
    <w:rsid w:val="004B37AE"/>
    <w:rsid w:val="004B38C0"/>
    <w:rsid w:val="004B38E7"/>
    <w:rsid w:val="004B3A97"/>
    <w:rsid w:val="004B3BE5"/>
    <w:rsid w:val="004B3C06"/>
    <w:rsid w:val="004B3C1A"/>
    <w:rsid w:val="004B3D8E"/>
    <w:rsid w:val="004B3DB8"/>
    <w:rsid w:val="004B3E4B"/>
    <w:rsid w:val="004B3F3C"/>
    <w:rsid w:val="004B3FFF"/>
    <w:rsid w:val="004B4023"/>
    <w:rsid w:val="004B41A1"/>
    <w:rsid w:val="004B435F"/>
    <w:rsid w:val="004B43BA"/>
    <w:rsid w:val="004B43C8"/>
    <w:rsid w:val="004B4539"/>
    <w:rsid w:val="004B45B8"/>
    <w:rsid w:val="004B45E9"/>
    <w:rsid w:val="004B461D"/>
    <w:rsid w:val="004B4793"/>
    <w:rsid w:val="004B47A5"/>
    <w:rsid w:val="004B47FE"/>
    <w:rsid w:val="004B488B"/>
    <w:rsid w:val="004B4931"/>
    <w:rsid w:val="004B4AD3"/>
    <w:rsid w:val="004B4CA9"/>
    <w:rsid w:val="004B4D18"/>
    <w:rsid w:val="004B4DE9"/>
    <w:rsid w:val="004B4F6A"/>
    <w:rsid w:val="004B517D"/>
    <w:rsid w:val="004B52DA"/>
    <w:rsid w:val="004B52E9"/>
    <w:rsid w:val="004B5464"/>
    <w:rsid w:val="004B5470"/>
    <w:rsid w:val="004B54D8"/>
    <w:rsid w:val="004B55FC"/>
    <w:rsid w:val="004B58AA"/>
    <w:rsid w:val="004B58C2"/>
    <w:rsid w:val="004B5929"/>
    <w:rsid w:val="004B5AA0"/>
    <w:rsid w:val="004B5B0A"/>
    <w:rsid w:val="004B5B5A"/>
    <w:rsid w:val="004B5C16"/>
    <w:rsid w:val="004B5CEA"/>
    <w:rsid w:val="004B5D9E"/>
    <w:rsid w:val="004B5EA6"/>
    <w:rsid w:val="004B5EED"/>
    <w:rsid w:val="004B5F6E"/>
    <w:rsid w:val="004B5FBB"/>
    <w:rsid w:val="004B6028"/>
    <w:rsid w:val="004B6100"/>
    <w:rsid w:val="004B6254"/>
    <w:rsid w:val="004B62FB"/>
    <w:rsid w:val="004B63C4"/>
    <w:rsid w:val="004B6432"/>
    <w:rsid w:val="004B648B"/>
    <w:rsid w:val="004B665D"/>
    <w:rsid w:val="004B66BE"/>
    <w:rsid w:val="004B673A"/>
    <w:rsid w:val="004B68A0"/>
    <w:rsid w:val="004B691A"/>
    <w:rsid w:val="004B6B8F"/>
    <w:rsid w:val="004B6B93"/>
    <w:rsid w:val="004B6C68"/>
    <w:rsid w:val="004B6CE2"/>
    <w:rsid w:val="004B6DB0"/>
    <w:rsid w:val="004B6E85"/>
    <w:rsid w:val="004B6EFC"/>
    <w:rsid w:val="004B7003"/>
    <w:rsid w:val="004B702A"/>
    <w:rsid w:val="004B7123"/>
    <w:rsid w:val="004B7169"/>
    <w:rsid w:val="004B71ED"/>
    <w:rsid w:val="004B7258"/>
    <w:rsid w:val="004B72F2"/>
    <w:rsid w:val="004B7409"/>
    <w:rsid w:val="004B75FB"/>
    <w:rsid w:val="004B76FA"/>
    <w:rsid w:val="004B7764"/>
    <w:rsid w:val="004B77C6"/>
    <w:rsid w:val="004B7844"/>
    <w:rsid w:val="004B7878"/>
    <w:rsid w:val="004B7992"/>
    <w:rsid w:val="004B79EB"/>
    <w:rsid w:val="004B7AC2"/>
    <w:rsid w:val="004B7D39"/>
    <w:rsid w:val="004B7E86"/>
    <w:rsid w:val="004B7F85"/>
    <w:rsid w:val="004B7FA1"/>
    <w:rsid w:val="004C01AA"/>
    <w:rsid w:val="004C02D3"/>
    <w:rsid w:val="004C0578"/>
    <w:rsid w:val="004C061D"/>
    <w:rsid w:val="004C0744"/>
    <w:rsid w:val="004C076E"/>
    <w:rsid w:val="004C0904"/>
    <w:rsid w:val="004C0920"/>
    <w:rsid w:val="004C09E8"/>
    <w:rsid w:val="004C0A54"/>
    <w:rsid w:val="004C0B30"/>
    <w:rsid w:val="004C0B7A"/>
    <w:rsid w:val="004C0BFA"/>
    <w:rsid w:val="004C0C42"/>
    <w:rsid w:val="004C0DD0"/>
    <w:rsid w:val="004C0DF2"/>
    <w:rsid w:val="004C0E74"/>
    <w:rsid w:val="004C116E"/>
    <w:rsid w:val="004C11D3"/>
    <w:rsid w:val="004C13F1"/>
    <w:rsid w:val="004C14B5"/>
    <w:rsid w:val="004C1580"/>
    <w:rsid w:val="004C169A"/>
    <w:rsid w:val="004C16DC"/>
    <w:rsid w:val="004C17B0"/>
    <w:rsid w:val="004C17F9"/>
    <w:rsid w:val="004C186C"/>
    <w:rsid w:val="004C1874"/>
    <w:rsid w:val="004C19AB"/>
    <w:rsid w:val="004C1A6C"/>
    <w:rsid w:val="004C1ADA"/>
    <w:rsid w:val="004C1AF8"/>
    <w:rsid w:val="004C1B18"/>
    <w:rsid w:val="004C1C70"/>
    <w:rsid w:val="004C1CC0"/>
    <w:rsid w:val="004C1DE7"/>
    <w:rsid w:val="004C1E7A"/>
    <w:rsid w:val="004C2007"/>
    <w:rsid w:val="004C2091"/>
    <w:rsid w:val="004C20C3"/>
    <w:rsid w:val="004C21B6"/>
    <w:rsid w:val="004C22F3"/>
    <w:rsid w:val="004C254C"/>
    <w:rsid w:val="004C26FB"/>
    <w:rsid w:val="004C272D"/>
    <w:rsid w:val="004C275E"/>
    <w:rsid w:val="004C2896"/>
    <w:rsid w:val="004C28CF"/>
    <w:rsid w:val="004C2929"/>
    <w:rsid w:val="004C29F0"/>
    <w:rsid w:val="004C2A67"/>
    <w:rsid w:val="004C2AAE"/>
    <w:rsid w:val="004C2ADC"/>
    <w:rsid w:val="004C2B06"/>
    <w:rsid w:val="004C2B57"/>
    <w:rsid w:val="004C2B68"/>
    <w:rsid w:val="004C2D03"/>
    <w:rsid w:val="004C2D11"/>
    <w:rsid w:val="004C2E80"/>
    <w:rsid w:val="004C2FC1"/>
    <w:rsid w:val="004C331B"/>
    <w:rsid w:val="004C3462"/>
    <w:rsid w:val="004C3526"/>
    <w:rsid w:val="004C355A"/>
    <w:rsid w:val="004C35E9"/>
    <w:rsid w:val="004C3619"/>
    <w:rsid w:val="004C3787"/>
    <w:rsid w:val="004C388D"/>
    <w:rsid w:val="004C3972"/>
    <w:rsid w:val="004C3A3B"/>
    <w:rsid w:val="004C3A8A"/>
    <w:rsid w:val="004C3ADF"/>
    <w:rsid w:val="004C3B01"/>
    <w:rsid w:val="004C3CB1"/>
    <w:rsid w:val="004C3D4B"/>
    <w:rsid w:val="004C3EC1"/>
    <w:rsid w:val="004C3F79"/>
    <w:rsid w:val="004C419A"/>
    <w:rsid w:val="004C4332"/>
    <w:rsid w:val="004C43A0"/>
    <w:rsid w:val="004C4547"/>
    <w:rsid w:val="004C4A32"/>
    <w:rsid w:val="004C4A64"/>
    <w:rsid w:val="004C4CBB"/>
    <w:rsid w:val="004C4CF5"/>
    <w:rsid w:val="004C4D5F"/>
    <w:rsid w:val="004C4E14"/>
    <w:rsid w:val="004C4EE7"/>
    <w:rsid w:val="004C4F82"/>
    <w:rsid w:val="004C4FC6"/>
    <w:rsid w:val="004C4FE2"/>
    <w:rsid w:val="004C505B"/>
    <w:rsid w:val="004C513E"/>
    <w:rsid w:val="004C51D7"/>
    <w:rsid w:val="004C52D9"/>
    <w:rsid w:val="004C5365"/>
    <w:rsid w:val="004C53C1"/>
    <w:rsid w:val="004C5461"/>
    <w:rsid w:val="004C5530"/>
    <w:rsid w:val="004C5571"/>
    <w:rsid w:val="004C5573"/>
    <w:rsid w:val="004C567B"/>
    <w:rsid w:val="004C5823"/>
    <w:rsid w:val="004C582E"/>
    <w:rsid w:val="004C5878"/>
    <w:rsid w:val="004C58C6"/>
    <w:rsid w:val="004C595A"/>
    <w:rsid w:val="004C598E"/>
    <w:rsid w:val="004C59A8"/>
    <w:rsid w:val="004C59E4"/>
    <w:rsid w:val="004C5A0B"/>
    <w:rsid w:val="004C5A1D"/>
    <w:rsid w:val="004C5A33"/>
    <w:rsid w:val="004C5AC9"/>
    <w:rsid w:val="004C5AD3"/>
    <w:rsid w:val="004C5BEB"/>
    <w:rsid w:val="004C5BF2"/>
    <w:rsid w:val="004C5BF8"/>
    <w:rsid w:val="004C5E4F"/>
    <w:rsid w:val="004C5FF5"/>
    <w:rsid w:val="004C61A8"/>
    <w:rsid w:val="004C61CA"/>
    <w:rsid w:val="004C6369"/>
    <w:rsid w:val="004C64CF"/>
    <w:rsid w:val="004C6506"/>
    <w:rsid w:val="004C6530"/>
    <w:rsid w:val="004C6542"/>
    <w:rsid w:val="004C661D"/>
    <w:rsid w:val="004C6626"/>
    <w:rsid w:val="004C6662"/>
    <w:rsid w:val="004C66F5"/>
    <w:rsid w:val="004C6865"/>
    <w:rsid w:val="004C68CC"/>
    <w:rsid w:val="004C6B11"/>
    <w:rsid w:val="004C6BEC"/>
    <w:rsid w:val="004C6DCD"/>
    <w:rsid w:val="004C6E94"/>
    <w:rsid w:val="004C6EE0"/>
    <w:rsid w:val="004C7034"/>
    <w:rsid w:val="004C7061"/>
    <w:rsid w:val="004C708E"/>
    <w:rsid w:val="004C7269"/>
    <w:rsid w:val="004C72B7"/>
    <w:rsid w:val="004C72F9"/>
    <w:rsid w:val="004C74C9"/>
    <w:rsid w:val="004C75B0"/>
    <w:rsid w:val="004C772D"/>
    <w:rsid w:val="004C784C"/>
    <w:rsid w:val="004C7915"/>
    <w:rsid w:val="004C7941"/>
    <w:rsid w:val="004C7A3C"/>
    <w:rsid w:val="004C7AD8"/>
    <w:rsid w:val="004C7C95"/>
    <w:rsid w:val="004C7CEF"/>
    <w:rsid w:val="004C7E0E"/>
    <w:rsid w:val="004C7F2E"/>
    <w:rsid w:val="004C7F42"/>
    <w:rsid w:val="004C7F48"/>
    <w:rsid w:val="004C7F87"/>
    <w:rsid w:val="004C7F96"/>
    <w:rsid w:val="004C7FAA"/>
    <w:rsid w:val="004D0039"/>
    <w:rsid w:val="004D0116"/>
    <w:rsid w:val="004D0204"/>
    <w:rsid w:val="004D0255"/>
    <w:rsid w:val="004D03DA"/>
    <w:rsid w:val="004D0406"/>
    <w:rsid w:val="004D04D9"/>
    <w:rsid w:val="004D04FD"/>
    <w:rsid w:val="004D05FE"/>
    <w:rsid w:val="004D0618"/>
    <w:rsid w:val="004D0656"/>
    <w:rsid w:val="004D07B4"/>
    <w:rsid w:val="004D07EC"/>
    <w:rsid w:val="004D0868"/>
    <w:rsid w:val="004D086E"/>
    <w:rsid w:val="004D0A41"/>
    <w:rsid w:val="004D0C35"/>
    <w:rsid w:val="004D0D16"/>
    <w:rsid w:val="004D0D4C"/>
    <w:rsid w:val="004D0ECE"/>
    <w:rsid w:val="004D109B"/>
    <w:rsid w:val="004D113A"/>
    <w:rsid w:val="004D1225"/>
    <w:rsid w:val="004D1251"/>
    <w:rsid w:val="004D1277"/>
    <w:rsid w:val="004D12CA"/>
    <w:rsid w:val="004D1321"/>
    <w:rsid w:val="004D1372"/>
    <w:rsid w:val="004D137C"/>
    <w:rsid w:val="004D1528"/>
    <w:rsid w:val="004D15E3"/>
    <w:rsid w:val="004D1948"/>
    <w:rsid w:val="004D1994"/>
    <w:rsid w:val="004D19F1"/>
    <w:rsid w:val="004D1C10"/>
    <w:rsid w:val="004D1CD5"/>
    <w:rsid w:val="004D1E37"/>
    <w:rsid w:val="004D1F51"/>
    <w:rsid w:val="004D22B7"/>
    <w:rsid w:val="004D23C0"/>
    <w:rsid w:val="004D24BF"/>
    <w:rsid w:val="004D255E"/>
    <w:rsid w:val="004D2571"/>
    <w:rsid w:val="004D2648"/>
    <w:rsid w:val="004D2711"/>
    <w:rsid w:val="004D274A"/>
    <w:rsid w:val="004D2860"/>
    <w:rsid w:val="004D28D6"/>
    <w:rsid w:val="004D2A49"/>
    <w:rsid w:val="004D2A4C"/>
    <w:rsid w:val="004D2ACC"/>
    <w:rsid w:val="004D2BEF"/>
    <w:rsid w:val="004D2C5F"/>
    <w:rsid w:val="004D2D4A"/>
    <w:rsid w:val="004D2D8A"/>
    <w:rsid w:val="004D2EC6"/>
    <w:rsid w:val="004D2FC0"/>
    <w:rsid w:val="004D3084"/>
    <w:rsid w:val="004D3189"/>
    <w:rsid w:val="004D31D7"/>
    <w:rsid w:val="004D3270"/>
    <w:rsid w:val="004D327D"/>
    <w:rsid w:val="004D3303"/>
    <w:rsid w:val="004D3334"/>
    <w:rsid w:val="004D336A"/>
    <w:rsid w:val="004D34BB"/>
    <w:rsid w:val="004D3560"/>
    <w:rsid w:val="004D35B8"/>
    <w:rsid w:val="004D365C"/>
    <w:rsid w:val="004D365E"/>
    <w:rsid w:val="004D3771"/>
    <w:rsid w:val="004D37BA"/>
    <w:rsid w:val="004D37CA"/>
    <w:rsid w:val="004D37D6"/>
    <w:rsid w:val="004D385E"/>
    <w:rsid w:val="004D38F6"/>
    <w:rsid w:val="004D39FC"/>
    <w:rsid w:val="004D3B4D"/>
    <w:rsid w:val="004D3BAD"/>
    <w:rsid w:val="004D3BFF"/>
    <w:rsid w:val="004D3CCB"/>
    <w:rsid w:val="004D3D2D"/>
    <w:rsid w:val="004D3E92"/>
    <w:rsid w:val="004D3F41"/>
    <w:rsid w:val="004D3F42"/>
    <w:rsid w:val="004D4044"/>
    <w:rsid w:val="004D40C3"/>
    <w:rsid w:val="004D412B"/>
    <w:rsid w:val="004D4228"/>
    <w:rsid w:val="004D4238"/>
    <w:rsid w:val="004D42C6"/>
    <w:rsid w:val="004D4348"/>
    <w:rsid w:val="004D44AC"/>
    <w:rsid w:val="004D45F2"/>
    <w:rsid w:val="004D460E"/>
    <w:rsid w:val="004D4A42"/>
    <w:rsid w:val="004D4B17"/>
    <w:rsid w:val="004D4C27"/>
    <w:rsid w:val="004D4CCD"/>
    <w:rsid w:val="004D4E1F"/>
    <w:rsid w:val="004D4E20"/>
    <w:rsid w:val="004D4E9B"/>
    <w:rsid w:val="004D4F55"/>
    <w:rsid w:val="004D4F66"/>
    <w:rsid w:val="004D50A4"/>
    <w:rsid w:val="004D52EB"/>
    <w:rsid w:val="004D5316"/>
    <w:rsid w:val="004D539C"/>
    <w:rsid w:val="004D5438"/>
    <w:rsid w:val="004D54A7"/>
    <w:rsid w:val="004D54C1"/>
    <w:rsid w:val="004D54F7"/>
    <w:rsid w:val="004D5729"/>
    <w:rsid w:val="004D574D"/>
    <w:rsid w:val="004D587E"/>
    <w:rsid w:val="004D5943"/>
    <w:rsid w:val="004D59D8"/>
    <w:rsid w:val="004D5A8A"/>
    <w:rsid w:val="004D5B5A"/>
    <w:rsid w:val="004D5C75"/>
    <w:rsid w:val="004D5C8A"/>
    <w:rsid w:val="004D5C9B"/>
    <w:rsid w:val="004D5CB7"/>
    <w:rsid w:val="004D5D27"/>
    <w:rsid w:val="004D5DED"/>
    <w:rsid w:val="004D5E94"/>
    <w:rsid w:val="004D60BF"/>
    <w:rsid w:val="004D60D4"/>
    <w:rsid w:val="004D6245"/>
    <w:rsid w:val="004D62E3"/>
    <w:rsid w:val="004D635B"/>
    <w:rsid w:val="004D639C"/>
    <w:rsid w:val="004D63D0"/>
    <w:rsid w:val="004D63D4"/>
    <w:rsid w:val="004D6511"/>
    <w:rsid w:val="004D6515"/>
    <w:rsid w:val="004D66A0"/>
    <w:rsid w:val="004D68D9"/>
    <w:rsid w:val="004D69B1"/>
    <w:rsid w:val="004D6A94"/>
    <w:rsid w:val="004D6B26"/>
    <w:rsid w:val="004D6B89"/>
    <w:rsid w:val="004D6C12"/>
    <w:rsid w:val="004D6C1B"/>
    <w:rsid w:val="004D6C51"/>
    <w:rsid w:val="004D6D8F"/>
    <w:rsid w:val="004D6DB4"/>
    <w:rsid w:val="004D6EAC"/>
    <w:rsid w:val="004D70E2"/>
    <w:rsid w:val="004D7182"/>
    <w:rsid w:val="004D718D"/>
    <w:rsid w:val="004D71BB"/>
    <w:rsid w:val="004D71F1"/>
    <w:rsid w:val="004D7244"/>
    <w:rsid w:val="004D72DF"/>
    <w:rsid w:val="004D73E3"/>
    <w:rsid w:val="004D7406"/>
    <w:rsid w:val="004D7415"/>
    <w:rsid w:val="004D76E4"/>
    <w:rsid w:val="004D77F0"/>
    <w:rsid w:val="004D78E6"/>
    <w:rsid w:val="004D7924"/>
    <w:rsid w:val="004D7974"/>
    <w:rsid w:val="004D7AB5"/>
    <w:rsid w:val="004D7BAC"/>
    <w:rsid w:val="004D7C14"/>
    <w:rsid w:val="004D7C96"/>
    <w:rsid w:val="004D7CCD"/>
    <w:rsid w:val="004D7D27"/>
    <w:rsid w:val="004D7DA1"/>
    <w:rsid w:val="004D7DA5"/>
    <w:rsid w:val="004D7F14"/>
    <w:rsid w:val="004D7F30"/>
    <w:rsid w:val="004E0019"/>
    <w:rsid w:val="004E0028"/>
    <w:rsid w:val="004E00BB"/>
    <w:rsid w:val="004E0120"/>
    <w:rsid w:val="004E0175"/>
    <w:rsid w:val="004E018D"/>
    <w:rsid w:val="004E01DD"/>
    <w:rsid w:val="004E03CD"/>
    <w:rsid w:val="004E03DC"/>
    <w:rsid w:val="004E03F5"/>
    <w:rsid w:val="004E03FD"/>
    <w:rsid w:val="004E04F6"/>
    <w:rsid w:val="004E05ED"/>
    <w:rsid w:val="004E061A"/>
    <w:rsid w:val="004E07C9"/>
    <w:rsid w:val="004E0807"/>
    <w:rsid w:val="004E080B"/>
    <w:rsid w:val="004E085A"/>
    <w:rsid w:val="004E087C"/>
    <w:rsid w:val="004E0979"/>
    <w:rsid w:val="004E0A62"/>
    <w:rsid w:val="004E0A67"/>
    <w:rsid w:val="004E0C2C"/>
    <w:rsid w:val="004E0F4C"/>
    <w:rsid w:val="004E100D"/>
    <w:rsid w:val="004E11FD"/>
    <w:rsid w:val="004E1292"/>
    <w:rsid w:val="004E12E7"/>
    <w:rsid w:val="004E158C"/>
    <w:rsid w:val="004E15F2"/>
    <w:rsid w:val="004E1759"/>
    <w:rsid w:val="004E17D5"/>
    <w:rsid w:val="004E19C8"/>
    <w:rsid w:val="004E1A25"/>
    <w:rsid w:val="004E1A3B"/>
    <w:rsid w:val="004E1A55"/>
    <w:rsid w:val="004E1B42"/>
    <w:rsid w:val="004E1B82"/>
    <w:rsid w:val="004E1C2E"/>
    <w:rsid w:val="004E1C4E"/>
    <w:rsid w:val="004E1EBF"/>
    <w:rsid w:val="004E201E"/>
    <w:rsid w:val="004E2068"/>
    <w:rsid w:val="004E2094"/>
    <w:rsid w:val="004E20FA"/>
    <w:rsid w:val="004E2117"/>
    <w:rsid w:val="004E21B3"/>
    <w:rsid w:val="004E2313"/>
    <w:rsid w:val="004E2396"/>
    <w:rsid w:val="004E240C"/>
    <w:rsid w:val="004E244D"/>
    <w:rsid w:val="004E24AF"/>
    <w:rsid w:val="004E2541"/>
    <w:rsid w:val="004E2584"/>
    <w:rsid w:val="004E26E1"/>
    <w:rsid w:val="004E2827"/>
    <w:rsid w:val="004E285C"/>
    <w:rsid w:val="004E28CB"/>
    <w:rsid w:val="004E2C35"/>
    <w:rsid w:val="004E2D51"/>
    <w:rsid w:val="004E2DCE"/>
    <w:rsid w:val="004E3007"/>
    <w:rsid w:val="004E3014"/>
    <w:rsid w:val="004E307A"/>
    <w:rsid w:val="004E31F7"/>
    <w:rsid w:val="004E3204"/>
    <w:rsid w:val="004E3303"/>
    <w:rsid w:val="004E34E8"/>
    <w:rsid w:val="004E3595"/>
    <w:rsid w:val="004E364A"/>
    <w:rsid w:val="004E36AE"/>
    <w:rsid w:val="004E3731"/>
    <w:rsid w:val="004E388D"/>
    <w:rsid w:val="004E389E"/>
    <w:rsid w:val="004E3922"/>
    <w:rsid w:val="004E3B03"/>
    <w:rsid w:val="004E3B94"/>
    <w:rsid w:val="004E3C02"/>
    <w:rsid w:val="004E3C8F"/>
    <w:rsid w:val="004E3CDC"/>
    <w:rsid w:val="004E3D14"/>
    <w:rsid w:val="004E3D7B"/>
    <w:rsid w:val="004E3E86"/>
    <w:rsid w:val="004E3EFF"/>
    <w:rsid w:val="004E3F59"/>
    <w:rsid w:val="004E3FF0"/>
    <w:rsid w:val="004E4011"/>
    <w:rsid w:val="004E40DB"/>
    <w:rsid w:val="004E41F3"/>
    <w:rsid w:val="004E428D"/>
    <w:rsid w:val="004E42D8"/>
    <w:rsid w:val="004E439F"/>
    <w:rsid w:val="004E4440"/>
    <w:rsid w:val="004E4447"/>
    <w:rsid w:val="004E4553"/>
    <w:rsid w:val="004E4561"/>
    <w:rsid w:val="004E464C"/>
    <w:rsid w:val="004E4674"/>
    <w:rsid w:val="004E46C8"/>
    <w:rsid w:val="004E4759"/>
    <w:rsid w:val="004E47FD"/>
    <w:rsid w:val="004E4840"/>
    <w:rsid w:val="004E48BD"/>
    <w:rsid w:val="004E48CD"/>
    <w:rsid w:val="004E49D2"/>
    <w:rsid w:val="004E4DC1"/>
    <w:rsid w:val="004E4E48"/>
    <w:rsid w:val="004E4ED6"/>
    <w:rsid w:val="004E4F28"/>
    <w:rsid w:val="004E4F59"/>
    <w:rsid w:val="004E503B"/>
    <w:rsid w:val="004E51E7"/>
    <w:rsid w:val="004E5205"/>
    <w:rsid w:val="004E5208"/>
    <w:rsid w:val="004E5253"/>
    <w:rsid w:val="004E54D0"/>
    <w:rsid w:val="004E5508"/>
    <w:rsid w:val="004E56A2"/>
    <w:rsid w:val="004E56F8"/>
    <w:rsid w:val="004E5944"/>
    <w:rsid w:val="004E5946"/>
    <w:rsid w:val="004E5A80"/>
    <w:rsid w:val="004E5A83"/>
    <w:rsid w:val="004E5C53"/>
    <w:rsid w:val="004E5D59"/>
    <w:rsid w:val="004E5DCB"/>
    <w:rsid w:val="004E5F29"/>
    <w:rsid w:val="004E5F36"/>
    <w:rsid w:val="004E5F80"/>
    <w:rsid w:val="004E5FCA"/>
    <w:rsid w:val="004E6079"/>
    <w:rsid w:val="004E6160"/>
    <w:rsid w:val="004E6200"/>
    <w:rsid w:val="004E6680"/>
    <w:rsid w:val="004E66C8"/>
    <w:rsid w:val="004E67B8"/>
    <w:rsid w:val="004E67F6"/>
    <w:rsid w:val="004E685B"/>
    <w:rsid w:val="004E68FB"/>
    <w:rsid w:val="004E69A5"/>
    <w:rsid w:val="004E69E8"/>
    <w:rsid w:val="004E6A5C"/>
    <w:rsid w:val="004E6AC0"/>
    <w:rsid w:val="004E6D62"/>
    <w:rsid w:val="004E6ED4"/>
    <w:rsid w:val="004E6F5D"/>
    <w:rsid w:val="004E6F77"/>
    <w:rsid w:val="004E700B"/>
    <w:rsid w:val="004E7168"/>
    <w:rsid w:val="004E71DE"/>
    <w:rsid w:val="004E7212"/>
    <w:rsid w:val="004E7229"/>
    <w:rsid w:val="004E7250"/>
    <w:rsid w:val="004E72DE"/>
    <w:rsid w:val="004E739B"/>
    <w:rsid w:val="004E73CA"/>
    <w:rsid w:val="004E73D8"/>
    <w:rsid w:val="004E73F0"/>
    <w:rsid w:val="004E74D3"/>
    <w:rsid w:val="004E75E4"/>
    <w:rsid w:val="004E75FD"/>
    <w:rsid w:val="004E7699"/>
    <w:rsid w:val="004E76D3"/>
    <w:rsid w:val="004E7800"/>
    <w:rsid w:val="004E780F"/>
    <w:rsid w:val="004E7814"/>
    <w:rsid w:val="004E7871"/>
    <w:rsid w:val="004E7C25"/>
    <w:rsid w:val="004E7C92"/>
    <w:rsid w:val="004E7FC8"/>
    <w:rsid w:val="004F002D"/>
    <w:rsid w:val="004F00C4"/>
    <w:rsid w:val="004F01A1"/>
    <w:rsid w:val="004F0200"/>
    <w:rsid w:val="004F0262"/>
    <w:rsid w:val="004F0402"/>
    <w:rsid w:val="004F0433"/>
    <w:rsid w:val="004F044C"/>
    <w:rsid w:val="004F04B2"/>
    <w:rsid w:val="004F04CD"/>
    <w:rsid w:val="004F04FD"/>
    <w:rsid w:val="004F057A"/>
    <w:rsid w:val="004F057C"/>
    <w:rsid w:val="004F0765"/>
    <w:rsid w:val="004F079E"/>
    <w:rsid w:val="004F0829"/>
    <w:rsid w:val="004F082B"/>
    <w:rsid w:val="004F09B8"/>
    <w:rsid w:val="004F09D6"/>
    <w:rsid w:val="004F0A1A"/>
    <w:rsid w:val="004F0C73"/>
    <w:rsid w:val="004F0C8C"/>
    <w:rsid w:val="004F0CD6"/>
    <w:rsid w:val="004F0D0B"/>
    <w:rsid w:val="004F0EAA"/>
    <w:rsid w:val="004F0EFD"/>
    <w:rsid w:val="004F0F19"/>
    <w:rsid w:val="004F102E"/>
    <w:rsid w:val="004F10C3"/>
    <w:rsid w:val="004F11C5"/>
    <w:rsid w:val="004F11D3"/>
    <w:rsid w:val="004F1321"/>
    <w:rsid w:val="004F139B"/>
    <w:rsid w:val="004F147F"/>
    <w:rsid w:val="004F14FB"/>
    <w:rsid w:val="004F1547"/>
    <w:rsid w:val="004F15AC"/>
    <w:rsid w:val="004F1693"/>
    <w:rsid w:val="004F16AD"/>
    <w:rsid w:val="004F16E7"/>
    <w:rsid w:val="004F1747"/>
    <w:rsid w:val="004F183E"/>
    <w:rsid w:val="004F1904"/>
    <w:rsid w:val="004F1978"/>
    <w:rsid w:val="004F19FB"/>
    <w:rsid w:val="004F1B2D"/>
    <w:rsid w:val="004F1BC9"/>
    <w:rsid w:val="004F1C5C"/>
    <w:rsid w:val="004F1CF1"/>
    <w:rsid w:val="004F1DA1"/>
    <w:rsid w:val="004F1EA3"/>
    <w:rsid w:val="004F20B7"/>
    <w:rsid w:val="004F247A"/>
    <w:rsid w:val="004F251E"/>
    <w:rsid w:val="004F2595"/>
    <w:rsid w:val="004F25A7"/>
    <w:rsid w:val="004F260F"/>
    <w:rsid w:val="004F2666"/>
    <w:rsid w:val="004F26D5"/>
    <w:rsid w:val="004F278A"/>
    <w:rsid w:val="004F28DE"/>
    <w:rsid w:val="004F2937"/>
    <w:rsid w:val="004F2A6D"/>
    <w:rsid w:val="004F2B25"/>
    <w:rsid w:val="004F2BA9"/>
    <w:rsid w:val="004F2C96"/>
    <w:rsid w:val="004F2D12"/>
    <w:rsid w:val="004F2E6B"/>
    <w:rsid w:val="004F2E6D"/>
    <w:rsid w:val="004F2EBD"/>
    <w:rsid w:val="004F2F59"/>
    <w:rsid w:val="004F2F88"/>
    <w:rsid w:val="004F2FFA"/>
    <w:rsid w:val="004F305F"/>
    <w:rsid w:val="004F3066"/>
    <w:rsid w:val="004F3131"/>
    <w:rsid w:val="004F31AD"/>
    <w:rsid w:val="004F31BE"/>
    <w:rsid w:val="004F31EC"/>
    <w:rsid w:val="004F33F9"/>
    <w:rsid w:val="004F3489"/>
    <w:rsid w:val="004F34E0"/>
    <w:rsid w:val="004F34EA"/>
    <w:rsid w:val="004F3504"/>
    <w:rsid w:val="004F3583"/>
    <w:rsid w:val="004F3912"/>
    <w:rsid w:val="004F3970"/>
    <w:rsid w:val="004F3A57"/>
    <w:rsid w:val="004F3CF5"/>
    <w:rsid w:val="004F3D79"/>
    <w:rsid w:val="004F3E64"/>
    <w:rsid w:val="004F3EC2"/>
    <w:rsid w:val="004F3F2C"/>
    <w:rsid w:val="004F4007"/>
    <w:rsid w:val="004F4058"/>
    <w:rsid w:val="004F405E"/>
    <w:rsid w:val="004F4154"/>
    <w:rsid w:val="004F417B"/>
    <w:rsid w:val="004F4329"/>
    <w:rsid w:val="004F436B"/>
    <w:rsid w:val="004F43B6"/>
    <w:rsid w:val="004F43DE"/>
    <w:rsid w:val="004F443D"/>
    <w:rsid w:val="004F4455"/>
    <w:rsid w:val="004F44B5"/>
    <w:rsid w:val="004F44FE"/>
    <w:rsid w:val="004F4600"/>
    <w:rsid w:val="004F4647"/>
    <w:rsid w:val="004F472D"/>
    <w:rsid w:val="004F47CE"/>
    <w:rsid w:val="004F4804"/>
    <w:rsid w:val="004F4831"/>
    <w:rsid w:val="004F484B"/>
    <w:rsid w:val="004F489F"/>
    <w:rsid w:val="004F49B9"/>
    <w:rsid w:val="004F4B11"/>
    <w:rsid w:val="004F4B5A"/>
    <w:rsid w:val="004F4BB4"/>
    <w:rsid w:val="004F4CB0"/>
    <w:rsid w:val="004F4CDE"/>
    <w:rsid w:val="004F4D54"/>
    <w:rsid w:val="004F4E0B"/>
    <w:rsid w:val="004F4E82"/>
    <w:rsid w:val="004F5023"/>
    <w:rsid w:val="004F51E8"/>
    <w:rsid w:val="004F52D9"/>
    <w:rsid w:val="004F532B"/>
    <w:rsid w:val="004F54D9"/>
    <w:rsid w:val="004F5510"/>
    <w:rsid w:val="004F55A7"/>
    <w:rsid w:val="004F55C0"/>
    <w:rsid w:val="004F5607"/>
    <w:rsid w:val="004F5705"/>
    <w:rsid w:val="004F571D"/>
    <w:rsid w:val="004F57DE"/>
    <w:rsid w:val="004F580C"/>
    <w:rsid w:val="004F58DB"/>
    <w:rsid w:val="004F59A3"/>
    <w:rsid w:val="004F5AA2"/>
    <w:rsid w:val="004F5C7A"/>
    <w:rsid w:val="004F5CA9"/>
    <w:rsid w:val="004F5E1A"/>
    <w:rsid w:val="004F5EC7"/>
    <w:rsid w:val="004F5F2B"/>
    <w:rsid w:val="004F5FB2"/>
    <w:rsid w:val="004F5FCD"/>
    <w:rsid w:val="004F603C"/>
    <w:rsid w:val="004F6425"/>
    <w:rsid w:val="004F6453"/>
    <w:rsid w:val="004F6565"/>
    <w:rsid w:val="004F6776"/>
    <w:rsid w:val="004F677A"/>
    <w:rsid w:val="004F67D7"/>
    <w:rsid w:val="004F683A"/>
    <w:rsid w:val="004F68BA"/>
    <w:rsid w:val="004F68C1"/>
    <w:rsid w:val="004F6921"/>
    <w:rsid w:val="004F6933"/>
    <w:rsid w:val="004F6A0A"/>
    <w:rsid w:val="004F6B14"/>
    <w:rsid w:val="004F6B41"/>
    <w:rsid w:val="004F6B76"/>
    <w:rsid w:val="004F6BB9"/>
    <w:rsid w:val="004F6C72"/>
    <w:rsid w:val="004F6E4F"/>
    <w:rsid w:val="004F6EEB"/>
    <w:rsid w:val="004F70B9"/>
    <w:rsid w:val="004F72B9"/>
    <w:rsid w:val="004F73ED"/>
    <w:rsid w:val="004F747F"/>
    <w:rsid w:val="004F7491"/>
    <w:rsid w:val="004F74EE"/>
    <w:rsid w:val="004F7587"/>
    <w:rsid w:val="004F75A1"/>
    <w:rsid w:val="004F766F"/>
    <w:rsid w:val="004F76A0"/>
    <w:rsid w:val="004F7754"/>
    <w:rsid w:val="004F77B2"/>
    <w:rsid w:val="004F78C9"/>
    <w:rsid w:val="004F796C"/>
    <w:rsid w:val="004F796D"/>
    <w:rsid w:val="004F79B2"/>
    <w:rsid w:val="004F7BA9"/>
    <w:rsid w:val="004F7BEB"/>
    <w:rsid w:val="004F7D42"/>
    <w:rsid w:val="004F7DD6"/>
    <w:rsid w:val="004F7E2C"/>
    <w:rsid w:val="004F7E35"/>
    <w:rsid w:val="004F7EDD"/>
    <w:rsid w:val="004F7F3E"/>
    <w:rsid w:val="004F7FD5"/>
    <w:rsid w:val="004F7FED"/>
    <w:rsid w:val="004F7FFD"/>
    <w:rsid w:val="00500159"/>
    <w:rsid w:val="0050017D"/>
    <w:rsid w:val="00500197"/>
    <w:rsid w:val="005001B4"/>
    <w:rsid w:val="0050029E"/>
    <w:rsid w:val="00500307"/>
    <w:rsid w:val="005003AC"/>
    <w:rsid w:val="00500470"/>
    <w:rsid w:val="0050063E"/>
    <w:rsid w:val="00500772"/>
    <w:rsid w:val="00500ABE"/>
    <w:rsid w:val="00500BAB"/>
    <w:rsid w:val="00500CD2"/>
    <w:rsid w:val="00500D3B"/>
    <w:rsid w:val="00500D6B"/>
    <w:rsid w:val="00500DA1"/>
    <w:rsid w:val="00500DCD"/>
    <w:rsid w:val="00500E83"/>
    <w:rsid w:val="00500EE6"/>
    <w:rsid w:val="00500F59"/>
    <w:rsid w:val="00501045"/>
    <w:rsid w:val="0050111C"/>
    <w:rsid w:val="0050113C"/>
    <w:rsid w:val="0050118B"/>
    <w:rsid w:val="005012E5"/>
    <w:rsid w:val="005012FE"/>
    <w:rsid w:val="0050130D"/>
    <w:rsid w:val="0050152D"/>
    <w:rsid w:val="0050156C"/>
    <w:rsid w:val="00501620"/>
    <w:rsid w:val="00501646"/>
    <w:rsid w:val="00501675"/>
    <w:rsid w:val="0050169F"/>
    <w:rsid w:val="005016F9"/>
    <w:rsid w:val="005017AB"/>
    <w:rsid w:val="005017CE"/>
    <w:rsid w:val="00501B35"/>
    <w:rsid w:val="00501B9D"/>
    <w:rsid w:val="00501BF1"/>
    <w:rsid w:val="00501C38"/>
    <w:rsid w:val="00501CBC"/>
    <w:rsid w:val="00501DDF"/>
    <w:rsid w:val="00501E05"/>
    <w:rsid w:val="005020A5"/>
    <w:rsid w:val="005020C6"/>
    <w:rsid w:val="005021B2"/>
    <w:rsid w:val="005021E7"/>
    <w:rsid w:val="005021EF"/>
    <w:rsid w:val="005022BC"/>
    <w:rsid w:val="005022DA"/>
    <w:rsid w:val="0050242C"/>
    <w:rsid w:val="00502552"/>
    <w:rsid w:val="005025CA"/>
    <w:rsid w:val="00502617"/>
    <w:rsid w:val="0050262E"/>
    <w:rsid w:val="00502689"/>
    <w:rsid w:val="00502827"/>
    <w:rsid w:val="005029DB"/>
    <w:rsid w:val="00502A52"/>
    <w:rsid w:val="00502A55"/>
    <w:rsid w:val="00502ABA"/>
    <w:rsid w:val="00502CF0"/>
    <w:rsid w:val="00502E02"/>
    <w:rsid w:val="00502E52"/>
    <w:rsid w:val="00502F44"/>
    <w:rsid w:val="00502FA3"/>
    <w:rsid w:val="00503060"/>
    <w:rsid w:val="0050307A"/>
    <w:rsid w:val="005031B8"/>
    <w:rsid w:val="005032CC"/>
    <w:rsid w:val="005032D4"/>
    <w:rsid w:val="00503418"/>
    <w:rsid w:val="005035FC"/>
    <w:rsid w:val="0050366B"/>
    <w:rsid w:val="0050369F"/>
    <w:rsid w:val="005036C4"/>
    <w:rsid w:val="00503702"/>
    <w:rsid w:val="005038BC"/>
    <w:rsid w:val="00503940"/>
    <w:rsid w:val="00503AD3"/>
    <w:rsid w:val="00503B2C"/>
    <w:rsid w:val="00503BC2"/>
    <w:rsid w:val="00503E9B"/>
    <w:rsid w:val="00503EF3"/>
    <w:rsid w:val="00503FA0"/>
    <w:rsid w:val="00504030"/>
    <w:rsid w:val="005040CE"/>
    <w:rsid w:val="005040D6"/>
    <w:rsid w:val="00504111"/>
    <w:rsid w:val="0050411C"/>
    <w:rsid w:val="00504194"/>
    <w:rsid w:val="005041CC"/>
    <w:rsid w:val="00504395"/>
    <w:rsid w:val="005043F6"/>
    <w:rsid w:val="005044BD"/>
    <w:rsid w:val="005044C9"/>
    <w:rsid w:val="0050451C"/>
    <w:rsid w:val="00504582"/>
    <w:rsid w:val="0050458C"/>
    <w:rsid w:val="005046A6"/>
    <w:rsid w:val="0050471B"/>
    <w:rsid w:val="0050478B"/>
    <w:rsid w:val="005047C8"/>
    <w:rsid w:val="005048BC"/>
    <w:rsid w:val="005048CB"/>
    <w:rsid w:val="005048D9"/>
    <w:rsid w:val="00504A22"/>
    <w:rsid w:val="00504A66"/>
    <w:rsid w:val="00504A73"/>
    <w:rsid w:val="00504B93"/>
    <w:rsid w:val="00504C78"/>
    <w:rsid w:val="00504EB9"/>
    <w:rsid w:val="00505053"/>
    <w:rsid w:val="005050B0"/>
    <w:rsid w:val="0050516F"/>
    <w:rsid w:val="005051B7"/>
    <w:rsid w:val="005052C9"/>
    <w:rsid w:val="005053BA"/>
    <w:rsid w:val="00505402"/>
    <w:rsid w:val="0050546C"/>
    <w:rsid w:val="0050554F"/>
    <w:rsid w:val="005055EC"/>
    <w:rsid w:val="005055FE"/>
    <w:rsid w:val="00505645"/>
    <w:rsid w:val="005056B7"/>
    <w:rsid w:val="005057A9"/>
    <w:rsid w:val="0050580C"/>
    <w:rsid w:val="005059D3"/>
    <w:rsid w:val="00505C05"/>
    <w:rsid w:val="00505C16"/>
    <w:rsid w:val="00505C70"/>
    <w:rsid w:val="00505CF1"/>
    <w:rsid w:val="00505D3E"/>
    <w:rsid w:val="00505DE0"/>
    <w:rsid w:val="00505E98"/>
    <w:rsid w:val="00505FBA"/>
    <w:rsid w:val="0050608B"/>
    <w:rsid w:val="005061BE"/>
    <w:rsid w:val="005061DE"/>
    <w:rsid w:val="005061ED"/>
    <w:rsid w:val="0050625D"/>
    <w:rsid w:val="0050626D"/>
    <w:rsid w:val="00506323"/>
    <w:rsid w:val="0050649A"/>
    <w:rsid w:val="005064FB"/>
    <w:rsid w:val="00506701"/>
    <w:rsid w:val="00506852"/>
    <w:rsid w:val="005068EE"/>
    <w:rsid w:val="00506964"/>
    <w:rsid w:val="005069C5"/>
    <w:rsid w:val="00506B4C"/>
    <w:rsid w:val="00506B58"/>
    <w:rsid w:val="00506CF2"/>
    <w:rsid w:val="00506D0F"/>
    <w:rsid w:val="00506D1B"/>
    <w:rsid w:val="00506D7D"/>
    <w:rsid w:val="00506DA8"/>
    <w:rsid w:val="00506DD6"/>
    <w:rsid w:val="00506E3C"/>
    <w:rsid w:val="0050709F"/>
    <w:rsid w:val="005070D1"/>
    <w:rsid w:val="0050715B"/>
    <w:rsid w:val="0050720B"/>
    <w:rsid w:val="00507237"/>
    <w:rsid w:val="00507284"/>
    <w:rsid w:val="0050730A"/>
    <w:rsid w:val="00507415"/>
    <w:rsid w:val="0050742D"/>
    <w:rsid w:val="00507452"/>
    <w:rsid w:val="005075DA"/>
    <w:rsid w:val="005075E7"/>
    <w:rsid w:val="00507611"/>
    <w:rsid w:val="0050767B"/>
    <w:rsid w:val="00507682"/>
    <w:rsid w:val="0050769E"/>
    <w:rsid w:val="005076FF"/>
    <w:rsid w:val="00507744"/>
    <w:rsid w:val="005078D8"/>
    <w:rsid w:val="00507907"/>
    <w:rsid w:val="00507919"/>
    <w:rsid w:val="00507BAC"/>
    <w:rsid w:val="00507BB0"/>
    <w:rsid w:val="00507CA8"/>
    <w:rsid w:val="00507D3A"/>
    <w:rsid w:val="00507D52"/>
    <w:rsid w:val="00507D78"/>
    <w:rsid w:val="00507EC0"/>
    <w:rsid w:val="00507F32"/>
    <w:rsid w:val="00507FED"/>
    <w:rsid w:val="0051002E"/>
    <w:rsid w:val="00510183"/>
    <w:rsid w:val="005103A3"/>
    <w:rsid w:val="005103A8"/>
    <w:rsid w:val="00510406"/>
    <w:rsid w:val="00510494"/>
    <w:rsid w:val="005106F3"/>
    <w:rsid w:val="0051070E"/>
    <w:rsid w:val="00510798"/>
    <w:rsid w:val="0051097D"/>
    <w:rsid w:val="00510A9C"/>
    <w:rsid w:val="00510A9E"/>
    <w:rsid w:val="00510B21"/>
    <w:rsid w:val="00510B3B"/>
    <w:rsid w:val="00510BB6"/>
    <w:rsid w:val="00510BE3"/>
    <w:rsid w:val="00510C40"/>
    <w:rsid w:val="00510D37"/>
    <w:rsid w:val="00510D40"/>
    <w:rsid w:val="00510D67"/>
    <w:rsid w:val="00510DF2"/>
    <w:rsid w:val="00510E1B"/>
    <w:rsid w:val="00510E4D"/>
    <w:rsid w:val="00510E68"/>
    <w:rsid w:val="00510EAF"/>
    <w:rsid w:val="005110D8"/>
    <w:rsid w:val="00511143"/>
    <w:rsid w:val="0051116F"/>
    <w:rsid w:val="00511177"/>
    <w:rsid w:val="00511301"/>
    <w:rsid w:val="00511312"/>
    <w:rsid w:val="00511315"/>
    <w:rsid w:val="00511418"/>
    <w:rsid w:val="005115FC"/>
    <w:rsid w:val="005117E2"/>
    <w:rsid w:val="00511821"/>
    <w:rsid w:val="0051182E"/>
    <w:rsid w:val="005118FA"/>
    <w:rsid w:val="00511954"/>
    <w:rsid w:val="00511A31"/>
    <w:rsid w:val="00511AD6"/>
    <w:rsid w:val="00511B37"/>
    <w:rsid w:val="00511B68"/>
    <w:rsid w:val="00511BB8"/>
    <w:rsid w:val="00511BDB"/>
    <w:rsid w:val="00511C0D"/>
    <w:rsid w:val="00511CE1"/>
    <w:rsid w:val="00511D0F"/>
    <w:rsid w:val="00511D5C"/>
    <w:rsid w:val="00511DAB"/>
    <w:rsid w:val="00511DE7"/>
    <w:rsid w:val="00511F66"/>
    <w:rsid w:val="00511F7A"/>
    <w:rsid w:val="00511FAF"/>
    <w:rsid w:val="00512215"/>
    <w:rsid w:val="00512374"/>
    <w:rsid w:val="00512392"/>
    <w:rsid w:val="0051243D"/>
    <w:rsid w:val="0051246B"/>
    <w:rsid w:val="00512470"/>
    <w:rsid w:val="005124AB"/>
    <w:rsid w:val="0051258D"/>
    <w:rsid w:val="005125B1"/>
    <w:rsid w:val="005125D2"/>
    <w:rsid w:val="0051268F"/>
    <w:rsid w:val="0051276F"/>
    <w:rsid w:val="00512930"/>
    <w:rsid w:val="005129D3"/>
    <w:rsid w:val="00512BA2"/>
    <w:rsid w:val="00512C7E"/>
    <w:rsid w:val="00512CD9"/>
    <w:rsid w:val="00512CEE"/>
    <w:rsid w:val="00512D9E"/>
    <w:rsid w:val="00512DB8"/>
    <w:rsid w:val="00513048"/>
    <w:rsid w:val="00513188"/>
    <w:rsid w:val="00513219"/>
    <w:rsid w:val="0051331E"/>
    <w:rsid w:val="005134D0"/>
    <w:rsid w:val="0051366F"/>
    <w:rsid w:val="0051376F"/>
    <w:rsid w:val="005139DD"/>
    <w:rsid w:val="00513ABB"/>
    <w:rsid w:val="00513C7B"/>
    <w:rsid w:val="00513D36"/>
    <w:rsid w:val="00513E27"/>
    <w:rsid w:val="00513E61"/>
    <w:rsid w:val="00513FBC"/>
    <w:rsid w:val="00513FF2"/>
    <w:rsid w:val="00514056"/>
    <w:rsid w:val="005140AC"/>
    <w:rsid w:val="00514254"/>
    <w:rsid w:val="00514255"/>
    <w:rsid w:val="0051426A"/>
    <w:rsid w:val="0051428F"/>
    <w:rsid w:val="005142B2"/>
    <w:rsid w:val="0051431C"/>
    <w:rsid w:val="005143B0"/>
    <w:rsid w:val="00514495"/>
    <w:rsid w:val="005144AA"/>
    <w:rsid w:val="005144B3"/>
    <w:rsid w:val="00514536"/>
    <w:rsid w:val="00514656"/>
    <w:rsid w:val="0051465F"/>
    <w:rsid w:val="0051473E"/>
    <w:rsid w:val="005147E1"/>
    <w:rsid w:val="005149B4"/>
    <w:rsid w:val="00514A08"/>
    <w:rsid w:val="00514AB3"/>
    <w:rsid w:val="00514BAD"/>
    <w:rsid w:val="00514BC2"/>
    <w:rsid w:val="00514BF4"/>
    <w:rsid w:val="00514CE2"/>
    <w:rsid w:val="00514F63"/>
    <w:rsid w:val="00514F8B"/>
    <w:rsid w:val="00515100"/>
    <w:rsid w:val="00515272"/>
    <w:rsid w:val="005152EA"/>
    <w:rsid w:val="0051537C"/>
    <w:rsid w:val="00515412"/>
    <w:rsid w:val="0051543E"/>
    <w:rsid w:val="005154DA"/>
    <w:rsid w:val="00515528"/>
    <w:rsid w:val="005155DD"/>
    <w:rsid w:val="0051564E"/>
    <w:rsid w:val="0051578C"/>
    <w:rsid w:val="00515883"/>
    <w:rsid w:val="005158A0"/>
    <w:rsid w:val="00515964"/>
    <w:rsid w:val="00515A47"/>
    <w:rsid w:val="00515A5B"/>
    <w:rsid w:val="00515BC2"/>
    <w:rsid w:val="00515C2A"/>
    <w:rsid w:val="00515C44"/>
    <w:rsid w:val="00515C65"/>
    <w:rsid w:val="00515CD2"/>
    <w:rsid w:val="00515D50"/>
    <w:rsid w:val="00515DCB"/>
    <w:rsid w:val="00515E60"/>
    <w:rsid w:val="00515F3B"/>
    <w:rsid w:val="005160A6"/>
    <w:rsid w:val="005161C5"/>
    <w:rsid w:val="005162BF"/>
    <w:rsid w:val="0051634E"/>
    <w:rsid w:val="0051639F"/>
    <w:rsid w:val="005163E4"/>
    <w:rsid w:val="0051664A"/>
    <w:rsid w:val="005166CE"/>
    <w:rsid w:val="005167C0"/>
    <w:rsid w:val="00516896"/>
    <w:rsid w:val="005168E1"/>
    <w:rsid w:val="0051698F"/>
    <w:rsid w:val="00516A41"/>
    <w:rsid w:val="00516C28"/>
    <w:rsid w:val="00516D99"/>
    <w:rsid w:val="00516DB5"/>
    <w:rsid w:val="00516DEF"/>
    <w:rsid w:val="00517066"/>
    <w:rsid w:val="00517226"/>
    <w:rsid w:val="0051726D"/>
    <w:rsid w:val="005174CC"/>
    <w:rsid w:val="00517530"/>
    <w:rsid w:val="00517686"/>
    <w:rsid w:val="00517740"/>
    <w:rsid w:val="0051780C"/>
    <w:rsid w:val="0051784C"/>
    <w:rsid w:val="005178DC"/>
    <w:rsid w:val="00517993"/>
    <w:rsid w:val="0051799F"/>
    <w:rsid w:val="00517A05"/>
    <w:rsid w:val="00517A3D"/>
    <w:rsid w:val="00517A3E"/>
    <w:rsid w:val="00517BB1"/>
    <w:rsid w:val="00517C6A"/>
    <w:rsid w:val="00517CD4"/>
    <w:rsid w:val="00517D41"/>
    <w:rsid w:val="00517D56"/>
    <w:rsid w:val="00517DFB"/>
    <w:rsid w:val="005200CA"/>
    <w:rsid w:val="005200DE"/>
    <w:rsid w:val="005200E8"/>
    <w:rsid w:val="005201AC"/>
    <w:rsid w:val="005203F8"/>
    <w:rsid w:val="0052045A"/>
    <w:rsid w:val="005205AF"/>
    <w:rsid w:val="005206CC"/>
    <w:rsid w:val="00520826"/>
    <w:rsid w:val="00520A29"/>
    <w:rsid w:val="00520C0F"/>
    <w:rsid w:val="00520C19"/>
    <w:rsid w:val="00520C47"/>
    <w:rsid w:val="00520D02"/>
    <w:rsid w:val="00520D67"/>
    <w:rsid w:val="00520E3B"/>
    <w:rsid w:val="00520EB6"/>
    <w:rsid w:val="00521106"/>
    <w:rsid w:val="00521166"/>
    <w:rsid w:val="005211A0"/>
    <w:rsid w:val="0052129E"/>
    <w:rsid w:val="005212BA"/>
    <w:rsid w:val="00521335"/>
    <w:rsid w:val="0052138B"/>
    <w:rsid w:val="005213AC"/>
    <w:rsid w:val="005215EF"/>
    <w:rsid w:val="00521697"/>
    <w:rsid w:val="0052173D"/>
    <w:rsid w:val="005217F6"/>
    <w:rsid w:val="00521AE0"/>
    <w:rsid w:val="00521AF9"/>
    <w:rsid w:val="00521B0C"/>
    <w:rsid w:val="00521B47"/>
    <w:rsid w:val="00521B7C"/>
    <w:rsid w:val="00521BE7"/>
    <w:rsid w:val="00521C48"/>
    <w:rsid w:val="00521C6E"/>
    <w:rsid w:val="00521C70"/>
    <w:rsid w:val="00521C74"/>
    <w:rsid w:val="00521C97"/>
    <w:rsid w:val="00521DD7"/>
    <w:rsid w:val="00521E05"/>
    <w:rsid w:val="00521F96"/>
    <w:rsid w:val="00521FC4"/>
    <w:rsid w:val="005221A1"/>
    <w:rsid w:val="005227AB"/>
    <w:rsid w:val="005227C3"/>
    <w:rsid w:val="00522841"/>
    <w:rsid w:val="0052285A"/>
    <w:rsid w:val="00522A1C"/>
    <w:rsid w:val="00522A2E"/>
    <w:rsid w:val="00522ACE"/>
    <w:rsid w:val="00522B83"/>
    <w:rsid w:val="00522B97"/>
    <w:rsid w:val="00522BC4"/>
    <w:rsid w:val="00522C6D"/>
    <w:rsid w:val="00522CD9"/>
    <w:rsid w:val="00522CDF"/>
    <w:rsid w:val="00522D6B"/>
    <w:rsid w:val="00522DEF"/>
    <w:rsid w:val="00522EE7"/>
    <w:rsid w:val="005231A2"/>
    <w:rsid w:val="005231EF"/>
    <w:rsid w:val="0052324C"/>
    <w:rsid w:val="0052348E"/>
    <w:rsid w:val="005235EC"/>
    <w:rsid w:val="005235F6"/>
    <w:rsid w:val="00523655"/>
    <w:rsid w:val="00523658"/>
    <w:rsid w:val="005236E1"/>
    <w:rsid w:val="005237CD"/>
    <w:rsid w:val="005238CD"/>
    <w:rsid w:val="0052395B"/>
    <w:rsid w:val="00523968"/>
    <w:rsid w:val="00523B3C"/>
    <w:rsid w:val="00523B85"/>
    <w:rsid w:val="00523B96"/>
    <w:rsid w:val="00523BCE"/>
    <w:rsid w:val="00523C59"/>
    <w:rsid w:val="00523CD6"/>
    <w:rsid w:val="00523DC2"/>
    <w:rsid w:val="00523E41"/>
    <w:rsid w:val="00523E6B"/>
    <w:rsid w:val="00523F7A"/>
    <w:rsid w:val="0052416C"/>
    <w:rsid w:val="005241AD"/>
    <w:rsid w:val="00524226"/>
    <w:rsid w:val="00524307"/>
    <w:rsid w:val="00524360"/>
    <w:rsid w:val="005243CD"/>
    <w:rsid w:val="005243DB"/>
    <w:rsid w:val="00524408"/>
    <w:rsid w:val="0052446F"/>
    <w:rsid w:val="00524484"/>
    <w:rsid w:val="0052451B"/>
    <w:rsid w:val="00524637"/>
    <w:rsid w:val="00524732"/>
    <w:rsid w:val="005248CC"/>
    <w:rsid w:val="005248D4"/>
    <w:rsid w:val="005248FD"/>
    <w:rsid w:val="0052491F"/>
    <w:rsid w:val="00524A5E"/>
    <w:rsid w:val="00524AE5"/>
    <w:rsid w:val="00524B1A"/>
    <w:rsid w:val="00524B52"/>
    <w:rsid w:val="00524B55"/>
    <w:rsid w:val="00524BB6"/>
    <w:rsid w:val="00524C1F"/>
    <w:rsid w:val="00524C7A"/>
    <w:rsid w:val="00524CD2"/>
    <w:rsid w:val="00524D0D"/>
    <w:rsid w:val="00524D41"/>
    <w:rsid w:val="00524D7F"/>
    <w:rsid w:val="00525064"/>
    <w:rsid w:val="005250C0"/>
    <w:rsid w:val="00525214"/>
    <w:rsid w:val="00525267"/>
    <w:rsid w:val="005252AE"/>
    <w:rsid w:val="0052534E"/>
    <w:rsid w:val="0052539B"/>
    <w:rsid w:val="005253D2"/>
    <w:rsid w:val="0052551E"/>
    <w:rsid w:val="00525722"/>
    <w:rsid w:val="0052574E"/>
    <w:rsid w:val="005259A0"/>
    <w:rsid w:val="00525A1F"/>
    <w:rsid w:val="00525A8C"/>
    <w:rsid w:val="00525AD7"/>
    <w:rsid w:val="00525B35"/>
    <w:rsid w:val="00525CA7"/>
    <w:rsid w:val="00525CBD"/>
    <w:rsid w:val="00525D57"/>
    <w:rsid w:val="00525DA7"/>
    <w:rsid w:val="00525DB4"/>
    <w:rsid w:val="00525DB5"/>
    <w:rsid w:val="00525E3E"/>
    <w:rsid w:val="00525E47"/>
    <w:rsid w:val="00525FCA"/>
    <w:rsid w:val="0052611C"/>
    <w:rsid w:val="00526324"/>
    <w:rsid w:val="00526458"/>
    <w:rsid w:val="005264CA"/>
    <w:rsid w:val="005265A6"/>
    <w:rsid w:val="0052670F"/>
    <w:rsid w:val="0052676B"/>
    <w:rsid w:val="005269C6"/>
    <w:rsid w:val="00526B3C"/>
    <w:rsid w:val="00526B74"/>
    <w:rsid w:val="00526CC2"/>
    <w:rsid w:val="00526D6A"/>
    <w:rsid w:val="00526EC3"/>
    <w:rsid w:val="00526EC4"/>
    <w:rsid w:val="00526EEC"/>
    <w:rsid w:val="005270DF"/>
    <w:rsid w:val="005271F1"/>
    <w:rsid w:val="005271F5"/>
    <w:rsid w:val="00527256"/>
    <w:rsid w:val="005272E9"/>
    <w:rsid w:val="005273E5"/>
    <w:rsid w:val="0052746B"/>
    <w:rsid w:val="00527482"/>
    <w:rsid w:val="005274A4"/>
    <w:rsid w:val="005275B9"/>
    <w:rsid w:val="005275CE"/>
    <w:rsid w:val="0052763A"/>
    <w:rsid w:val="00527683"/>
    <w:rsid w:val="00527724"/>
    <w:rsid w:val="00527872"/>
    <w:rsid w:val="00527951"/>
    <w:rsid w:val="00527A4E"/>
    <w:rsid w:val="00527C59"/>
    <w:rsid w:val="00527C5A"/>
    <w:rsid w:val="00527CB1"/>
    <w:rsid w:val="00527E0A"/>
    <w:rsid w:val="00527F40"/>
    <w:rsid w:val="00527F82"/>
    <w:rsid w:val="00530037"/>
    <w:rsid w:val="0053015C"/>
    <w:rsid w:val="0053021D"/>
    <w:rsid w:val="005302BF"/>
    <w:rsid w:val="005305F3"/>
    <w:rsid w:val="0053065C"/>
    <w:rsid w:val="00530667"/>
    <w:rsid w:val="00530749"/>
    <w:rsid w:val="0053084B"/>
    <w:rsid w:val="00530918"/>
    <w:rsid w:val="00530939"/>
    <w:rsid w:val="00530A51"/>
    <w:rsid w:val="00530AA5"/>
    <w:rsid w:val="00530C33"/>
    <w:rsid w:val="00530C77"/>
    <w:rsid w:val="00530D9C"/>
    <w:rsid w:val="00530EF9"/>
    <w:rsid w:val="00530F06"/>
    <w:rsid w:val="0053103D"/>
    <w:rsid w:val="005311E3"/>
    <w:rsid w:val="005311FD"/>
    <w:rsid w:val="0053123C"/>
    <w:rsid w:val="00531389"/>
    <w:rsid w:val="00531451"/>
    <w:rsid w:val="00531460"/>
    <w:rsid w:val="0053159F"/>
    <w:rsid w:val="00531723"/>
    <w:rsid w:val="00531B20"/>
    <w:rsid w:val="00531B96"/>
    <w:rsid w:val="00531BF0"/>
    <w:rsid w:val="00531C22"/>
    <w:rsid w:val="00531C2D"/>
    <w:rsid w:val="00531D4F"/>
    <w:rsid w:val="00531DA4"/>
    <w:rsid w:val="00531DE6"/>
    <w:rsid w:val="00531F0B"/>
    <w:rsid w:val="00531FB6"/>
    <w:rsid w:val="005320A7"/>
    <w:rsid w:val="005320DC"/>
    <w:rsid w:val="00532102"/>
    <w:rsid w:val="00532157"/>
    <w:rsid w:val="0053217B"/>
    <w:rsid w:val="00532475"/>
    <w:rsid w:val="005325CE"/>
    <w:rsid w:val="00532677"/>
    <w:rsid w:val="00532780"/>
    <w:rsid w:val="0053285E"/>
    <w:rsid w:val="00532873"/>
    <w:rsid w:val="00532892"/>
    <w:rsid w:val="00532942"/>
    <w:rsid w:val="0053297B"/>
    <w:rsid w:val="00532C9B"/>
    <w:rsid w:val="00532EEF"/>
    <w:rsid w:val="00533113"/>
    <w:rsid w:val="0053311F"/>
    <w:rsid w:val="00533121"/>
    <w:rsid w:val="005332F6"/>
    <w:rsid w:val="0053336A"/>
    <w:rsid w:val="00533397"/>
    <w:rsid w:val="005333DE"/>
    <w:rsid w:val="005334B9"/>
    <w:rsid w:val="00533602"/>
    <w:rsid w:val="005336FF"/>
    <w:rsid w:val="005337BD"/>
    <w:rsid w:val="00533833"/>
    <w:rsid w:val="00533976"/>
    <w:rsid w:val="005339EE"/>
    <w:rsid w:val="00533A81"/>
    <w:rsid w:val="00533AC9"/>
    <w:rsid w:val="00533B03"/>
    <w:rsid w:val="00533B70"/>
    <w:rsid w:val="00533C54"/>
    <w:rsid w:val="00533C79"/>
    <w:rsid w:val="00533D6C"/>
    <w:rsid w:val="00533F2B"/>
    <w:rsid w:val="00533F40"/>
    <w:rsid w:val="00533FA4"/>
    <w:rsid w:val="00533FAD"/>
    <w:rsid w:val="00533FF0"/>
    <w:rsid w:val="00534013"/>
    <w:rsid w:val="00534211"/>
    <w:rsid w:val="005342D1"/>
    <w:rsid w:val="00534422"/>
    <w:rsid w:val="005344B3"/>
    <w:rsid w:val="0053451D"/>
    <w:rsid w:val="0053462E"/>
    <w:rsid w:val="005346CA"/>
    <w:rsid w:val="005347FA"/>
    <w:rsid w:val="0053480A"/>
    <w:rsid w:val="005349DA"/>
    <w:rsid w:val="005349FB"/>
    <w:rsid w:val="00534C18"/>
    <w:rsid w:val="00534E22"/>
    <w:rsid w:val="00534E6B"/>
    <w:rsid w:val="00534F3E"/>
    <w:rsid w:val="00534FA8"/>
    <w:rsid w:val="00534FD0"/>
    <w:rsid w:val="0053517B"/>
    <w:rsid w:val="005352D2"/>
    <w:rsid w:val="005353C3"/>
    <w:rsid w:val="005353CA"/>
    <w:rsid w:val="005353EE"/>
    <w:rsid w:val="00535465"/>
    <w:rsid w:val="00535514"/>
    <w:rsid w:val="0053553E"/>
    <w:rsid w:val="00535567"/>
    <w:rsid w:val="0053557B"/>
    <w:rsid w:val="0053579C"/>
    <w:rsid w:val="005358B2"/>
    <w:rsid w:val="005358C3"/>
    <w:rsid w:val="00535A46"/>
    <w:rsid w:val="00535B4C"/>
    <w:rsid w:val="00535BCC"/>
    <w:rsid w:val="00535C0C"/>
    <w:rsid w:val="00535ED3"/>
    <w:rsid w:val="00535F18"/>
    <w:rsid w:val="00536007"/>
    <w:rsid w:val="00536011"/>
    <w:rsid w:val="0053607E"/>
    <w:rsid w:val="00536115"/>
    <w:rsid w:val="00536130"/>
    <w:rsid w:val="00536175"/>
    <w:rsid w:val="0053617C"/>
    <w:rsid w:val="005361EC"/>
    <w:rsid w:val="0053620B"/>
    <w:rsid w:val="005362D0"/>
    <w:rsid w:val="00536451"/>
    <w:rsid w:val="00536468"/>
    <w:rsid w:val="0053649B"/>
    <w:rsid w:val="005364DA"/>
    <w:rsid w:val="005365E4"/>
    <w:rsid w:val="005366D9"/>
    <w:rsid w:val="00536808"/>
    <w:rsid w:val="00536879"/>
    <w:rsid w:val="00536998"/>
    <w:rsid w:val="00536BBD"/>
    <w:rsid w:val="00536CFA"/>
    <w:rsid w:val="00536D20"/>
    <w:rsid w:val="00536E0B"/>
    <w:rsid w:val="00536EB7"/>
    <w:rsid w:val="005370D9"/>
    <w:rsid w:val="00537135"/>
    <w:rsid w:val="0053717F"/>
    <w:rsid w:val="005371C1"/>
    <w:rsid w:val="00537336"/>
    <w:rsid w:val="00537394"/>
    <w:rsid w:val="00537499"/>
    <w:rsid w:val="005375D7"/>
    <w:rsid w:val="005375DF"/>
    <w:rsid w:val="00537667"/>
    <w:rsid w:val="005376F3"/>
    <w:rsid w:val="0053770C"/>
    <w:rsid w:val="00537825"/>
    <w:rsid w:val="00537877"/>
    <w:rsid w:val="005378F1"/>
    <w:rsid w:val="00537947"/>
    <w:rsid w:val="00537A10"/>
    <w:rsid w:val="00537A69"/>
    <w:rsid w:val="00537C50"/>
    <w:rsid w:val="00537CD1"/>
    <w:rsid w:val="00537D0A"/>
    <w:rsid w:val="00537DE0"/>
    <w:rsid w:val="00537E6C"/>
    <w:rsid w:val="00537F3E"/>
    <w:rsid w:val="005400B9"/>
    <w:rsid w:val="005400F4"/>
    <w:rsid w:val="005401B5"/>
    <w:rsid w:val="00540220"/>
    <w:rsid w:val="005402DA"/>
    <w:rsid w:val="005403F2"/>
    <w:rsid w:val="005406C6"/>
    <w:rsid w:val="00540B35"/>
    <w:rsid w:val="00540D0D"/>
    <w:rsid w:val="00540DA4"/>
    <w:rsid w:val="00540F8F"/>
    <w:rsid w:val="00541277"/>
    <w:rsid w:val="005413AA"/>
    <w:rsid w:val="005413B4"/>
    <w:rsid w:val="00541480"/>
    <w:rsid w:val="00541503"/>
    <w:rsid w:val="00541507"/>
    <w:rsid w:val="0054157C"/>
    <w:rsid w:val="00541648"/>
    <w:rsid w:val="005416A3"/>
    <w:rsid w:val="0054171E"/>
    <w:rsid w:val="00541725"/>
    <w:rsid w:val="00541762"/>
    <w:rsid w:val="00541800"/>
    <w:rsid w:val="0054195E"/>
    <w:rsid w:val="00541A6A"/>
    <w:rsid w:val="00541A6D"/>
    <w:rsid w:val="00541B99"/>
    <w:rsid w:val="00541CE7"/>
    <w:rsid w:val="00541CEE"/>
    <w:rsid w:val="00541DAF"/>
    <w:rsid w:val="00541E12"/>
    <w:rsid w:val="00541E3E"/>
    <w:rsid w:val="00541E9E"/>
    <w:rsid w:val="00541EAD"/>
    <w:rsid w:val="00541F64"/>
    <w:rsid w:val="00541F67"/>
    <w:rsid w:val="005420DA"/>
    <w:rsid w:val="0054213A"/>
    <w:rsid w:val="00542214"/>
    <w:rsid w:val="0054226F"/>
    <w:rsid w:val="005422D7"/>
    <w:rsid w:val="005423C4"/>
    <w:rsid w:val="005424A8"/>
    <w:rsid w:val="0054259F"/>
    <w:rsid w:val="005425A1"/>
    <w:rsid w:val="005425BE"/>
    <w:rsid w:val="00542753"/>
    <w:rsid w:val="0054280A"/>
    <w:rsid w:val="00542811"/>
    <w:rsid w:val="00542904"/>
    <w:rsid w:val="00542936"/>
    <w:rsid w:val="00542964"/>
    <w:rsid w:val="00542969"/>
    <w:rsid w:val="0054296F"/>
    <w:rsid w:val="00542A04"/>
    <w:rsid w:val="00542B69"/>
    <w:rsid w:val="00542B91"/>
    <w:rsid w:val="00542C03"/>
    <w:rsid w:val="00542D69"/>
    <w:rsid w:val="00542E2A"/>
    <w:rsid w:val="00542E34"/>
    <w:rsid w:val="00542E3A"/>
    <w:rsid w:val="00542E85"/>
    <w:rsid w:val="00542EDF"/>
    <w:rsid w:val="00542EED"/>
    <w:rsid w:val="00542F7D"/>
    <w:rsid w:val="00542F8F"/>
    <w:rsid w:val="00543175"/>
    <w:rsid w:val="0054318E"/>
    <w:rsid w:val="005431E1"/>
    <w:rsid w:val="005431F5"/>
    <w:rsid w:val="005433AC"/>
    <w:rsid w:val="00543409"/>
    <w:rsid w:val="0054356D"/>
    <w:rsid w:val="005435C4"/>
    <w:rsid w:val="005435DC"/>
    <w:rsid w:val="005436F0"/>
    <w:rsid w:val="00543754"/>
    <w:rsid w:val="0054378C"/>
    <w:rsid w:val="005437B2"/>
    <w:rsid w:val="00543860"/>
    <w:rsid w:val="00543865"/>
    <w:rsid w:val="005438FA"/>
    <w:rsid w:val="00543986"/>
    <w:rsid w:val="00543A42"/>
    <w:rsid w:val="00543B64"/>
    <w:rsid w:val="00543B8D"/>
    <w:rsid w:val="00543D44"/>
    <w:rsid w:val="00543E07"/>
    <w:rsid w:val="00543E44"/>
    <w:rsid w:val="00543E53"/>
    <w:rsid w:val="00543EC4"/>
    <w:rsid w:val="00544027"/>
    <w:rsid w:val="005440BF"/>
    <w:rsid w:val="005440D9"/>
    <w:rsid w:val="005440EA"/>
    <w:rsid w:val="00544126"/>
    <w:rsid w:val="00544209"/>
    <w:rsid w:val="0054425B"/>
    <w:rsid w:val="00544339"/>
    <w:rsid w:val="00544491"/>
    <w:rsid w:val="00544607"/>
    <w:rsid w:val="00544699"/>
    <w:rsid w:val="005446EB"/>
    <w:rsid w:val="0054488D"/>
    <w:rsid w:val="005448A2"/>
    <w:rsid w:val="0054497C"/>
    <w:rsid w:val="00544A5E"/>
    <w:rsid w:val="00544C3D"/>
    <w:rsid w:val="00544CB8"/>
    <w:rsid w:val="00544D49"/>
    <w:rsid w:val="00544F0D"/>
    <w:rsid w:val="00544F3D"/>
    <w:rsid w:val="00544F55"/>
    <w:rsid w:val="00545143"/>
    <w:rsid w:val="00545166"/>
    <w:rsid w:val="00545182"/>
    <w:rsid w:val="005451AB"/>
    <w:rsid w:val="005451BA"/>
    <w:rsid w:val="0054524D"/>
    <w:rsid w:val="00545298"/>
    <w:rsid w:val="00545362"/>
    <w:rsid w:val="005453C7"/>
    <w:rsid w:val="005453E1"/>
    <w:rsid w:val="00545490"/>
    <w:rsid w:val="00545500"/>
    <w:rsid w:val="0054557F"/>
    <w:rsid w:val="005456CF"/>
    <w:rsid w:val="0054571C"/>
    <w:rsid w:val="005457FC"/>
    <w:rsid w:val="0054580F"/>
    <w:rsid w:val="00545881"/>
    <w:rsid w:val="0054595E"/>
    <w:rsid w:val="00545968"/>
    <w:rsid w:val="00545B88"/>
    <w:rsid w:val="00545C48"/>
    <w:rsid w:val="00545DCA"/>
    <w:rsid w:val="00545E40"/>
    <w:rsid w:val="00545E92"/>
    <w:rsid w:val="00545EE1"/>
    <w:rsid w:val="00546057"/>
    <w:rsid w:val="00546082"/>
    <w:rsid w:val="005460AD"/>
    <w:rsid w:val="00546284"/>
    <w:rsid w:val="005463BC"/>
    <w:rsid w:val="00546677"/>
    <w:rsid w:val="0054676E"/>
    <w:rsid w:val="00546918"/>
    <w:rsid w:val="00546924"/>
    <w:rsid w:val="00546A69"/>
    <w:rsid w:val="00546C08"/>
    <w:rsid w:val="00546C92"/>
    <w:rsid w:val="00546CA7"/>
    <w:rsid w:val="00546CF7"/>
    <w:rsid w:val="00546E45"/>
    <w:rsid w:val="00546F32"/>
    <w:rsid w:val="00546FAD"/>
    <w:rsid w:val="00546FC5"/>
    <w:rsid w:val="00546FF3"/>
    <w:rsid w:val="0054704C"/>
    <w:rsid w:val="00547080"/>
    <w:rsid w:val="005470A9"/>
    <w:rsid w:val="005470B8"/>
    <w:rsid w:val="005470EF"/>
    <w:rsid w:val="005471C6"/>
    <w:rsid w:val="005471FC"/>
    <w:rsid w:val="00547506"/>
    <w:rsid w:val="00547632"/>
    <w:rsid w:val="00547691"/>
    <w:rsid w:val="005476E8"/>
    <w:rsid w:val="0054776D"/>
    <w:rsid w:val="005477C8"/>
    <w:rsid w:val="005477F8"/>
    <w:rsid w:val="005478DF"/>
    <w:rsid w:val="00547939"/>
    <w:rsid w:val="00547A20"/>
    <w:rsid w:val="00547B6B"/>
    <w:rsid w:val="00547C45"/>
    <w:rsid w:val="00547DD9"/>
    <w:rsid w:val="00547E3B"/>
    <w:rsid w:val="00547EB1"/>
    <w:rsid w:val="0055000A"/>
    <w:rsid w:val="0055008A"/>
    <w:rsid w:val="00550099"/>
    <w:rsid w:val="005500AF"/>
    <w:rsid w:val="005500DA"/>
    <w:rsid w:val="00550123"/>
    <w:rsid w:val="00550133"/>
    <w:rsid w:val="005501A6"/>
    <w:rsid w:val="005501FC"/>
    <w:rsid w:val="00550292"/>
    <w:rsid w:val="0055031B"/>
    <w:rsid w:val="0055035E"/>
    <w:rsid w:val="005503AD"/>
    <w:rsid w:val="005503E7"/>
    <w:rsid w:val="0055046F"/>
    <w:rsid w:val="00550485"/>
    <w:rsid w:val="005504F5"/>
    <w:rsid w:val="00550577"/>
    <w:rsid w:val="00550580"/>
    <w:rsid w:val="005506E1"/>
    <w:rsid w:val="0055086E"/>
    <w:rsid w:val="0055096D"/>
    <w:rsid w:val="00550C71"/>
    <w:rsid w:val="00550CDE"/>
    <w:rsid w:val="00550D70"/>
    <w:rsid w:val="00550D9B"/>
    <w:rsid w:val="00550DD6"/>
    <w:rsid w:val="00550DEF"/>
    <w:rsid w:val="00550E1A"/>
    <w:rsid w:val="00550F86"/>
    <w:rsid w:val="00550FFC"/>
    <w:rsid w:val="00551031"/>
    <w:rsid w:val="005511C2"/>
    <w:rsid w:val="0055120E"/>
    <w:rsid w:val="005512A3"/>
    <w:rsid w:val="005513BD"/>
    <w:rsid w:val="0055149C"/>
    <w:rsid w:val="005514E8"/>
    <w:rsid w:val="00551528"/>
    <w:rsid w:val="005515FE"/>
    <w:rsid w:val="005516C3"/>
    <w:rsid w:val="00551768"/>
    <w:rsid w:val="005517F6"/>
    <w:rsid w:val="0055183A"/>
    <w:rsid w:val="00551876"/>
    <w:rsid w:val="0055191C"/>
    <w:rsid w:val="00551A17"/>
    <w:rsid w:val="00551ABB"/>
    <w:rsid w:val="00551D32"/>
    <w:rsid w:val="00551D5E"/>
    <w:rsid w:val="00551DB7"/>
    <w:rsid w:val="00551EA0"/>
    <w:rsid w:val="00551F08"/>
    <w:rsid w:val="00551FEA"/>
    <w:rsid w:val="00552219"/>
    <w:rsid w:val="0055230C"/>
    <w:rsid w:val="00552332"/>
    <w:rsid w:val="00552442"/>
    <w:rsid w:val="005525B6"/>
    <w:rsid w:val="00552659"/>
    <w:rsid w:val="00552680"/>
    <w:rsid w:val="005526CA"/>
    <w:rsid w:val="005527C6"/>
    <w:rsid w:val="00552811"/>
    <w:rsid w:val="00552841"/>
    <w:rsid w:val="005528B0"/>
    <w:rsid w:val="005528D9"/>
    <w:rsid w:val="005529EE"/>
    <w:rsid w:val="00552A0C"/>
    <w:rsid w:val="00552A69"/>
    <w:rsid w:val="00552AE5"/>
    <w:rsid w:val="00552CD6"/>
    <w:rsid w:val="00552CFF"/>
    <w:rsid w:val="00552D69"/>
    <w:rsid w:val="00552DDD"/>
    <w:rsid w:val="00552E35"/>
    <w:rsid w:val="00552FEE"/>
    <w:rsid w:val="0055304F"/>
    <w:rsid w:val="0055311A"/>
    <w:rsid w:val="005532B2"/>
    <w:rsid w:val="00553381"/>
    <w:rsid w:val="005533CD"/>
    <w:rsid w:val="005533D4"/>
    <w:rsid w:val="005533D9"/>
    <w:rsid w:val="005534A8"/>
    <w:rsid w:val="005534B8"/>
    <w:rsid w:val="005534E1"/>
    <w:rsid w:val="005534E4"/>
    <w:rsid w:val="005535C1"/>
    <w:rsid w:val="00553633"/>
    <w:rsid w:val="005536C1"/>
    <w:rsid w:val="0055377C"/>
    <w:rsid w:val="005537A2"/>
    <w:rsid w:val="0055389C"/>
    <w:rsid w:val="00553926"/>
    <w:rsid w:val="00553938"/>
    <w:rsid w:val="00553A82"/>
    <w:rsid w:val="00553B1A"/>
    <w:rsid w:val="00553C7C"/>
    <w:rsid w:val="00553D05"/>
    <w:rsid w:val="00553DB9"/>
    <w:rsid w:val="00553DE8"/>
    <w:rsid w:val="00553E8B"/>
    <w:rsid w:val="00553EF0"/>
    <w:rsid w:val="00554093"/>
    <w:rsid w:val="00554135"/>
    <w:rsid w:val="005541E6"/>
    <w:rsid w:val="0055425C"/>
    <w:rsid w:val="0055427F"/>
    <w:rsid w:val="00554282"/>
    <w:rsid w:val="0055440E"/>
    <w:rsid w:val="005544C3"/>
    <w:rsid w:val="00554674"/>
    <w:rsid w:val="00554739"/>
    <w:rsid w:val="00554815"/>
    <w:rsid w:val="005548A9"/>
    <w:rsid w:val="00554901"/>
    <w:rsid w:val="0055498E"/>
    <w:rsid w:val="00554A41"/>
    <w:rsid w:val="00554BA4"/>
    <w:rsid w:val="00554BAE"/>
    <w:rsid w:val="00554BE1"/>
    <w:rsid w:val="00554C8D"/>
    <w:rsid w:val="00554CA4"/>
    <w:rsid w:val="00554DA0"/>
    <w:rsid w:val="00554DEF"/>
    <w:rsid w:val="00554E02"/>
    <w:rsid w:val="00554E05"/>
    <w:rsid w:val="00554F5D"/>
    <w:rsid w:val="00554FBC"/>
    <w:rsid w:val="00555138"/>
    <w:rsid w:val="005553B6"/>
    <w:rsid w:val="00555482"/>
    <w:rsid w:val="00555797"/>
    <w:rsid w:val="00555861"/>
    <w:rsid w:val="0055588D"/>
    <w:rsid w:val="00555955"/>
    <w:rsid w:val="0055598B"/>
    <w:rsid w:val="00555994"/>
    <w:rsid w:val="00555ABC"/>
    <w:rsid w:val="00555ADB"/>
    <w:rsid w:val="00555ADC"/>
    <w:rsid w:val="00555AE9"/>
    <w:rsid w:val="00555AF2"/>
    <w:rsid w:val="00555B0D"/>
    <w:rsid w:val="00555B38"/>
    <w:rsid w:val="00555CFF"/>
    <w:rsid w:val="00555D44"/>
    <w:rsid w:val="00555DD2"/>
    <w:rsid w:val="00555E9A"/>
    <w:rsid w:val="00555FB8"/>
    <w:rsid w:val="00555FD7"/>
    <w:rsid w:val="00556122"/>
    <w:rsid w:val="00556123"/>
    <w:rsid w:val="00556240"/>
    <w:rsid w:val="00556252"/>
    <w:rsid w:val="0055625D"/>
    <w:rsid w:val="0055630B"/>
    <w:rsid w:val="00556372"/>
    <w:rsid w:val="005563CB"/>
    <w:rsid w:val="005565BA"/>
    <w:rsid w:val="00556652"/>
    <w:rsid w:val="00556694"/>
    <w:rsid w:val="005566C1"/>
    <w:rsid w:val="0055686B"/>
    <w:rsid w:val="0055687E"/>
    <w:rsid w:val="00556974"/>
    <w:rsid w:val="00556975"/>
    <w:rsid w:val="00556A1A"/>
    <w:rsid w:val="00556A95"/>
    <w:rsid w:val="00556B76"/>
    <w:rsid w:val="00556B8E"/>
    <w:rsid w:val="00556B94"/>
    <w:rsid w:val="00556C52"/>
    <w:rsid w:val="00556C80"/>
    <w:rsid w:val="00556CDC"/>
    <w:rsid w:val="00556CDF"/>
    <w:rsid w:val="00556D65"/>
    <w:rsid w:val="00556EB5"/>
    <w:rsid w:val="00556EBB"/>
    <w:rsid w:val="00556F85"/>
    <w:rsid w:val="005571A3"/>
    <w:rsid w:val="00557268"/>
    <w:rsid w:val="00557351"/>
    <w:rsid w:val="005573D2"/>
    <w:rsid w:val="0055740C"/>
    <w:rsid w:val="005574C8"/>
    <w:rsid w:val="00557596"/>
    <w:rsid w:val="0055760E"/>
    <w:rsid w:val="00557614"/>
    <w:rsid w:val="00557779"/>
    <w:rsid w:val="005577BF"/>
    <w:rsid w:val="0055782A"/>
    <w:rsid w:val="00557965"/>
    <w:rsid w:val="00557A6A"/>
    <w:rsid w:val="00557AEC"/>
    <w:rsid w:val="00557B1A"/>
    <w:rsid w:val="00557B66"/>
    <w:rsid w:val="00557E25"/>
    <w:rsid w:val="00557E4F"/>
    <w:rsid w:val="00557E73"/>
    <w:rsid w:val="00557EC4"/>
    <w:rsid w:val="00557F12"/>
    <w:rsid w:val="00557FB8"/>
    <w:rsid w:val="005600E1"/>
    <w:rsid w:val="005601B4"/>
    <w:rsid w:val="005601E7"/>
    <w:rsid w:val="00560380"/>
    <w:rsid w:val="00560539"/>
    <w:rsid w:val="0056056B"/>
    <w:rsid w:val="005605D5"/>
    <w:rsid w:val="005607E0"/>
    <w:rsid w:val="00560AD6"/>
    <w:rsid w:val="00560CA1"/>
    <w:rsid w:val="00560D3C"/>
    <w:rsid w:val="00560F1D"/>
    <w:rsid w:val="00560F2E"/>
    <w:rsid w:val="00560FE7"/>
    <w:rsid w:val="005610AB"/>
    <w:rsid w:val="005610C5"/>
    <w:rsid w:val="00561103"/>
    <w:rsid w:val="00561120"/>
    <w:rsid w:val="005611DB"/>
    <w:rsid w:val="00561382"/>
    <w:rsid w:val="005613E1"/>
    <w:rsid w:val="005616D7"/>
    <w:rsid w:val="005616DE"/>
    <w:rsid w:val="005616F7"/>
    <w:rsid w:val="0056171D"/>
    <w:rsid w:val="00561832"/>
    <w:rsid w:val="00561841"/>
    <w:rsid w:val="00561A3A"/>
    <w:rsid w:val="00561BAC"/>
    <w:rsid w:val="00561CCF"/>
    <w:rsid w:val="00561CE4"/>
    <w:rsid w:val="00561DB7"/>
    <w:rsid w:val="00561F56"/>
    <w:rsid w:val="00561FC5"/>
    <w:rsid w:val="00561FD1"/>
    <w:rsid w:val="00562073"/>
    <w:rsid w:val="005620CF"/>
    <w:rsid w:val="0056223E"/>
    <w:rsid w:val="005622AB"/>
    <w:rsid w:val="0056232B"/>
    <w:rsid w:val="00562378"/>
    <w:rsid w:val="00562431"/>
    <w:rsid w:val="005625A9"/>
    <w:rsid w:val="005625E4"/>
    <w:rsid w:val="005625F9"/>
    <w:rsid w:val="0056265E"/>
    <w:rsid w:val="0056269C"/>
    <w:rsid w:val="005627EA"/>
    <w:rsid w:val="00562836"/>
    <w:rsid w:val="00562993"/>
    <w:rsid w:val="00562AAA"/>
    <w:rsid w:val="00562AD0"/>
    <w:rsid w:val="00562B2E"/>
    <w:rsid w:val="00562C18"/>
    <w:rsid w:val="00562D7E"/>
    <w:rsid w:val="00562DA8"/>
    <w:rsid w:val="00562E30"/>
    <w:rsid w:val="00562F38"/>
    <w:rsid w:val="00562F88"/>
    <w:rsid w:val="0056303B"/>
    <w:rsid w:val="00563068"/>
    <w:rsid w:val="005630DC"/>
    <w:rsid w:val="0056312F"/>
    <w:rsid w:val="0056318E"/>
    <w:rsid w:val="005631F1"/>
    <w:rsid w:val="005632DC"/>
    <w:rsid w:val="0056331B"/>
    <w:rsid w:val="0056339A"/>
    <w:rsid w:val="00563416"/>
    <w:rsid w:val="005634C9"/>
    <w:rsid w:val="005635DA"/>
    <w:rsid w:val="00563661"/>
    <w:rsid w:val="005637DE"/>
    <w:rsid w:val="0056385C"/>
    <w:rsid w:val="00563919"/>
    <w:rsid w:val="00563933"/>
    <w:rsid w:val="005639F1"/>
    <w:rsid w:val="005639F3"/>
    <w:rsid w:val="00563AD6"/>
    <w:rsid w:val="00563C11"/>
    <w:rsid w:val="00563C4F"/>
    <w:rsid w:val="00563E0F"/>
    <w:rsid w:val="00563F24"/>
    <w:rsid w:val="00563FAA"/>
    <w:rsid w:val="0056404E"/>
    <w:rsid w:val="0056436F"/>
    <w:rsid w:val="0056454F"/>
    <w:rsid w:val="00564603"/>
    <w:rsid w:val="00564654"/>
    <w:rsid w:val="005647F3"/>
    <w:rsid w:val="00564817"/>
    <w:rsid w:val="00564822"/>
    <w:rsid w:val="005648C7"/>
    <w:rsid w:val="00564986"/>
    <w:rsid w:val="00564B63"/>
    <w:rsid w:val="00564BE6"/>
    <w:rsid w:val="00564C01"/>
    <w:rsid w:val="00564E6C"/>
    <w:rsid w:val="0056508D"/>
    <w:rsid w:val="005651E0"/>
    <w:rsid w:val="005653FA"/>
    <w:rsid w:val="005653FD"/>
    <w:rsid w:val="00565441"/>
    <w:rsid w:val="00565546"/>
    <w:rsid w:val="00565630"/>
    <w:rsid w:val="00565706"/>
    <w:rsid w:val="0056570E"/>
    <w:rsid w:val="00565C6B"/>
    <w:rsid w:val="00565CD8"/>
    <w:rsid w:val="00565F81"/>
    <w:rsid w:val="00565F83"/>
    <w:rsid w:val="00565FCA"/>
    <w:rsid w:val="0056609F"/>
    <w:rsid w:val="0056613B"/>
    <w:rsid w:val="005661B6"/>
    <w:rsid w:val="0056631E"/>
    <w:rsid w:val="00566551"/>
    <w:rsid w:val="0056674A"/>
    <w:rsid w:val="00566789"/>
    <w:rsid w:val="005668E7"/>
    <w:rsid w:val="005669FC"/>
    <w:rsid w:val="00566BA5"/>
    <w:rsid w:val="00566BF6"/>
    <w:rsid w:val="00566E69"/>
    <w:rsid w:val="00566EAF"/>
    <w:rsid w:val="00567057"/>
    <w:rsid w:val="0056719A"/>
    <w:rsid w:val="005671EA"/>
    <w:rsid w:val="00567257"/>
    <w:rsid w:val="005672FA"/>
    <w:rsid w:val="00567328"/>
    <w:rsid w:val="005673DA"/>
    <w:rsid w:val="005674CC"/>
    <w:rsid w:val="00567509"/>
    <w:rsid w:val="00567879"/>
    <w:rsid w:val="0056788F"/>
    <w:rsid w:val="00567891"/>
    <w:rsid w:val="005678A7"/>
    <w:rsid w:val="0056790F"/>
    <w:rsid w:val="0056792B"/>
    <w:rsid w:val="00567961"/>
    <w:rsid w:val="00567969"/>
    <w:rsid w:val="00567995"/>
    <w:rsid w:val="00567A56"/>
    <w:rsid w:val="00567BC6"/>
    <w:rsid w:val="00567CFB"/>
    <w:rsid w:val="00567DC7"/>
    <w:rsid w:val="00567EC2"/>
    <w:rsid w:val="00570029"/>
    <w:rsid w:val="00570037"/>
    <w:rsid w:val="005700B0"/>
    <w:rsid w:val="0057016F"/>
    <w:rsid w:val="005701E3"/>
    <w:rsid w:val="00570529"/>
    <w:rsid w:val="00570642"/>
    <w:rsid w:val="00570643"/>
    <w:rsid w:val="005706A1"/>
    <w:rsid w:val="005707BB"/>
    <w:rsid w:val="005708BA"/>
    <w:rsid w:val="00570ACE"/>
    <w:rsid w:val="00570AF7"/>
    <w:rsid w:val="00570CCB"/>
    <w:rsid w:val="00570DDD"/>
    <w:rsid w:val="00570DE7"/>
    <w:rsid w:val="00570E16"/>
    <w:rsid w:val="00570EE3"/>
    <w:rsid w:val="00570FD6"/>
    <w:rsid w:val="00570FF1"/>
    <w:rsid w:val="00571086"/>
    <w:rsid w:val="00571094"/>
    <w:rsid w:val="00571097"/>
    <w:rsid w:val="005710F4"/>
    <w:rsid w:val="0057119B"/>
    <w:rsid w:val="00571320"/>
    <w:rsid w:val="00571398"/>
    <w:rsid w:val="005714CF"/>
    <w:rsid w:val="00571500"/>
    <w:rsid w:val="0057152D"/>
    <w:rsid w:val="00571569"/>
    <w:rsid w:val="00571638"/>
    <w:rsid w:val="0057165B"/>
    <w:rsid w:val="00571848"/>
    <w:rsid w:val="00571A4C"/>
    <w:rsid w:val="00571AC3"/>
    <w:rsid w:val="00571C98"/>
    <w:rsid w:val="00571D8B"/>
    <w:rsid w:val="00571EBC"/>
    <w:rsid w:val="00571F5C"/>
    <w:rsid w:val="00571FDA"/>
    <w:rsid w:val="0057204E"/>
    <w:rsid w:val="00572236"/>
    <w:rsid w:val="0057227A"/>
    <w:rsid w:val="005722AA"/>
    <w:rsid w:val="005722D2"/>
    <w:rsid w:val="005722F7"/>
    <w:rsid w:val="00572335"/>
    <w:rsid w:val="0057235D"/>
    <w:rsid w:val="005723AA"/>
    <w:rsid w:val="005725DF"/>
    <w:rsid w:val="0057265C"/>
    <w:rsid w:val="005726D3"/>
    <w:rsid w:val="00572A18"/>
    <w:rsid w:val="00572B0C"/>
    <w:rsid w:val="00572B19"/>
    <w:rsid w:val="00572B4C"/>
    <w:rsid w:val="00572BE3"/>
    <w:rsid w:val="00572C44"/>
    <w:rsid w:val="00572D62"/>
    <w:rsid w:val="00572E0B"/>
    <w:rsid w:val="00572F5F"/>
    <w:rsid w:val="00573020"/>
    <w:rsid w:val="005731C2"/>
    <w:rsid w:val="005731E7"/>
    <w:rsid w:val="0057328D"/>
    <w:rsid w:val="00573437"/>
    <w:rsid w:val="00573445"/>
    <w:rsid w:val="00573723"/>
    <w:rsid w:val="00573753"/>
    <w:rsid w:val="00573848"/>
    <w:rsid w:val="00573879"/>
    <w:rsid w:val="00573918"/>
    <w:rsid w:val="005739ED"/>
    <w:rsid w:val="00573A0A"/>
    <w:rsid w:val="00573A58"/>
    <w:rsid w:val="00573AC0"/>
    <w:rsid w:val="00573B9A"/>
    <w:rsid w:val="00573C7A"/>
    <w:rsid w:val="00573C9F"/>
    <w:rsid w:val="00573CF5"/>
    <w:rsid w:val="00573D43"/>
    <w:rsid w:val="00573E90"/>
    <w:rsid w:val="00573F15"/>
    <w:rsid w:val="0057401C"/>
    <w:rsid w:val="00574087"/>
    <w:rsid w:val="00574195"/>
    <w:rsid w:val="0057429B"/>
    <w:rsid w:val="0057430C"/>
    <w:rsid w:val="00574498"/>
    <w:rsid w:val="00574577"/>
    <w:rsid w:val="005745D5"/>
    <w:rsid w:val="00574722"/>
    <w:rsid w:val="00574725"/>
    <w:rsid w:val="00574771"/>
    <w:rsid w:val="005747CE"/>
    <w:rsid w:val="00574893"/>
    <w:rsid w:val="00574906"/>
    <w:rsid w:val="00574911"/>
    <w:rsid w:val="0057499A"/>
    <w:rsid w:val="005749FE"/>
    <w:rsid w:val="00574A96"/>
    <w:rsid w:val="00574C00"/>
    <w:rsid w:val="00574D2E"/>
    <w:rsid w:val="00574D78"/>
    <w:rsid w:val="00574D96"/>
    <w:rsid w:val="00574F41"/>
    <w:rsid w:val="005750B3"/>
    <w:rsid w:val="0057513E"/>
    <w:rsid w:val="0057517A"/>
    <w:rsid w:val="0057519F"/>
    <w:rsid w:val="00575421"/>
    <w:rsid w:val="0057556B"/>
    <w:rsid w:val="005756B9"/>
    <w:rsid w:val="0057577B"/>
    <w:rsid w:val="00575783"/>
    <w:rsid w:val="00575956"/>
    <w:rsid w:val="00575969"/>
    <w:rsid w:val="005759B8"/>
    <w:rsid w:val="00575A2D"/>
    <w:rsid w:val="00575AD8"/>
    <w:rsid w:val="00575B8D"/>
    <w:rsid w:val="00575BA2"/>
    <w:rsid w:val="00575BC0"/>
    <w:rsid w:val="00575C00"/>
    <w:rsid w:val="00575C2D"/>
    <w:rsid w:val="00575C97"/>
    <w:rsid w:val="00575D05"/>
    <w:rsid w:val="00575D3A"/>
    <w:rsid w:val="00575E54"/>
    <w:rsid w:val="00575EEB"/>
    <w:rsid w:val="00575FE0"/>
    <w:rsid w:val="00576040"/>
    <w:rsid w:val="0057611D"/>
    <w:rsid w:val="00576136"/>
    <w:rsid w:val="0057616E"/>
    <w:rsid w:val="00576181"/>
    <w:rsid w:val="005762F2"/>
    <w:rsid w:val="0057636C"/>
    <w:rsid w:val="005763CF"/>
    <w:rsid w:val="00576404"/>
    <w:rsid w:val="00576435"/>
    <w:rsid w:val="00576452"/>
    <w:rsid w:val="005764CE"/>
    <w:rsid w:val="00576572"/>
    <w:rsid w:val="0057657A"/>
    <w:rsid w:val="005765E3"/>
    <w:rsid w:val="0057662F"/>
    <w:rsid w:val="005766E3"/>
    <w:rsid w:val="00576D38"/>
    <w:rsid w:val="00576E2B"/>
    <w:rsid w:val="0057701F"/>
    <w:rsid w:val="0057704B"/>
    <w:rsid w:val="00577061"/>
    <w:rsid w:val="00577163"/>
    <w:rsid w:val="00577191"/>
    <w:rsid w:val="00577193"/>
    <w:rsid w:val="0057722A"/>
    <w:rsid w:val="0057736E"/>
    <w:rsid w:val="00577380"/>
    <w:rsid w:val="00577457"/>
    <w:rsid w:val="0057757F"/>
    <w:rsid w:val="005775B4"/>
    <w:rsid w:val="00577788"/>
    <w:rsid w:val="005777A3"/>
    <w:rsid w:val="005777DB"/>
    <w:rsid w:val="00577820"/>
    <w:rsid w:val="005779B9"/>
    <w:rsid w:val="005779F1"/>
    <w:rsid w:val="00577A4A"/>
    <w:rsid w:val="00577ABD"/>
    <w:rsid w:val="00577B55"/>
    <w:rsid w:val="00577C8E"/>
    <w:rsid w:val="00577D21"/>
    <w:rsid w:val="00577E5B"/>
    <w:rsid w:val="00577E86"/>
    <w:rsid w:val="00577F53"/>
    <w:rsid w:val="00577FE7"/>
    <w:rsid w:val="005800BD"/>
    <w:rsid w:val="00580140"/>
    <w:rsid w:val="005801A3"/>
    <w:rsid w:val="0058029A"/>
    <w:rsid w:val="0058029D"/>
    <w:rsid w:val="005802D9"/>
    <w:rsid w:val="00580302"/>
    <w:rsid w:val="00580374"/>
    <w:rsid w:val="00580436"/>
    <w:rsid w:val="00580474"/>
    <w:rsid w:val="005804A1"/>
    <w:rsid w:val="0058056D"/>
    <w:rsid w:val="005805DD"/>
    <w:rsid w:val="0058065C"/>
    <w:rsid w:val="0058068B"/>
    <w:rsid w:val="00580704"/>
    <w:rsid w:val="00580705"/>
    <w:rsid w:val="005807F8"/>
    <w:rsid w:val="00580844"/>
    <w:rsid w:val="00580887"/>
    <w:rsid w:val="00580895"/>
    <w:rsid w:val="00580945"/>
    <w:rsid w:val="005809F1"/>
    <w:rsid w:val="005809F3"/>
    <w:rsid w:val="00580A58"/>
    <w:rsid w:val="00580A71"/>
    <w:rsid w:val="00580B35"/>
    <w:rsid w:val="00580BBA"/>
    <w:rsid w:val="00580BFB"/>
    <w:rsid w:val="00580C98"/>
    <w:rsid w:val="00580CF0"/>
    <w:rsid w:val="00580CFE"/>
    <w:rsid w:val="00580DDA"/>
    <w:rsid w:val="00580E12"/>
    <w:rsid w:val="00580E68"/>
    <w:rsid w:val="00580F32"/>
    <w:rsid w:val="00581028"/>
    <w:rsid w:val="005810C5"/>
    <w:rsid w:val="00581298"/>
    <w:rsid w:val="005812B1"/>
    <w:rsid w:val="0058131F"/>
    <w:rsid w:val="00581430"/>
    <w:rsid w:val="005814E8"/>
    <w:rsid w:val="00581551"/>
    <w:rsid w:val="00581916"/>
    <w:rsid w:val="00581930"/>
    <w:rsid w:val="0058196A"/>
    <w:rsid w:val="00581CE6"/>
    <w:rsid w:val="00581D35"/>
    <w:rsid w:val="00581E69"/>
    <w:rsid w:val="00581F44"/>
    <w:rsid w:val="00582042"/>
    <w:rsid w:val="0058215D"/>
    <w:rsid w:val="0058217E"/>
    <w:rsid w:val="005821DB"/>
    <w:rsid w:val="005822B2"/>
    <w:rsid w:val="00582313"/>
    <w:rsid w:val="00582344"/>
    <w:rsid w:val="0058238B"/>
    <w:rsid w:val="0058240E"/>
    <w:rsid w:val="0058267A"/>
    <w:rsid w:val="005827E9"/>
    <w:rsid w:val="005827EA"/>
    <w:rsid w:val="00582991"/>
    <w:rsid w:val="005829D4"/>
    <w:rsid w:val="00582B88"/>
    <w:rsid w:val="00582CCA"/>
    <w:rsid w:val="00582EB3"/>
    <w:rsid w:val="005831A9"/>
    <w:rsid w:val="005831BA"/>
    <w:rsid w:val="0058320F"/>
    <w:rsid w:val="005833F8"/>
    <w:rsid w:val="0058343E"/>
    <w:rsid w:val="00583469"/>
    <w:rsid w:val="005835BA"/>
    <w:rsid w:val="005836BB"/>
    <w:rsid w:val="005837A1"/>
    <w:rsid w:val="00583912"/>
    <w:rsid w:val="005839AC"/>
    <w:rsid w:val="00583A34"/>
    <w:rsid w:val="00583BA9"/>
    <w:rsid w:val="00583C20"/>
    <w:rsid w:val="00583CA8"/>
    <w:rsid w:val="00583CAE"/>
    <w:rsid w:val="00583D44"/>
    <w:rsid w:val="00583EC6"/>
    <w:rsid w:val="00583F9E"/>
    <w:rsid w:val="00583FFD"/>
    <w:rsid w:val="00584055"/>
    <w:rsid w:val="005840EE"/>
    <w:rsid w:val="00584212"/>
    <w:rsid w:val="00584330"/>
    <w:rsid w:val="005843DF"/>
    <w:rsid w:val="0058455B"/>
    <w:rsid w:val="00584625"/>
    <w:rsid w:val="0058473D"/>
    <w:rsid w:val="005847C8"/>
    <w:rsid w:val="00584952"/>
    <w:rsid w:val="005849B8"/>
    <w:rsid w:val="00584A4E"/>
    <w:rsid w:val="00584AE9"/>
    <w:rsid w:val="00584B22"/>
    <w:rsid w:val="00584C42"/>
    <w:rsid w:val="00584DCB"/>
    <w:rsid w:val="00584E0C"/>
    <w:rsid w:val="00585072"/>
    <w:rsid w:val="00585087"/>
    <w:rsid w:val="005850D9"/>
    <w:rsid w:val="00585112"/>
    <w:rsid w:val="00585232"/>
    <w:rsid w:val="00585260"/>
    <w:rsid w:val="00585504"/>
    <w:rsid w:val="00585536"/>
    <w:rsid w:val="00585592"/>
    <w:rsid w:val="005855B0"/>
    <w:rsid w:val="005855C2"/>
    <w:rsid w:val="005855F6"/>
    <w:rsid w:val="005857EE"/>
    <w:rsid w:val="00585896"/>
    <w:rsid w:val="0058591F"/>
    <w:rsid w:val="005859C8"/>
    <w:rsid w:val="005859E4"/>
    <w:rsid w:val="00585A8A"/>
    <w:rsid w:val="00585ACC"/>
    <w:rsid w:val="00585BA5"/>
    <w:rsid w:val="00585CAA"/>
    <w:rsid w:val="00585E09"/>
    <w:rsid w:val="00585E16"/>
    <w:rsid w:val="00585E23"/>
    <w:rsid w:val="00585E9F"/>
    <w:rsid w:val="00585EDE"/>
    <w:rsid w:val="00585FD3"/>
    <w:rsid w:val="00586038"/>
    <w:rsid w:val="00586063"/>
    <w:rsid w:val="0058618D"/>
    <w:rsid w:val="005861AA"/>
    <w:rsid w:val="00586308"/>
    <w:rsid w:val="0058631C"/>
    <w:rsid w:val="00586449"/>
    <w:rsid w:val="005864DD"/>
    <w:rsid w:val="0058657E"/>
    <w:rsid w:val="00586638"/>
    <w:rsid w:val="00586857"/>
    <w:rsid w:val="00586ADB"/>
    <w:rsid w:val="00586B8D"/>
    <w:rsid w:val="00586BB9"/>
    <w:rsid w:val="00586D48"/>
    <w:rsid w:val="00586EA0"/>
    <w:rsid w:val="00586FED"/>
    <w:rsid w:val="00587009"/>
    <w:rsid w:val="0058707F"/>
    <w:rsid w:val="0058713D"/>
    <w:rsid w:val="005871B4"/>
    <w:rsid w:val="005873EF"/>
    <w:rsid w:val="005874CC"/>
    <w:rsid w:val="0058753B"/>
    <w:rsid w:val="0058765C"/>
    <w:rsid w:val="005876CE"/>
    <w:rsid w:val="0058781F"/>
    <w:rsid w:val="005878E5"/>
    <w:rsid w:val="00587905"/>
    <w:rsid w:val="005879A0"/>
    <w:rsid w:val="00587A2C"/>
    <w:rsid w:val="00587AB9"/>
    <w:rsid w:val="00587B8A"/>
    <w:rsid w:val="00587C7B"/>
    <w:rsid w:val="00587C87"/>
    <w:rsid w:val="00587C9F"/>
    <w:rsid w:val="00587CDA"/>
    <w:rsid w:val="00587E2A"/>
    <w:rsid w:val="00587E6A"/>
    <w:rsid w:val="00587FC9"/>
    <w:rsid w:val="00587FD2"/>
    <w:rsid w:val="00590029"/>
    <w:rsid w:val="005900C2"/>
    <w:rsid w:val="00590141"/>
    <w:rsid w:val="005901F1"/>
    <w:rsid w:val="00590226"/>
    <w:rsid w:val="00590240"/>
    <w:rsid w:val="00590301"/>
    <w:rsid w:val="00590375"/>
    <w:rsid w:val="005905AD"/>
    <w:rsid w:val="005908B7"/>
    <w:rsid w:val="0059099E"/>
    <w:rsid w:val="00590A43"/>
    <w:rsid w:val="00590AA0"/>
    <w:rsid w:val="00590B2C"/>
    <w:rsid w:val="00590C79"/>
    <w:rsid w:val="00590D93"/>
    <w:rsid w:val="00590DC0"/>
    <w:rsid w:val="00590DD7"/>
    <w:rsid w:val="00590E0D"/>
    <w:rsid w:val="00591021"/>
    <w:rsid w:val="005910F6"/>
    <w:rsid w:val="005912AC"/>
    <w:rsid w:val="00591300"/>
    <w:rsid w:val="005915C4"/>
    <w:rsid w:val="0059164B"/>
    <w:rsid w:val="00591661"/>
    <w:rsid w:val="00591718"/>
    <w:rsid w:val="0059182A"/>
    <w:rsid w:val="00591834"/>
    <w:rsid w:val="00591A77"/>
    <w:rsid w:val="00591AF7"/>
    <w:rsid w:val="00591B69"/>
    <w:rsid w:val="00591BF2"/>
    <w:rsid w:val="00591C7A"/>
    <w:rsid w:val="00591D0A"/>
    <w:rsid w:val="00591D7B"/>
    <w:rsid w:val="00591D87"/>
    <w:rsid w:val="00591EE8"/>
    <w:rsid w:val="00591FAE"/>
    <w:rsid w:val="005920FD"/>
    <w:rsid w:val="00592189"/>
    <w:rsid w:val="00592452"/>
    <w:rsid w:val="00592478"/>
    <w:rsid w:val="0059247C"/>
    <w:rsid w:val="005924B7"/>
    <w:rsid w:val="00592792"/>
    <w:rsid w:val="005929B0"/>
    <w:rsid w:val="005929BA"/>
    <w:rsid w:val="00592B65"/>
    <w:rsid w:val="00592D45"/>
    <w:rsid w:val="00592DC7"/>
    <w:rsid w:val="00592E82"/>
    <w:rsid w:val="00592E9F"/>
    <w:rsid w:val="00592EC9"/>
    <w:rsid w:val="00592EFA"/>
    <w:rsid w:val="0059306F"/>
    <w:rsid w:val="00593088"/>
    <w:rsid w:val="005932A1"/>
    <w:rsid w:val="00593405"/>
    <w:rsid w:val="0059344D"/>
    <w:rsid w:val="005935E3"/>
    <w:rsid w:val="005936EF"/>
    <w:rsid w:val="00593845"/>
    <w:rsid w:val="005939D5"/>
    <w:rsid w:val="00593AB3"/>
    <w:rsid w:val="00593B75"/>
    <w:rsid w:val="00593B97"/>
    <w:rsid w:val="00593BBC"/>
    <w:rsid w:val="00593CA4"/>
    <w:rsid w:val="00593E7D"/>
    <w:rsid w:val="00593F90"/>
    <w:rsid w:val="0059404D"/>
    <w:rsid w:val="00594349"/>
    <w:rsid w:val="005944A2"/>
    <w:rsid w:val="0059459C"/>
    <w:rsid w:val="0059462A"/>
    <w:rsid w:val="005946FA"/>
    <w:rsid w:val="005946FC"/>
    <w:rsid w:val="0059472B"/>
    <w:rsid w:val="00594734"/>
    <w:rsid w:val="00594753"/>
    <w:rsid w:val="005947DD"/>
    <w:rsid w:val="0059489F"/>
    <w:rsid w:val="00594AF9"/>
    <w:rsid w:val="00594BDA"/>
    <w:rsid w:val="00594C01"/>
    <w:rsid w:val="00594C79"/>
    <w:rsid w:val="00594CD4"/>
    <w:rsid w:val="00594DE2"/>
    <w:rsid w:val="00594E3B"/>
    <w:rsid w:val="00594E8F"/>
    <w:rsid w:val="00594EA1"/>
    <w:rsid w:val="00594EE4"/>
    <w:rsid w:val="00594F14"/>
    <w:rsid w:val="00594FCC"/>
    <w:rsid w:val="005950AB"/>
    <w:rsid w:val="005953CF"/>
    <w:rsid w:val="005953F5"/>
    <w:rsid w:val="0059541B"/>
    <w:rsid w:val="00595472"/>
    <w:rsid w:val="005954BA"/>
    <w:rsid w:val="00595533"/>
    <w:rsid w:val="0059559F"/>
    <w:rsid w:val="005956B0"/>
    <w:rsid w:val="005957D4"/>
    <w:rsid w:val="00595800"/>
    <w:rsid w:val="00595817"/>
    <w:rsid w:val="0059585B"/>
    <w:rsid w:val="005958F0"/>
    <w:rsid w:val="00595907"/>
    <w:rsid w:val="0059592E"/>
    <w:rsid w:val="00595A5F"/>
    <w:rsid w:val="00595ACB"/>
    <w:rsid w:val="00595AFA"/>
    <w:rsid w:val="00595C9A"/>
    <w:rsid w:val="00595F69"/>
    <w:rsid w:val="00595FDA"/>
    <w:rsid w:val="00596026"/>
    <w:rsid w:val="0059602D"/>
    <w:rsid w:val="005960EE"/>
    <w:rsid w:val="00596167"/>
    <w:rsid w:val="00596213"/>
    <w:rsid w:val="005963F3"/>
    <w:rsid w:val="00596450"/>
    <w:rsid w:val="0059658C"/>
    <w:rsid w:val="00596641"/>
    <w:rsid w:val="005966F8"/>
    <w:rsid w:val="00596760"/>
    <w:rsid w:val="005968D6"/>
    <w:rsid w:val="0059698C"/>
    <w:rsid w:val="00596B82"/>
    <w:rsid w:val="00596BF6"/>
    <w:rsid w:val="00596C5B"/>
    <w:rsid w:val="00596C68"/>
    <w:rsid w:val="00596C96"/>
    <w:rsid w:val="00596D8D"/>
    <w:rsid w:val="00596DA5"/>
    <w:rsid w:val="00596E84"/>
    <w:rsid w:val="00596E9C"/>
    <w:rsid w:val="00596EE0"/>
    <w:rsid w:val="00597048"/>
    <w:rsid w:val="00597090"/>
    <w:rsid w:val="005970DC"/>
    <w:rsid w:val="00597169"/>
    <w:rsid w:val="005971C9"/>
    <w:rsid w:val="0059721D"/>
    <w:rsid w:val="005972CC"/>
    <w:rsid w:val="0059732F"/>
    <w:rsid w:val="0059751E"/>
    <w:rsid w:val="0059761D"/>
    <w:rsid w:val="00597676"/>
    <w:rsid w:val="005976ED"/>
    <w:rsid w:val="005977B5"/>
    <w:rsid w:val="005977CF"/>
    <w:rsid w:val="005978B6"/>
    <w:rsid w:val="005978D1"/>
    <w:rsid w:val="005978EA"/>
    <w:rsid w:val="00597925"/>
    <w:rsid w:val="0059795E"/>
    <w:rsid w:val="005979A4"/>
    <w:rsid w:val="005979BD"/>
    <w:rsid w:val="005979D1"/>
    <w:rsid w:val="00597A05"/>
    <w:rsid w:val="00597A56"/>
    <w:rsid w:val="00597B37"/>
    <w:rsid w:val="00597C3C"/>
    <w:rsid w:val="00597CE9"/>
    <w:rsid w:val="00597D39"/>
    <w:rsid w:val="00597E8C"/>
    <w:rsid w:val="00597EEC"/>
    <w:rsid w:val="00597F06"/>
    <w:rsid w:val="00597FC7"/>
    <w:rsid w:val="00597FD2"/>
    <w:rsid w:val="005A0056"/>
    <w:rsid w:val="005A0247"/>
    <w:rsid w:val="005A032C"/>
    <w:rsid w:val="005A03DC"/>
    <w:rsid w:val="005A0421"/>
    <w:rsid w:val="005A044C"/>
    <w:rsid w:val="005A044D"/>
    <w:rsid w:val="005A05E5"/>
    <w:rsid w:val="005A05E6"/>
    <w:rsid w:val="005A071F"/>
    <w:rsid w:val="005A0781"/>
    <w:rsid w:val="005A0A4D"/>
    <w:rsid w:val="005A0AA4"/>
    <w:rsid w:val="005A0AF7"/>
    <w:rsid w:val="005A0B77"/>
    <w:rsid w:val="005A0B99"/>
    <w:rsid w:val="005A0CF0"/>
    <w:rsid w:val="005A0D84"/>
    <w:rsid w:val="005A0DF9"/>
    <w:rsid w:val="005A0E51"/>
    <w:rsid w:val="005A0E80"/>
    <w:rsid w:val="005A0E99"/>
    <w:rsid w:val="005A0EC2"/>
    <w:rsid w:val="005A0F59"/>
    <w:rsid w:val="005A1061"/>
    <w:rsid w:val="005A116B"/>
    <w:rsid w:val="005A126B"/>
    <w:rsid w:val="005A1283"/>
    <w:rsid w:val="005A1343"/>
    <w:rsid w:val="005A136C"/>
    <w:rsid w:val="005A13BC"/>
    <w:rsid w:val="005A159B"/>
    <w:rsid w:val="005A164C"/>
    <w:rsid w:val="005A16D4"/>
    <w:rsid w:val="005A16D6"/>
    <w:rsid w:val="005A17A4"/>
    <w:rsid w:val="005A1822"/>
    <w:rsid w:val="005A18B0"/>
    <w:rsid w:val="005A193A"/>
    <w:rsid w:val="005A1A1E"/>
    <w:rsid w:val="005A1B10"/>
    <w:rsid w:val="005A1CA5"/>
    <w:rsid w:val="005A1CFB"/>
    <w:rsid w:val="005A1D65"/>
    <w:rsid w:val="005A1D79"/>
    <w:rsid w:val="005A1DA4"/>
    <w:rsid w:val="005A1DD2"/>
    <w:rsid w:val="005A1F10"/>
    <w:rsid w:val="005A1F96"/>
    <w:rsid w:val="005A2079"/>
    <w:rsid w:val="005A20A0"/>
    <w:rsid w:val="005A20FF"/>
    <w:rsid w:val="005A21FE"/>
    <w:rsid w:val="005A2316"/>
    <w:rsid w:val="005A2321"/>
    <w:rsid w:val="005A23AD"/>
    <w:rsid w:val="005A2595"/>
    <w:rsid w:val="005A25BB"/>
    <w:rsid w:val="005A260F"/>
    <w:rsid w:val="005A2622"/>
    <w:rsid w:val="005A266F"/>
    <w:rsid w:val="005A26D8"/>
    <w:rsid w:val="005A282F"/>
    <w:rsid w:val="005A296F"/>
    <w:rsid w:val="005A2984"/>
    <w:rsid w:val="005A29B0"/>
    <w:rsid w:val="005A29EB"/>
    <w:rsid w:val="005A2A16"/>
    <w:rsid w:val="005A2A28"/>
    <w:rsid w:val="005A2B5A"/>
    <w:rsid w:val="005A2C07"/>
    <w:rsid w:val="005A2D26"/>
    <w:rsid w:val="005A2D97"/>
    <w:rsid w:val="005A2E16"/>
    <w:rsid w:val="005A2FB9"/>
    <w:rsid w:val="005A2FCA"/>
    <w:rsid w:val="005A3011"/>
    <w:rsid w:val="005A303E"/>
    <w:rsid w:val="005A31EA"/>
    <w:rsid w:val="005A3205"/>
    <w:rsid w:val="005A3285"/>
    <w:rsid w:val="005A339A"/>
    <w:rsid w:val="005A340C"/>
    <w:rsid w:val="005A36F1"/>
    <w:rsid w:val="005A3773"/>
    <w:rsid w:val="005A37F3"/>
    <w:rsid w:val="005A3949"/>
    <w:rsid w:val="005A3A62"/>
    <w:rsid w:val="005A3ADA"/>
    <w:rsid w:val="005A3BDF"/>
    <w:rsid w:val="005A3C2E"/>
    <w:rsid w:val="005A3C51"/>
    <w:rsid w:val="005A3C55"/>
    <w:rsid w:val="005A3C8A"/>
    <w:rsid w:val="005A3E20"/>
    <w:rsid w:val="005A3E53"/>
    <w:rsid w:val="005A3E8A"/>
    <w:rsid w:val="005A3F8C"/>
    <w:rsid w:val="005A419C"/>
    <w:rsid w:val="005A41CF"/>
    <w:rsid w:val="005A4250"/>
    <w:rsid w:val="005A428A"/>
    <w:rsid w:val="005A42E6"/>
    <w:rsid w:val="005A4472"/>
    <w:rsid w:val="005A44B4"/>
    <w:rsid w:val="005A452B"/>
    <w:rsid w:val="005A45C9"/>
    <w:rsid w:val="005A4780"/>
    <w:rsid w:val="005A479C"/>
    <w:rsid w:val="005A4826"/>
    <w:rsid w:val="005A4833"/>
    <w:rsid w:val="005A4856"/>
    <w:rsid w:val="005A48CA"/>
    <w:rsid w:val="005A4B81"/>
    <w:rsid w:val="005A4BDB"/>
    <w:rsid w:val="005A4E71"/>
    <w:rsid w:val="005A5024"/>
    <w:rsid w:val="005A5035"/>
    <w:rsid w:val="005A50E2"/>
    <w:rsid w:val="005A5130"/>
    <w:rsid w:val="005A513C"/>
    <w:rsid w:val="005A514A"/>
    <w:rsid w:val="005A51B7"/>
    <w:rsid w:val="005A520E"/>
    <w:rsid w:val="005A52EB"/>
    <w:rsid w:val="005A535B"/>
    <w:rsid w:val="005A540E"/>
    <w:rsid w:val="005A5537"/>
    <w:rsid w:val="005A5590"/>
    <w:rsid w:val="005A55CB"/>
    <w:rsid w:val="005A5652"/>
    <w:rsid w:val="005A577E"/>
    <w:rsid w:val="005A57CA"/>
    <w:rsid w:val="005A5830"/>
    <w:rsid w:val="005A5859"/>
    <w:rsid w:val="005A58B0"/>
    <w:rsid w:val="005A58B9"/>
    <w:rsid w:val="005A5AE2"/>
    <w:rsid w:val="005A5B4C"/>
    <w:rsid w:val="005A5BB2"/>
    <w:rsid w:val="005A5C95"/>
    <w:rsid w:val="005A5D12"/>
    <w:rsid w:val="005A5DB8"/>
    <w:rsid w:val="005A5E8E"/>
    <w:rsid w:val="005A5EA6"/>
    <w:rsid w:val="005A5F7A"/>
    <w:rsid w:val="005A5FA8"/>
    <w:rsid w:val="005A6289"/>
    <w:rsid w:val="005A628F"/>
    <w:rsid w:val="005A635E"/>
    <w:rsid w:val="005A63FB"/>
    <w:rsid w:val="005A645C"/>
    <w:rsid w:val="005A6620"/>
    <w:rsid w:val="005A667B"/>
    <w:rsid w:val="005A6764"/>
    <w:rsid w:val="005A6851"/>
    <w:rsid w:val="005A6904"/>
    <w:rsid w:val="005A6CA5"/>
    <w:rsid w:val="005A6CD4"/>
    <w:rsid w:val="005A6FFF"/>
    <w:rsid w:val="005A7182"/>
    <w:rsid w:val="005A7202"/>
    <w:rsid w:val="005A723B"/>
    <w:rsid w:val="005A72E9"/>
    <w:rsid w:val="005A753E"/>
    <w:rsid w:val="005A75F2"/>
    <w:rsid w:val="005A7792"/>
    <w:rsid w:val="005A77D5"/>
    <w:rsid w:val="005A78DC"/>
    <w:rsid w:val="005A794A"/>
    <w:rsid w:val="005A79C5"/>
    <w:rsid w:val="005A79CE"/>
    <w:rsid w:val="005A79DE"/>
    <w:rsid w:val="005A7A2E"/>
    <w:rsid w:val="005A7B11"/>
    <w:rsid w:val="005A7B46"/>
    <w:rsid w:val="005A7C5B"/>
    <w:rsid w:val="005A7CD8"/>
    <w:rsid w:val="005A7D2D"/>
    <w:rsid w:val="005A7D94"/>
    <w:rsid w:val="005A7ED9"/>
    <w:rsid w:val="005B0016"/>
    <w:rsid w:val="005B0063"/>
    <w:rsid w:val="005B00F4"/>
    <w:rsid w:val="005B015F"/>
    <w:rsid w:val="005B017E"/>
    <w:rsid w:val="005B01AF"/>
    <w:rsid w:val="005B022C"/>
    <w:rsid w:val="005B024A"/>
    <w:rsid w:val="005B02E1"/>
    <w:rsid w:val="005B03B7"/>
    <w:rsid w:val="005B0428"/>
    <w:rsid w:val="005B048F"/>
    <w:rsid w:val="005B04D1"/>
    <w:rsid w:val="005B073A"/>
    <w:rsid w:val="005B076D"/>
    <w:rsid w:val="005B07D3"/>
    <w:rsid w:val="005B08B7"/>
    <w:rsid w:val="005B0969"/>
    <w:rsid w:val="005B0B23"/>
    <w:rsid w:val="005B0B46"/>
    <w:rsid w:val="005B0B54"/>
    <w:rsid w:val="005B0BD9"/>
    <w:rsid w:val="005B0C3C"/>
    <w:rsid w:val="005B0E23"/>
    <w:rsid w:val="005B0E7E"/>
    <w:rsid w:val="005B1245"/>
    <w:rsid w:val="005B125F"/>
    <w:rsid w:val="005B1589"/>
    <w:rsid w:val="005B1657"/>
    <w:rsid w:val="005B1707"/>
    <w:rsid w:val="005B170E"/>
    <w:rsid w:val="005B1723"/>
    <w:rsid w:val="005B176C"/>
    <w:rsid w:val="005B179E"/>
    <w:rsid w:val="005B17EF"/>
    <w:rsid w:val="005B19C8"/>
    <w:rsid w:val="005B19F3"/>
    <w:rsid w:val="005B1ACB"/>
    <w:rsid w:val="005B1B59"/>
    <w:rsid w:val="005B1C4B"/>
    <w:rsid w:val="005B1C95"/>
    <w:rsid w:val="005B1DAB"/>
    <w:rsid w:val="005B1E9B"/>
    <w:rsid w:val="005B1EB6"/>
    <w:rsid w:val="005B1F34"/>
    <w:rsid w:val="005B1FCD"/>
    <w:rsid w:val="005B2008"/>
    <w:rsid w:val="005B205E"/>
    <w:rsid w:val="005B20F0"/>
    <w:rsid w:val="005B21DC"/>
    <w:rsid w:val="005B237E"/>
    <w:rsid w:val="005B23B6"/>
    <w:rsid w:val="005B241E"/>
    <w:rsid w:val="005B2431"/>
    <w:rsid w:val="005B246E"/>
    <w:rsid w:val="005B2482"/>
    <w:rsid w:val="005B26EE"/>
    <w:rsid w:val="005B277A"/>
    <w:rsid w:val="005B285F"/>
    <w:rsid w:val="005B2876"/>
    <w:rsid w:val="005B2979"/>
    <w:rsid w:val="005B2995"/>
    <w:rsid w:val="005B29A3"/>
    <w:rsid w:val="005B29B5"/>
    <w:rsid w:val="005B2A01"/>
    <w:rsid w:val="005B2AAF"/>
    <w:rsid w:val="005B2BE6"/>
    <w:rsid w:val="005B2EA9"/>
    <w:rsid w:val="005B2F77"/>
    <w:rsid w:val="005B2FB0"/>
    <w:rsid w:val="005B2FDE"/>
    <w:rsid w:val="005B3160"/>
    <w:rsid w:val="005B32DF"/>
    <w:rsid w:val="005B33C2"/>
    <w:rsid w:val="005B341E"/>
    <w:rsid w:val="005B37F8"/>
    <w:rsid w:val="005B38CA"/>
    <w:rsid w:val="005B3971"/>
    <w:rsid w:val="005B3981"/>
    <w:rsid w:val="005B398C"/>
    <w:rsid w:val="005B399E"/>
    <w:rsid w:val="005B3B5C"/>
    <w:rsid w:val="005B3BA3"/>
    <w:rsid w:val="005B3DB9"/>
    <w:rsid w:val="005B3F04"/>
    <w:rsid w:val="005B3F76"/>
    <w:rsid w:val="005B3FB6"/>
    <w:rsid w:val="005B407F"/>
    <w:rsid w:val="005B4142"/>
    <w:rsid w:val="005B41FB"/>
    <w:rsid w:val="005B4232"/>
    <w:rsid w:val="005B4256"/>
    <w:rsid w:val="005B4283"/>
    <w:rsid w:val="005B4287"/>
    <w:rsid w:val="005B42D5"/>
    <w:rsid w:val="005B46E1"/>
    <w:rsid w:val="005B4765"/>
    <w:rsid w:val="005B4800"/>
    <w:rsid w:val="005B488C"/>
    <w:rsid w:val="005B4986"/>
    <w:rsid w:val="005B49CC"/>
    <w:rsid w:val="005B49D4"/>
    <w:rsid w:val="005B4BB9"/>
    <w:rsid w:val="005B4BFB"/>
    <w:rsid w:val="005B4C6B"/>
    <w:rsid w:val="005B4C96"/>
    <w:rsid w:val="005B4CB1"/>
    <w:rsid w:val="005B4D18"/>
    <w:rsid w:val="005B4E95"/>
    <w:rsid w:val="005B4F55"/>
    <w:rsid w:val="005B5006"/>
    <w:rsid w:val="005B500C"/>
    <w:rsid w:val="005B511D"/>
    <w:rsid w:val="005B5156"/>
    <w:rsid w:val="005B5157"/>
    <w:rsid w:val="005B5288"/>
    <w:rsid w:val="005B53AD"/>
    <w:rsid w:val="005B53D0"/>
    <w:rsid w:val="005B55C6"/>
    <w:rsid w:val="005B568B"/>
    <w:rsid w:val="005B56AD"/>
    <w:rsid w:val="005B5A67"/>
    <w:rsid w:val="005B5A91"/>
    <w:rsid w:val="005B5A9E"/>
    <w:rsid w:val="005B5B80"/>
    <w:rsid w:val="005B5C26"/>
    <w:rsid w:val="005B5C2C"/>
    <w:rsid w:val="005B5C85"/>
    <w:rsid w:val="005B5E9A"/>
    <w:rsid w:val="005B5F73"/>
    <w:rsid w:val="005B6041"/>
    <w:rsid w:val="005B61E7"/>
    <w:rsid w:val="005B63C3"/>
    <w:rsid w:val="005B6430"/>
    <w:rsid w:val="005B65BC"/>
    <w:rsid w:val="005B65C4"/>
    <w:rsid w:val="005B65DB"/>
    <w:rsid w:val="005B69F6"/>
    <w:rsid w:val="005B6AF5"/>
    <w:rsid w:val="005B6B68"/>
    <w:rsid w:val="005B6B74"/>
    <w:rsid w:val="005B6C7D"/>
    <w:rsid w:val="005B6D66"/>
    <w:rsid w:val="005B6E29"/>
    <w:rsid w:val="005B6E65"/>
    <w:rsid w:val="005B6E69"/>
    <w:rsid w:val="005B6FDB"/>
    <w:rsid w:val="005B6FF6"/>
    <w:rsid w:val="005B7180"/>
    <w:rsid w:val="005B721F"/>
    <w:rsid w:val="005B7247"/>
    <w:rsid w:val="005B7493"/>
    <w:rsid w:val="005B750A"/>
    <w:rsid w:val="005B7535"/>
    <w:rsid w:val="005B75DB"/>
    <w:rsid w:val="005B7936"/>
    <w:rsid w:val="005B7A77"/>
    <w:rsid w:val="005B7BEC"/>
    <w:rsid w:val="005B7CF6"/>
    <w:rsid w:val="005B7D2F"/>
    <w:rsid w:val="005B7D5F"/>
    <w:rsid w:val="005B7EF9"/>
    <w:rsid w:val="005C0112"/>
    <w:rsid w:val="005C0145"/>
    <w:rsid w:val="005C01E0"/>
    <w:rsid w:val="005C036C"/>
    <w:rsid w:val="005C0381"/>
    <w:rsid w:val="005C0384"/>
    <w:rsid w:val="005C05B8"/>
    <w:rsid w:val="005C0764"/>
    <w:rsid w:val="005C09AC"/>
    <w:rsid w:val="005C0A66"/>
    <w:rsid w:val="005C0C4C"/>
    <w:rsid w:val="005C0D61"/>
    <w:rsid w:val="005C0DAE"/>
    <w:rsid w:val="005C0EBB"/>
    <w:rsid w:val="005C1151"/>
    <w:rsid w:val="005C1213"/>
    <w:rsid w:val="005C13B4"/>
    <w:rsid w:val="005C14BD"/>
    <w:rsid w:val="005C14F9"/>
    <w:rsid w:val="005C154A"/>
    <w:rsid w:val="005C1580"/>
    <w:rsid w:val="005C15B4"/>
    <w:rsid w:val="005C1630"/>
    <w:rsid w:val="005C166E"/>
    <w:rsid w:val="005C16A4"/>
    <w:rsid w:val="005C17F3"/>
    <w:rsid w:val="005C1804"/>
    <w:rsid w:val="005C19EF"/>
    <w:rsid w:val="005C1B1D"/>
    <w:rsid w:val="005C1B81"/>
    <w:rsid w:val="005C1DC5"/>
    <w:rsid w:val="005C1DD7"/>
    <w:rsid w:val="005C1E51"/>
    <w:rsid w:val="005C1FEA"/>
    <w:rsid w:val="005C212D"/>
    <w:rsid w:val="005C2166"/>
    <w:rsid w:val="005C2271"/>
    <w:rsid w:val="005C236C"/>
    <w:rsid w:val="005C23D5"/>
    <w:rsid w:val="005C2431"/>
    <w:rsid w:val="005C24E0"/>
    <w:rsid w:val="005C25B1"/>
    <w:rsid w:val="005C25B7"/>
    <w:rsid w:val="005C263E"/>
    <w:rsid w:val="005C26BD"/>
    <w:rsid w:val="005C26F7"/>
    <w:rsid w:val="005C273D"/>
    <w:rsid w:val="005C29D2"/>
    <w:rsid w:val="005C2A29"/>
    <w:rsid w:val="005C2CC4"/>
    <w:rsid w:val="005C2DD5"/>
    <w:rsid w:val="005C2E2E"/>
    <w:rsid w:val="005C2EC7"/>
    <w:rsid w:val="005C2F3D"/>
    <w:rsid w:val="005C2FD4"/>
    <w:rsid w:val="005C304A"/>
    <w:rsid w:val="005C3122"/>
    <w:rsid w:val="005C31D7"/>
    <w:rsid w:val="005C3321"/>
    <w:rsid w:val="005C3329"/>
    <w:rsid w:val="005C333D"/>
    <w:rsid w:val="005C339C"/>
    <w:rsid w:val="005C33EE"/>
    <w:rsid w:val="005C3448"/>
    <w:rsid w:val="005C34A3"/>
    <w:rsid w:val="005C3575"/>
    <w:rsid w:val="005C3682"/>
    <w:rsid w:val="005C3698"/>
    <w:rsid w:val="005C3713"/>
    <w:rsid w:val="005C3827"/>
    <w:rsid w:val="005C3877"/>
    <w:rsid w:val="005C38BE"/>
    <w:rsid w:val="005C3990"/>
    <w:rsid w:val="005C39B1"/>
    <w:rsid w:val="005C3A2E"/>
    <w:rsid w:val="005C3A3C"/>
    <w:rsid w:val="005C3A88"/>
    <w:rsid w:val="005C3A9F"/>
    <w:rsid w:val="005C3AB5"/>
    <w:rsid w:val="005C3AF3"/>
    <w:rsid w:val="005C3BC6"/>
    <w:rsid w:val="005C3CB5"/>
    <w:rsid w:val="005C3CB9"/>
    <w:rsid w:val="005C3DAA"/>
    <w:rsid w:val="005C3E95"/>
    <w:rsid w:val="005C3F0B"/>
    <w:rsid w:val="005C3F5D"/>
    <w:rsid w:val="005C3FC7"/>
    <w:rsid w:val="005C4071"/>
    <w:rsid w:val="005C40B9"/>
    <w:rsid w:val="005C40E4"/>
    <w:rsid w:val="005C41EA"/>
    <w:rsid w:val="005C43B8"/>
    <w:rsid w:val="005C43D6"/>
    <w:rsid w:val="005C4425"/>
    <w:rsid w:val="005C444A"/>
    <w:rsid w:val="005C44D3"/>
    <w:rsid w:val="005C44F0"/>
    <w:rsid w:val="005C4A3A"/>
    <w:rsid w:val="005C4AD0"/>
    <w:rsid w:val="005C4B49"/>
    <w:rsid w:val="005C4BF7"/>
    <w:rsid w:val="005C4C85"/>
    <w:rsid w:val="005C4C9C"/>
    <w:rsid w:val="005C4D43"/>
    <w:rsid w:val="005C4D6A"/>
    <w:rsid w:val="005C4DA2"/>
    <w:rsid w:val="005C5001"/>
    <w:rsid w:val="005C50DD"/>
    <w:rsid w:val="005C5185"/>
    <w:rsid w:val="005C5311"/>
    <w:rsid w:val="005C53D0"/>
    <w:rsid w:val="005C53F1"/>
    <w:rsid w:val="005C54CA"/>
    <w:rsid w:val="005C559C"/>
    <w:rsid w:val="005C55DF"/>
    <w:rsid w:val="005C56A8"/>
    <w:rsid w:val="005C56F0"/>
    <w:rsid w:val="005C56F3"/>
    <w:rsid w:val="005C5756"/>
    <w:rsid w:val="005C576D"/>
    <w:rsid w:val="005C57B7"/>
    <w:rsid w:val="005C5834"/>
    <w:rsid w:val="005C5858"/>
    <w:rsid w:val="005C58DC"/>
    <w:rsid w:val="005C5D0B"/>
    <w:rsid w:val="005C5D27"/>
    <w:rsid w:val="005C5D30"/>
    <w:rsid w:val="005C5D3D"/>
    <w:rsid w:val="005C5D4A"/>
    <w:rsid w:val="005C5D8D"/>
    <w:rsid w:val="005C5E3B"/>
    <w:rsid w:val="005C5EE0"/>
    <w:rsid w:val="005C5FB0"/>
    <w:rsid w:val="005C6066"/>
    <w:rsid w:val="005C622E"/>
    <w:rsid w:val="005C6265"/>
    <w:rsid w:val="005C6376"/>
    <w:rsid w:val="005C640B"/>
    <w:rsid w:val="005C64B0"/>
    <w:rsid w:val="005C6668"/>
    <w:rsid w:val="005C66A1"/>
    <w:rsid w:val="005C67A7"/>
    <w:rsid w:val="005C6987"/>
    <w:rsid w:val="005C69C3"/>
    <w:rsid w:val="005C6A76"/>
    <w:rsid w:val="005C6A8C"/>
    <w:rsid w:val="005C6CA5"/>
    <w:rsid w:val="005C6CED"/>
    <w:rsid w:val="005C6D72"/>
    <w:rsid w:val="005C6E2E"/>
    <w:rsid w:val="005C6EAC"/>
    <w:rsid w:val="005C6F0F"/>
    <w:rsid w:val="005C6F5E"/>
    <w:rsid w:val="005C6F86"/>
    <w:rsid w:val="005C714C"/>
    <w:rsid w:val="005C71CC"/>
    <w:rsid w:val="005C7223"/>
    <w:rsid w:val="005C7317"/>
    <w:rsid w:val="005C736C"/>
    <w:rsid w:val="005C75C9"/>
    <w:rsid w:val="005C787A"/>
    <w:rsid w:val="005C7889"/>
    <w:rsid w:val="005C7935"/>
    <w:rsid w:val="005C794F"/>
    <w:rsid w:val="005C79DE"/>
    <w:rsid w:val="005C7B14"/>
    <w:rsid w:val="005C7BCD"/>
    <w:rsid w:val="005C7BD9"/>
    <w:rsid w:val="005C7C0E"/>
    <w:rsid w:val="005C7CB7"/>
    <w:rsid w:val="005C7FE0"/>
    <w:rsid w:val="005D0058"/>
    <w:rsid w:val="005D04CE"/>
    <w:rsid w:val="005D04F1"/>
    <w:rsid w:val="005D0693"/>
    <w:rsid w:val="005D06AF"/>
    <w:rsid w:val="005D0702"/>
    <w:rsid w:val="005D072A"/>
    <w:rsid w:val="005D0902"/>
    <w:rsid w:val="005D0A66"/>
    <w:rsid w:val="005D0AF9"/>
    <w:rsid w:val="005D0CD3"/>
    <w:rsid w:val="005D0D3A"/>
    <w:rsid w:val="005D0F00"/>
    <w:rsid w:val="005D0F9B"/>
    <w:rsid w:val="005D0FD9"/>
    <w:rsid w:val="005D0FFD"/>
    <w:rsid w:val="005D1054"/>
    <w:rsid w:val="005D116D"/>
    <w:rsid w:val="005D11A9"/>
    <w:rsid w:val="005D12EE"/>
    <w:rsid w:val="005D14FF"/>
    <w:rsid w:val="005D16C4"/>
    <w:rsid w:val="005D182D"/>
    <w:rsid w:val="005D18B0"/>
    <w:rsid w:val="005D1930"/>
    <w:rsid w:val="005D194D"/>
    <w:rsid w:val="005D1A25"/>
    <w:rsid w:val="005D1A98"/>
    <w:rsid w:val="005D1B10"/>
    <w:rsid w:val="005D1B48"/>
    <w:rsid w:val="005D1BF3"/>
    <w:rsid w:val="005D1C04"/>
    <w:rsid w:val="005D1CF6"/>
    <w:rsid w:val="005D1F98"/>
    <w:rsid w:val="005D2310"/>
    <w:rsid w:val="005D25DA"/>
    <w:rsid w:val="005D26DB"/>
    <w:rsid w:val="005D26F2"/>
    <w:rsid w:val="005D27E5"/>
    <w:rsid w:val="005D28AB"/>
    <w:rsid w:val="005D28E4"/>
    <w:rsid w:val="005D297D"/>
    <w:rsid w:val="005D29DF"/>
    <w:rsid w:val="005D2BBF"/>
    <w:rsid w:val="005D2C47"/>
    <w:rsid w:val="005D2D0F"/>
    <w:rsid w:val="005D2D3A"/>
    <w:rsid w:val="005D2DE5"/>
    <w:rsid w:val="005D2E00"/>
    <w:rsid w:val="005D2E06"/>
    <w:rsid w:val="005D2E9B"/>
    <w:rsid w:val="005D2F3B"/>
    <w:rsid w:val="005D2FB3"/>
    <w:rsid w:val="005D3088"/>
    <w:rsid w:val="005D340E"/>
    <w:rsid w:val="005D34A4"/>
    <w:rsid w:val="005D358A"/>
    <w:rsid w:val="005D35A9"/>
    <w:rsid w:val="005D368C"/>
    <w:rsid w:val="005D37F6"/>
    <w:rsid w:val="005D3846"/>
    <w:rsid w:val="005D385C"/>
    <w:rsid w:val="005D38B9"/>
    <w:rsid w:val="005D3A9E"/>
    <w:rsid w:val="005D3BEA"/>
    <w:rsid w:val="005D3C0C"/>
    <w:rsid w:val="005D3C2E"/>
    <w:rsid w:val="005D3C68"/>
    <w:rsid w:val="005D3CC2"/>
    <w:rsid w:val="005D3D26"/>
    <w:rsid w:val="005D3DC7"/>
    <w:rsid w:val="005D3DC9"/>
    <w:rsid w:val="005D3E74"/>
    <w:rsid w:val="005D3ECA"/>
    <w:rsid w:val="005D3F96"/>
    <w:rsid w:val="005D4019"/>
    <w:rsid w:val="005D404E"/>
    <w:rsid w:val="005D405C"/>
    <w:rsid w:val="005D412A"/>
    <w:rsid w:val="005D4194"/>
    <w:rsid w:val="005D41C0"/>
    <w:rsid w:val="005D4368"/>
    <w:rsid w:val="005D442A"/>
    <w:rsid w:val="005D45FA"/>
    <w:rsid w:val="005D473E"/>
    <w:rsid w:val="005D480E"/>
    <w:rsid w:val="005D4916"/>
    <w:rsid w:val="005D4937"/>
    <w:rsid w:val="005D49D5"/>
    <w:rsid w:val="005D4B6C"/>
    <w:rsid w:val="005D4B9E"/>
    <w:rsid w:val="005D4CD6"/>
    <w:rsid w:val="005D4CE6"/>
    <w:rsid w:val="005D4D38"/>
    <w:rsid w:val="005D4ED4"/>
    <w:rsid w:val="005D4F9D"/>
    <w:rsid w:val="005D5058"/>
    <w:rsid w:val="005D5112"/>
    <w:rsid w:val="005D51B2"/>
    <w:rsid w:val="005D51DC"/>
    <w:rsid w:val="005D5266"/>
    <w:rsid w:val="005D52B9"/>
    <w:rsid w:val="005D53BE"/>
    <w:rsid w:val="005D5433"/>
    <w:rsid w:val="005D543B"/>
    <w:rsid w:val="005D546F"/>
    <w:rsid w:val="005D5525"/>
    <w:rsid w:val="005D55EC"/>
    <w:rsid w:val="005D569B"/>
    <w:rsid w:val="005D56EA"/>
    <w:rsid w:val="005D56F6"/>
    <w:rsid w:val="005D580F"/>
    <w:rsid w:val="005D5947"/>
    <w:rsid w:val="005D5A32"/>
    <w:rsid w:val="005D5AD4"/>
    <w:rsid w:val="005D5BCB"/>
    <w:rsid w:val="005D5C58"/>
    <w:rsid w:val="005D5CFF"/>
    <w:rsid w:val="005D5D8E"/>
    <w:rsid w:val="005D5DC0"/>
    <w:rsid w:val="005D5E42"/>
    <w:rsid w:val="005D5E72"/>
    <w:rsid w:val="005D5F0D"/>
    <w:rsid w:val="005D5F78"/>
    <w:rsid w:val="005D5FBE"/>
    <w:rsid w:val="005D6017"/>
    <w:rsid w:val="005D6024"/>
    <w:rsid w:val="005D614E"/>
    <w:rsid w:val="005D619D"/>
    <w:rsid w:val="005D61F8"/>
    <w:rsid w:val="005D6227"/>
    <w:rsid w:val="005D63A4"/>
    <w:rsid w:val="005D6644"/>
    <w:rsid w:val="005D6654"/>
    <w:rsid w:val="005D66CF"/>
    <w:rsid w:val="005D6701"/>
    <w:rsid w:val="005D6741"/>
    <w:rsid w:val="005D6768"/>
    <w:rsid w:val="005D678F"/>
    <w:rsid w:val="005D6836"/>
    <w:rsid w:val="005D6882"/>
    <w:rsid w:val="005D68FF"/>
    <w:rsid w:val="005D6A19"/>
    <w:rsid w:val="005D6E61"/>
    <w:rsid w:val="005D6ECB"/>
    <w:rsid w:val="005D6FAA"/>
    <w:rsid w:val="005D7092"/>
    <w:rsid w:val="005D70DA"/>
    <w:rsid w:val="005D732D"/>
    <w:rsid w:val="005D7336"/>
    <w:rsid w:val="005D74C4"/>
    <w:rsid w:val="005D74CD"/>
    <w:rsid w:val="005D7662"/>
    <w:rsid w:val="005D76E2"/>
    <w:rsid w:val="005D7964"/>
    <w:rsid w:val="005D79C6"/>
    <w:rsid w:val="005D7A4F"/>
    <w:rsid w:val="005D7ABB"/>
    <w:rsid w:val="005D7D29"/>
    <w:rsid w:val="005D7E26"/>
    <w:rsid w:val="005D7E6B"/>
    <w:rsid w:val="005E0022"/>
    <w:rsid w:val="005E0044"/>
    <w:rsid w:val="005E009D"/>
    <w:rsid w:val="005E036B"/>
    <w:rsid w:val="005E03A3"/>
    <w:rsid w:val="005E041C"/>
    <w:rsid w:val="005E068B"/>
    <w:rsid w:val="005E0990"/>
    <w:rsid w:val="005E0A63"/>
    <w:rsid w:val="005E0BA2"/>
    <w:rsid w:val="005E0BA4"/>
    <w:rsid w:val="005E0C00"/>
    <w:rsid w:val="005E0C21"/>
    <w:rsid w:val="005E0C89"/>
    <w:rsid w:val="005E0DE7"/>
    <w:rsid w:val="005E0E52"/>
    <w:rsid w:val="005E0E78"/>
    <w:rsid w:val="005E0E7C"/>
    <w:rsid w:val="005E0F3E"/>
    <w:rsid w:val="005E11B9"/>
    <w:rsid w:val="005E1202"/>
    <w:rsid w:val="005E134E"/>
    <w:rsid w:val="005E136A"/>
    <w:rsid w:val="005E138E"/>
    <w:rsid w:val="005E13EB"/>
    <w:rsid w:val="005E13F5"/>
    <w:rsid w:val="005E1528"/>
    <w:rsid w:val="005E155E"/>
    <w:rsid w:val="005E1622"/>
    <w:rsid w:val="005E16E3"/>
    <w:rsid w:val="005E16E7"/>
    <w:rsid w:val="005E175E"/>
    <w:rsid w:val="005E17E2"/>
    <w:rsid w:val="005E19FD"/>
    <w:rsid w:val="005E1C10"/>
    <w:rsid w:val="005E1D2F"/>
    <w:rsid w:val="005E1D3C"/>
    <w:rsid w:val="005E1D87"/>
    <w:rsid w:val="005E1DC5"/>
    <w:rsid w:val="005E1EC1"/>
    <w:rsid w:val="005E1EED"/>
    <w:rsid w:val="005E1FE7"/>
    <w:rsid w:val="005E210E"/>
    <w:rsid w:val="005E211A"/>
    <w:rsid w:val="005E2336"/>
    <w:rsid w:val="005E240C"/>
    <w:rsid w:val="005E2414"/>
    <w:rsid w:val="005E249A"/>
    <w:rsid w:val="005E25BA"/>
    <w:rsid w:val="005E2604"/>
    <w:rsid w:val="005E2724"/>
    <w:rsid w:val="005E2743"/>
    <w:rsid w:val="005E2748"/>
    <w:rsid w:val="005E27FD"/>
    <w:rsid w:val="005E2999"/>
    <w:rsid w:val="005E2A53"/>
    <w:rsid w:val="005E2AD7"/>
    <w:rsid w:val="005E2B5E"/>
    <w:rsid w:val="005E2C3E"/>
    <w:rsid w:val="005E2D84"/>
    <w:rsid w:val="005E2E79"/>
    <w:rsid w:val="005E2E85"/>
    <w:rsid w:val="005E2F10"/>
    <w:rsid w:val="005E2FF0"/>
    <w:rsid w:val="005E30AD"/>
    <w:rsid w:val="005E3194"/>
    <w:rsid w:val="005E31C2"/>
    <w:rsid w:val="005E31EF"/>
    <w:rsid w:val="005E3267"/>
    <w:rsid w:val="005E3289"/>
    <w:rsid w:val="005E328E"/>
    <w:rsid w:val="005E32A8"/>
    <w:rsid w:val="005E338C"/>
    <w:rsid w:val="005E33FD"/>
    <w:rsid w:val="005E3422"/>
    <w:rsid w:val="005E3438"/>
    <w:rsid w:val="005E345F"/>
    <w:rsid w:val="005E35D6"/>
    <w:rsid w:val="005E361B"/>
    <w:rsid w:val="005E361E"/>
    <w:rsid w:val="005E3674"/>
    <w:rsid w:val="005E387D"/>
    <w:rsid w:val="005E39A8"/>
    <w:rsid w:val="005E39E4"/>
    <w:rsid w:val="005E3BC1"/>
    <w:rsid w:val="005E3C0D"/>
    <w:rsid w:val="005E3D2D"/>
    <w:rsid w:val="005E3E55"/>
    <w:rsid w:val="005E3E6D"/>
    <w:rsid w:val="005E3EB2"/>
    <w:rsid w:val="005E3EDA"/>
    <w:rsid w:val="005E4016"/>
    <w:rsid w:val="005E40BB"/>
    <w:rsid w:val="005E421C"/>
    <w:rsid w:val="005E430C"/>
    <w:rsid w:val="005E4346"/>
    <w:rsid w:val="005E457A"/>
    <w:rsid w:val="005E45FF"/>
    <w:rsid w:val="005E46F6"/>
    <w:rsid w:val="005E47E1"/>
    <w:rsid w:val="005E47E9"/>
    <w:rsid w:val="005E482C"/>
    <w:rsid w:val="005E4856"/>
    <w:rsid w:val="005E48A1"/>
    <w:rsid w:val="005E48C2"/>
    <w:rsid w:val="005E48FF"/>
    <w:rsid w:val="005E4915"/>
    <w:rsid w:val="005E492C"/>
    <w:rsid w:val="005E4936"/>
    <w:rsid w:val="005E49D6"/>
    <w:rsid w:val="005E49D9"/>
    <w:rsid w:val="005E4AAA"/>
    <w:rsid w:val="005E4AEA"/>
    <w:rsid w:val="005E4B16"/>
    <w:rsid w:val="005E4B41"/>
    <w:rsid w:val="005E4B77"/>
    <w:rsid w:val="005E4BF9"/>
    <w:rsid w:val="005E4C09"/>
    <w:rsid w:val="005E4C61"/>
    <w:rsid w:val="005E4C6D"/>
    <w:rsid w:val="005E4D3B"/>
    <w:rsid w:val="005E4ECC"/>
    <w:rsid w:val="005E4F9D"/>
    <w:rsid w:val="005E5066"/>
    <w:rsid w:val="005E507A"/>
    <w:rsid w:val="005E508F"/>
    <w:rsid w:val="005E5146"/>
    <w:rsid w:val="005E5399"/>
    <w:rsid w:val="005E55D8"/>
    <w:rsid w:val="005E568A"/>
    <w:rsid w:val="005E5798"/>
    <w:rsid w:val="005E57EA"/>
    <w:rsid w:val="005E59B5"/>
    <w:rsid w:val="005E59F8"/>
    <w:rsid w:val="005E5A2A"/>
    <w:rsid w:val="005E5C1A"/>
    <w:rsid w:val="005E5C26"/>
    <w:rsid w:val="005E5C5E"/>
    <w:rsid w:val="005E5D72"/>
    <w:rsid w:val="005E5DBD"/>
    <w:rsid w:val="005E6117"/>
    <w:rsid w:val="005E61E7"/>
    <w:rsid w:val="005E62B1"/>
    <w:rsid w:val="005E63F6"/>
    <w:rsid w:val="005E6425"/>
    <w:rsid w:val="005E6436"/>
    <w:rsid w:val="005E6438"/>
    <w:rsid w:val="005E651F"/>
    <w:rsid w:val="005E65B1"/>
    <w:rsid w:val="005E6676"/>
    <w:rsid w:val="005E685E"/>
    <w:rsid w:val="005E6BF9"/>
    <w:rsid w:val="005E6CBD"/>
    <w:rsid w:val="005E6D52"/>
    <w:rsid w:val="005E6D67"/>
    <w:rsid w:val="005E6DA9"/>
    <w:rsid w:val="005E6FAE"/>
    <w:rsid w:val="005E6FDC"/>
    <w:rsid w:val="005E6FE4"/>
    <w:rsid w:val="005E6FF8"/>
    <w:rsid w:val="005E7033"/>
    <w:rsid w:val="005E70BE"/>
    <w:rsid w:val="005E7293"/>
    <w:rsid w:val="005E7329"/>
    <w:rsid w:val="005E73EE"/>
    <w:rsid w:val="005E73F0"/>
    <w:rsid w:val="005E74D3"/>
    <w:rsid w:val="005E753E"/>
    <w:rsid w:val="005E7678"/>
    <w:rsid w:val="005E780E"/>
    <w:rsid w:val="005E7835"/>
    <w:rsid w:val="005E7900"/>
    <w:rsid w:val="005E7AA0"/>
    <w:rsid w:val="005E7ACE"/>
    <w:rsid w:val="005E7B2C"/>
    <w:rsid w:val="005E7B4C"/>
    <w:rsid w:val="005E7B58"/>
    <w:rsid w:val="005E7B76"/>
    <w:rsid w:val="005E7BE0"/>
    <w:rsid w:val="005E7C62"/>
    <w:rsid w:val="005E7D1F"/>
    <w:rsid w:val="005E7E7C"/>
    <w:rsid w:val="005E7F1E"/>
    <w:rsid w:val="005E7FA6"/>
    <w:rsid w:val="005E7FAB"/>
    <w:rsid w:val="005E7FE7"/>
    <w:rsid w:val="005F00DF"/>
    <w:rsid w:val="005F0111"/>
    <w:rsid w:val="005F01BE"/>
    <w:rsid w:val="005F025C"/>
    <w:rsid w:val="005F0341"/>
    <w:rsid w:val="005F0563"/>
    <w:rsid w:val="005F061D"/>
    <w:rsid w:val="005F06EC"/>
    <w:rsid w:val="005F07D7"/>
    <w:rsid w:val="005F07DF"/>
    <w:rsid w:val="005F07F7"/>
    <w:rsid w:val="005F0805"/>
    <w:rsid w:val="005F088D"/>
    <w:rsid w:val="005F09A2"/>
    <w:rsid w:val="005F09BB"/>
    <w:rsid w:val="005F0A7F"/>
    <w:rsid w:val="005F0AB7"/>
    <w:rsid w:val="005F0BCB"/>
    <w:rsid w:val="005F0C3E"/>
    <w:rsid w:val="005F0D48"/>
    <w:rsid w:val="005F0E6F"/>
    <w:rsid w:val="005F101C"/>
    <w:rsid w:val="005F10C7"/>
    <w:rsid w:val="005F10CE"/>
    <w:rsid w:val="005F1166"/>
    <w:rsid w:val="005F1298"/>
    <w:rsid w:val="005F1317"/>
    <w:rsid w:val="005F143A"/>
    <w:rsid w:val="005F156A"/>
    <w:rsid w:val="005F15F8"/>
    <w:rsid w:val="005F1610"/>
    <w:rsid w:val="005F162C"/>
    <w:rsid w:val="005F16DB"/>
    <w:rsid w:val="005F17AC"/>
    <w:rsid w:val="005F1870"/>
    <w:rsid w:val="005F1881"/>
    <w:rsid w:val="005F1892"/>
    <w:rsid w:val="005F19B2"/>
    <w:rsid w:val="005F1AA9"/>
    <w:rsid w:val="005F1B01"/>
    <w:rsid w:val="005F1B04"/>
    <w:rsid w:val="005F1B7A"/>
    <w:rsid w:val="005F1C6D"/>
    <w:rsid w:val="005F1CF3"/>
    <w:rsid w:val="005F1CF9"/>
    <w:rsid w:val="005F1DAF"/>
    <w:rsid w:val="005F1DB2"/>
    <w:rsid w:val="005F1E08"/>
    <w:rsid w:val="005F1F78"/>
    <w:rsid w:val="005F2006"/>
    <w:rsid w:val="005F2028"/>
    <w:rsid w:val="005F20A1"/>
    <w:rsid w:val="005F20CB"/>
    <w:rsid w:val="005F20DA"/>
    <w:rsid w:val="005F213E"/>
    <w:rsid w:val="005F22E2"/>
    <w:rsid w:val="005F2392"/>
    <w:rsid w:val="005F2409"/>
    <w:rsid w:val="005F2482"/>
    <w:rsid w:val="005F24C8"/>
    <w:rsid w:val="005F25CD"/>
    <w:rsid w:val="005F25D9"/>
    <w:rsid w:val="005F2659"/>
    <w:rsid w:val="005F266B"/>
    <w:rsid w:val="005F26D0"/>
    <w:rsid w:val="005F2738"/>
    <w:rsid w:val="005F2858"/>
    <w:rsid w:val="005F28D3"/>
    <w:rsid w:val="005F29C9"/>
    <w:rsid w:val="005F2B57"/>
    <w:rsid w:val="005F2BD7"/>
    <w:rsid w:val="005F2C94"/>
    <w:rsid w:val="005F2C9F"/>
    <w:rsid w:val="005F2D09"/>
    <w:rsid w:val="005F2ED2"/>
    <w:rsid w:val="005F2EF4"/>
    <w:rsid w:val="005F2F63"/>
    <w:rsid w:val="005F2F92"/>
    <w:rsid w:val="005F2FB8"/>
    <w:rsid w:val="005F3025"/>
    <w:rsid w:val="005F32C4"/>
    <w:rsid w:val="005F3565"/>
    <w:rsid w:val="005F3689"/>
    <w:rsid w:val="005F3796"/>
    <w:rsid w:val="005F379A"/>
    <w:rsid w:val="005F3D55"/>
    <w:rsid w:val="005F3E95"/>
    <w:rsid w:val="005F3E9E"/>
    <w:rsid w:val="005F3EAF"/>
    <w:rsid w:val="005F3FAC"/>
    <w:rsid w:val="005F4087"/>
    <w:rsid w:val="005F414D"/>
    <w:rsid w:val="005F416E"/>
    <w:rsid w:val="005F4177"/>
    <w:rsid w:val="005F4229"/>
    <w:rsid w:val="005F43D3"/>
    <w:rsid w:val="005F45E7"/>
    <w:rsid w:val="005F45FD"/>
    <w:rsid w:val="005F467B"/>
    <w:rsid w:val="005F470F"/>
    <w:rsid w:val="005F4863"/>
    <w:rsid w:val="005F4A09"/>
    <w:rsid w:val="005F4B10"/>
    <w:rsid w:val="005F4C18"/>
    <w:rsid w:val="005F4D10"/>
    <w:rsid w:val="005F4D2F"/>
    <w:rsid w:val="005F4E52"/>
    <w:rsid w:val="005F4F99"/>
    <w:rsid w:val="005F5123"/>
    <w:rsid w:val="005F5148"/>
    <w:rsid w:val="005F51D4"/>
    <w:rsid w:val="005F52C2"/>
    <w:rsid w:val="005F5353"/>
    <w:rsid w:val="005F535F"/>
    <w:rsid w:val="005F53E3"/>
    <w:rsid w:val="005F546F"/>
    <w:rsid w:val="005F54F0"/>
    <w:rsid w:val="005F5533"/>
    <w:rsid w:val="005F5551"/>
    <w:rsid w:val="005F5743"/>
    <w:rsid w:val="005F577B"/>
    <w:rsid w:val="005F57C7"/>
    <w:rsid w:val="005F58B4"/>
    <w:rsid w:val="005F59D4"/>
    <w:rsid w:val="005F5A58"/>
    <w:rsid w:val="005F5ABE"/>
    <w:rsid w:val="005F5AE3"/>
    <w:rsid w:val="005F5B31"/>
    <w:rsid w:val="005F5D7B"/>
    <w:rsid w:val="005F5E22"/>
    <w:rsid w:val="005F5FBF"/>
    <w:rsid w:val="005F5FC8"/>
    <w:rsid w:val="005F61D2"/>
    <w:rsid w:val="005F631F"/>
    <w:rsid w:val="005F6453"/>
    <w:rsid w:val="005F6458"/>
    <w:rsid w:val="005F64A0"/>
    <w:rsid w:val="005F65AC"/>
    <w:rsid w:val="005F65BC"/>
    <w:rsid w:val="005F664A"/>
    <w:rsid w:val="005F66CF"/>
    <w:rsid w:val="005F681B"/>
    <w:rsid w:val="005F685A"/>
    <w:rsid w:val="005F691B"/>
    <w:rsid w:val="005F6963"/>
    <w:rsid w:val="005F69BA"/>
    <w:rsid w:val="005F6AF5"/>
    <w:rsid w:val="005F6D0A"/>
    <w:rsid w:val="005F6D1B"/>
    <w:rsid w:val="005F6D3A"/>
    <w:rsid w:val="005F6D4F"/>
    <w:rsid w:val="005F6D9B"/>
    <w:rsid w:val="005F6ECE"/>
    <w:rsid w:val="005F6F41"/>
    <w:rsid w:val="005F6FA8"/>
    <w:rsid w:val="005F7035"/>
    <w:rsid w:val="005F71C1"/>
    <w:rsid w:val="005F71F6"/>
    <w:rsid w:val="005F726C"/>
    <w:rsid w:val="005F72D6"/>
    <w:rsid w:val="005F7326"/>
    <w:rsid w:val="005F73CE"/>
    <w:rsid w:val="005F763A"/>
    <w:rsid w:val="005F79CC"/>
    <w:rsid w:val="005F7E06"/>
    <w:rsid w:val="005F7E38"/>
    <w:rsid w:val="005F7E7C"/>
    <w:rsid w:val="005F7F14"/>
    <w:rsid w:val="005F7F6B"/>
    <w:rsid w:val="0060000E"/>
    <w:rsid w:val="00600196"/>
    <w:rsid w:val="0060028E"/>
    <w:rsid w:val="006002B5"/>
    <w:rsid w:val="006002B9"/>
    <w:rsid w:val="006002E7"/>
    <w:rsid w:val="0060039E"/>
    <w:rsid w:val="006004B3"/>
    <w:rsid w:val="006004CC"/>
    <w:rsid w:val="0060053D"/>
    <w:rsid w:val="006005D1"/>
    <w:rsid w:val="0060066E"/>
    <w:rsid w:val="00600761"/>
    <w:rsid w:val="0060077C"/>
    <w:rsid w:val="006007F9"/>
    <w:rsid w:val="006008BD"/>
    <w:rsid w:val="006008EF"/>
    <w:rsid w:val="006008F2"/>
    <w:rsid w:val="00600949"/>
    <w:rsid w:val="00600B4C"/>
    <w:rsid w:val="00600C11"/>
    <w:rsid w:val="00600C37"/>
    <w:rsid w:val="00600C92"/>
    <w:rsid w:val="00600FC0"/>
    <w:rsid w:val="00600FDE"/>
    <w:rsid w:val="00600FE0"/>
    <w:rsid w:val="00600FE2"/>
    <w:rsid w:val="0060105C"/>
    <w:rsid w:val="0060122D"/>
    <w:rsid w:val="00601315"/>
    <w:rsid w:val="0060133A"/>
    <w:rsid w:val="00601371"/>
    <w:rsid w:val="0060143A"/>
    <w:rsid w:val="006015EF"/>
    <w:rsid w:val="00601704"/>
    <w:rsid w:val="0060177D"/>
    <w:rsid w:val="00601847"/>
    <w:rsid w:val="00601872"/>
    <w:rsid w:val="00601922"/>
    <w:rsid w:val="00601960"/>
    <w:rsid w:val="00601AD5"/>
    <w:rsid w:val="00601BCE"/>
    <w:rsid w:val="00601BCF"/>
    <w:rsid w:val="00601BDB"/>
    <w:rsid w:val="00601CD6"/>
    <w:rsid w:val="00601D15"/>
    <w:rsid w:val="00601DD0"/>
    <w:rsid w:val="00601E2D"/>
    <w:rsid w:val="00601E5B"/>
    <w:rsid w:val="00601F70"/>
    <w:rsid w:val="00602004"/>
    <w:rsid w:val="0060226C"/>
    <w:rsid w:val="00602272"/>
    <w:rsid w:val="0060234E"/>
    <w:rsid w:val="006023B3"/>
    <w:rsid w:val="00602401"/>
    <w:rsid w:val="00602442"/>
    <w:rsid w:val="0060253D"/>
    <w:rsid w:val="0060257D"/>
    <w:rsid w:val="006025C1"/>
    <w:rsid w:val="0060267B"/>
    <w:rsid w:val="006027CE"/>
    <w:rsid w:val="006027E2"/>
    <w:rsid w:val="00602810"/>
    <w:rsid w:val="0060290D"/>
    <w:rsid w:val="00602A24"/>
    <w:rsid w:val="00602A55"/>
    <w:rsid w:val="00602B63"/>
    <w:rsid w:val="00602C25"/>
    <w:rsid w:val="00602D0F"/>
    <w:rsid w:val="00602F30"/>
    <w:rsid w:val="00602F3A"/>
    <w:rsid w:val="00603049"/>
    <w:rsid w:val="00603061"/>
    <w:rsid w:val="00603066"/>
    <w:rsid w:val="0060306D"/>
    <w:rsid w:val="0060324E"/>
    <w:rsid w:val="00603259"/>
    <w:rsid w:val="006033FC"/>
    <w:rsid w:val="00603490"/>
    <w:rsid w:val="00603677"/>
    <w:rsid w:val="006036F5"/>
    <w:rsid w:val="00603761"/>
    <w:rsid w:val="00603775"/>
    <w:rsid w:val="006037AA"/>
    <w:rsid w:val="00603842"/>
    <w:rsid w:val="00603C20"/>
    <w:rsid w:val="00603CE9"/>
    <w:rsid w:val="00603D86"/>
    <w:rsid w:val="00604061"/>
    <w:rsid w:val="00604078"/>
    <w:rsid w:val="006040C4"/>
    <w:rsid w:val="006040EE"/>
    <w:rsid w:val="00604107"/>
    <w:rsid w:val="00604119"/>
    <w:rsid w:val="0060413D"/>
    <w:rsid w:val="00604343"/>
    <w:rsid w:val="006043F8"/>
    <w:rsid w:val="006045E9"/>
    <w:rsid w:val="006046D4"/>
    <w:rsid w:val="0060472A"/>
    <w:rsid w:val="00604738"/>
    <w:rsid w:val="00604780"/>
    <w:rsid w:val="006047A8"/>
    <w:rsid w:val="00604848"/>
    <w:rsid w:val="00604877"/>
    <w:rsid w:val="006049DB"/>
    <w:rsid w:val="00604A25"/>
    <w:rsid w:val="00604A4A"/>
    <w:rsid w:val="00604A5F"/>
    <w:rsid w:val="00604A7A"/>
    <w:rsid w:val="00604B07"/>
    <w:rsid w:val="00604B4A"/>
    <w:rsid w:val="00604C15"/>
    <w:rsid w:val="00604D84"/>
    <w:rsid w:val="00604DC0"/>
    <w:rsid w:val="00604F1B"/>
    <w:rsid w:val="00604F9B"/>
    <w:rsid w:val="00604FD9"/>
    <w:rsid w:val="00605098"/>
    <w:rsid w:val="006050E1"/>
    <w:rsid w:val="0060515F"/>
    <w:rsid w:val="0060516C"/>
    <w:rsid w:val="00605229"/>
    <w:rsid w:val="006053B5"/>
    <w:rsid w:val="006054B3"/>
    <w:rsid w:val="006054F7"/>
    <w:rsid w:val="00605541"/>
    <w:rsid w:val="00605635"/>
    <w:rsid w:val="0060566E"/>
    <w:rsid w:val="00605740"/>
    <w:rsid w:val="00605859"/>
    <w:rsid w:val="00605B45"/>
    <w:rsid w:val="00605BE1"/>
    <w:rsid w:val="00605BF8"/>
    <w:rsid w:val="00605C27"/>
    <w:rsid w:val="00605E81"/>
    <w:rsid w:val="00605F28"/>
    <w:rsid w:val="00606020"/>
    <w:rsid w:val="00606025"/>
    <w:rsid w:val="00606141"/>
    <w:rsid w:val="0060614A"/>
    <w:rsid w:val="00606153"/>
    <w:rsid w:val="006061F4"/>
    <w:rsid w:val="0060624B"/>
    <w:rsid w:val="00606260"/>
    <w:rsid w:val="00606305"/>
    <w:rsid w:val="00606317"/>
    <w:rsid w:val="00606411"/>
    <w:rsid w:val="0060643A"/>
    <w:rsid w:val="00606485"/>
    <w:rsid w:val="00606491"/>
    <w:rsid w:val="006064D5"/>
    <w:rsid w:val="0060694C"/>
    <w:rsid w:val="00606A46"/>
    <w:rsid w:val="00606BD9"/>
    <w:rsid w:val="00606CD6"/>
    <w:rsid w:val="00606D26"/>
    <w:rsid w:val="00606D6C"/>
    <w:rsid w:val="00606E66"/>
    <w:rsid w:val="00606E88"/>
    <w:rsid w:val="00606E8E"/>
    <w:rsid w:val="00606EF4"/>
    <w:rsid w:val="00606F64"/>
    <w:rsid w:val="00607057"/>
    <w:rsid w:val="006070BB"/>
    <w:rsid w:val="006070D0"/>
    <w:rsid w:val="0060710A"/>
    <w:rsid w:val="00607112"/>
    <w:rsid w:val="00607218"/>
    <w:rsid w:val="0060732F"/>
    <w:rsid w:val="00607497"/>
    <w:rsid w:val="00607521"/>
    <w:rsid w:val="0060757D"/>
    <w:rsid w:val="00607604"/>
    <w:rsid w:val="00607646"/>
    <w:rsid w:val="0060764A"/>
    <w:rsid w:val="006076A0"/>
    <w:rsid w:val="00607714"/>
    <w:rsid w:val="00607746"/>
    <w:rsid w:val="006077B1"/>
    <w:rsid w:val="006078A8"/>
    <w:rsid w:val="00607903"/>
    <w:rsid w:val="006079B3"/>
    <w:rsid w:val="00607C5A"/>
    <w:rsid w:val="00607E2F"/>
    <w:rsid w:val="00607E59"/>
    <w:rsid w:val="00607E87"/>
    <w:rsid w:val="00607E97"/>
    <w:rsid w:val="00607EB6"/>
    <w:rsid w:val="00607EC1"/>
    <w:rsid w:val="00607EF5"/>
    <w:rsid w:val="00607F7D"/>
    <w:rsid w:val="006100DD"/>
    <w:rsid w:val="00610105"/>
    <w:rsid w:val="0061027A"/>
    <w:rsid w:val="006102BF"/>
    <w:rsid w:val="00610301"/>
    <w:rsid w:val="006103C0"/>
    <w:rsid w:val="0061049F"/>
    <w:rsid w:val="006104BE"/>
    <w:rsid w:val="00610528"/>
    <w:rsid w:val="00610699"/>
    <w:rsid w:val="006106C1"/>
    <w:rsid w:val="0061073A"/>
    <w:rsid w:val="00610774"/>
    <w:rsid w:val="0061079B"/>
    <w:rsid w:val="006107F0"/>
    <w:rsid w:val="0061088E"/>
    <w:rsid w:val="006109C4"/>
    <w:rsid w:val="00610A2B"/>
    <w:rsid w:val="00610A6F"/>
    <w:rsid w:val="00610AD0"/>
    <w:rsid w:val="00610B01"/>
    <w:rsid w:val="00610E65"/>
    <w:rsid w:val="00610EF6"/>
    <w:rsid w:val="00611159"/>
    <w:rsid w:val="0061123F"/>
    <w:rsid w:val="00611241"/>
    <w:rsid w:val="00611398"/>
    <w:rsid w:val="00611437"/>
    <w:rsid w:val="006114EF"/>
    <w:rsid w:val="0061150A"/>
    <w:rsid w:val="006115A1"/>
    <w:rsid w:val="0061160D"/>
    <w:rsid w:val="00611638"/>
    <w:rsid w:val="00611669"/>
    <w:rsid w:val="00611975"/>
    <w:rsid w:val="006119A6"/>
    <w:rsid w:val="00611A55"/>
    <w:rsid w:val="00611A75"/>
    <w:rsid w:val="00611AB2"/>
    <w:rsid w:val="00611BD5"/>
    <w:rsid w:val="00611BF0"/>
    <w:rsid w:val="00611BF4"/>
    <w:rsid w:val="00611C19"/>
    <w:rsid w:val="00611C2C"/>
    <w:rsid w:val="00611C99"/>
    <w:rsid w:val="00611D3A"/>
    <w:rsid w:val="00611F06"/>
    <w:rsid w:val="006121C4"/>
    <w:rsid w:val="006121EF"/>
    <w:rsid w:val="006122F0"/>
    <w:rsid w:val="0061231F"/>
    <w:rsid w:val="006123B9"/>
    <w:rsid w:val="006124C4"/>
    <w:rsid w:val="006125AE"/>
    <w:rsid w:val="00612736"/>
    <w:rsid w:val="00612771"/>
    <w:rsid w:val="006127E7"/>
    <w:rsid w:val="00612813"/>
    <w:rsid w:val="00612953"/>
    <w:rsid w:val="00612A2B"/>
    <w:rsid w:val="00612AC3"/>
    <w:rsid w:val="00612B6B"/>
    <w:rsid w:val="00612C66"/>
    <w:rsid w:val="00612D3B"/>
    <w:rsid w:val="00612E2E"/>
    <w:rsid w:val="00612E8F"/>
    <w:rsid w:val="00612F63"/>
    <w:rsid w:val="00612FBE"/>
    <w:rsid w:val="0061346B"/>
    <w:rsid w:val="0061356C"/>
    <w:rsid w:val="00613649"/>
    <w:rsid w:val="00613653"/>
    <w:rsid w:val="0061385A"/>
    <w:rsid w:val="006138FA"/>
    <w:rsid w:val="0061395C"/>
    <w:rsid w:val="00613A82"/>
    <w:rsid w:val="00613AC0"/>
    <w:rsid w:val="00613DAF"/>
    <w:rsid w:val="00613EAB"/>
    <w:rsid w:val="00613EF4"/>
    <w:rsid w:val="00613EFD"/>
    <w:rsid w:val="00613F61"/>
    <w:rsid w:val="00613FD0"/>
    <w:rsid w:val="00614075"/>
    <w:rsid w:val="00614099"/>
    <w:rsid w:val="006140BB"/>
    <w:rsid w:val="0061415C"/>
    <w:rsid w:val="00614295"/>
    <w:rsid w:val="006142A6"/>
    <w:rsid w:val="00614337"/>
    <w:rsid w:val="00614354"/>
    <w:rsid w:val="006145E8"/>
    <w:rsid w:val="0061465B"/>
    <w:rsid w:val="006147C8"/>
    <w:rsid w:val="00614865"/>
    <w:rsid w:val="00614914"/>
    <w:rsid w:val="0061493E"/>
    <w:rsid w:val="00614980"/>
    <w:rsid w:val="00614A7B"/>
    <w:rsid w:val="00614C34"/>
    <w:rsid w:val="00614C83"/>
    <w:rsid w:val="00614CBD"/>
    <w:rsid w:val="00614DB6"/>
    <w:rsid w:val="00614DD4"/>
    <w:rsid w:val="00614ED8"/>
    <w:rsid w:val="00614FA7"/>
    <w:rsid w:val="00614FE0"/>
    <w:rsid w:val="006150BB"/>
    <w:rsid w:val="006150DF"/>
    <w:rsid w:val="00615104"/>
    <w:rsid w:val="006151DA"/>
    <w:rsid w:val="006152B4"/>
    <w:rsid w:val="006152DB"/>
    <w:rsid w:val="0061554C"/>
    <w:rsid w:val="0061554D"/>
    <w:rsid w:val="00615570"/>
    <w:rsid w:val="006155AD"/>
    <w:rsid w:val="006156D2"/>
    <w:rsid w:val="006156F3"/>
    <w:rsid w:val="0061578D"/>
    <w:rsid w:val="006157B3"/>
    <w:rsid w:val="006157D0"/>
    <w:rsid w:val="006157F2"/>
    <w:rsid w:val="0061583B"/>
    <w:rsid w:val="00615953"/>
    <w:rsid w:val="00615BC5"/>
    <w:rsid w:val="00615C2E"/>
    <w:rsid w:val="00615CFB"/>
    <w:rsid w:val="00615D96"/>
    <w:rsid w:val="00615E06"/>
    <w:rsid w:val="00615EBF"/>
    <w:rsid w:val="00615F47"/>
    <w:rsid w:val="0061601D"/>
    <w:rsid w:val="00616192"/>
    <w:rsid w:val="0061629B"/>
    <w:rsid w:val="006162AE"/>
    <w:rsid w:val="00616306"/>
    <w:rsid w:val="00616355"/>
    <w:rsid w:val="006163C9"/>
    <w:rsid w:val="00616697"/>
    <w:rsid w:val="006166D4"/>
    <w:rsid w:val="00616799"/>
    <w:rsid w:val="006167C6"/>
    <w:rsid w:val="0061695A"/>
    <w:rsid w:val="006169F4"/>
    <w:rsid w:val="00616D22"/>
    <w:rsid w:val="00616EA2"/>
    <w:rsid w:val="00616ED5"/>
    <w:rsid w:val="00616EE0"/>
    <w:rsid w:val="00616FFD"/>
    <w:rsid w:val="0061703E"/>
    <w:rsid w:val="006170F4"/>
    <w:rsid w:val="00617124"/>
    <w:rsid w:val="00617241"/>
    <w:rsid w:val="00617260"/>
    <w:rsid w:val="006172BD"/>
    <w:rsid w:val="00617404"/>
    <w:rsid w:val="0061754A"/>
    <w:rsid w:val="0061772D"/>
    <w:rsid w:val="0061776D"/>
    <w:rsid w:val="006178E5"/>
    <w:rsid w:val="00617913"/>
    <w:rsid w:val="006179F6"/>
    <w:rsid w:val="00617A2F"/>
    <w:rsid w:val="00617A85"/>
    <w:rsid w:val="00617BBD"/>
    <w:rsid w:val="00617C94"/>
    <w:rsid w:val="00617E11"/>
    <w:rsid w:val="00617F01"/>
    <w:rsid w:val="00617F73"/>
    <w:rsid w:val="006200E4"/>
    <w:rsid w:val="006201C7"/>
    <w:rsid w:val="006201D7"/>
    <w:rsid w:val="00620248"/>
    <w:rsid w:val="006202B5"/>
    <w:rsid w:val="006203CB"/>
    <w:rsid w:val="006203CD"/>
    <w:rsid w:val="00620582"/>
    <w:rsid w:val="006205C7"/>
    <w:rsid w:val="0062083D"/>
    <w:rsid w:val="00620882"/>
    <w:rsid w:val="00620B2B"/>
    <w:rsid w:val="00620BD3"/>
    <w:rsid w:val="00620D36"/>
    <w:rsid w:val="00620E01"/>
    <w:rsid w:val="00620E25"/>
    <w:rsid w:val="00620E71"/>
    <w:rsid w:val="00620F7C"/>
    <w:rsid w:val="00620FCC"/>
    <w:rsid w:val="0062118B"/>
    <w:rsid w:val="00621192"/>
    <w:rsid w:val="00621469"/>
    <w:rsid w:val="00621481"/>
    <w:rsid w:val="006214B8"/>
    <w:rsid w:val="006215E5"/>
    <w:rsid w:val="00621611"/>
    <w:rsid w:val="0062166C"/>
    <w:rsid w:val="0062172E"/>
    <w:rsid w:val="006217AE"/>
    <w:rsid w:val="00621C27"/>
    <w:rsid w:val="00621C8D"/>
    <w:rsid w:val="00621CC4"/>
    <w:rsid w:val="00621D2C"/>
    <w:rsid w:val="00621F04"/>
    <w:rsid w:val="00621FB5"/>
    <w:rsid w:val="0062204C"/>
    <w:rsid w:val="00622090"/>
    <w:rsid w:val="00622182"/>
    <w:rsid w:val="0062224F"/>
    <w:rsid w:val="00622285"/>
    <w:rsid w:val="006224CA"/>
    <w:rsid w:val="00622537"/>
    <w:rsid w:val="00622557"/>
    <w:rsid w:val="00622627"/>
    <w:rsid w:val="00622808"/>
    <w:rsid w:val="00622840"/>
    <w:rsid w:val="00622851"/>
    <w:rsid w:val="006228CC"/>
    <w:rsid w:val="006228D9"/>
    <w:rsid w:val="006228EC"/>
    <w:rsid w:val="00622925"/>
    <w:rsid w:val="00622A78"/>
    <w:rsid w:val="00622B06"/>
    <w:rsid w:val="00622B26"/>
    <w:rsid w:val="00622B53"/>
    <w:rsid w:val="00622C01"/>
    <w:rsid w:val="00622CEF"/>
    <w:rsid w:val="00622D08"/>
    <w:rsid w:val="00622E1D"/>
    <w:rsid w:val="00622F65"/>
    <w:rsid w:val="00622F7F"/>
    <w:rsid w:val="00623139"/>
    <w:rsid w:val="00623199"/>
    <w:rsid w:val="00623374"/>
    <w:rsid w:val="0062338B"/>
    <w:rsid w:val="006233D0"/>
    <w:rsid w:val="00623428"/>
    <w:rsid w:val="006234E9"/>
    <w:rsid w:val="006235B7"/>
    <w:rsid w:val="00623622"/>
    <w:rsid w:val="00623625"/>
    <w:rsid w:val="00623651"/>
    <w:rsid w:val="00623699"/>
    <w:rsid w:val="006237A3"/>
    <w:rsid w:val="0062386A"/>
    <w:rsid w:val="006239CC"/>
    <w:rsid w:val="00623A6D"/>
    <w:rsid w:val="00623CB8"/>
    <w:rsid w:val="00623CC7"/>
    <w:rsid w:val="00623D4D"/>
    <w:rsid w:val="00623DCA"/>
    <w:rsid w:val="0062400F"/>
    <w:rsid w:val="0062402C"/>
    <w:rsid w:val="006240A3"/>
    <w:rsid w:val="006240EA"/>
    <w:rsid w:val="0062415A"/>
    <w:rsid w:val="00624241"/>
    <w:rsid w:val="00624242"/>
    <w:rsid w:val="006243C9"/>
    <w:rsid w:val="006243D6"/>
    <w:rsid w:val="00624493"/>
    <w:rsid w:val="006244AD"/>
    <w:rsid w:val="006245CD"/>
    <w:rsid w:val="0062461F"/>
    <w:rsid w:val="00624663"/>
    <w:rsid w:val="006246FE"/>
    <w:rsid w:val="0062479A"/>
    <w:rsid w:val="00624878"/>
    <w:rsid w:val="0062487B"/>
    <w:rsid w:val="00624B48"/>
    <w:rsid w:val="00624BCE"/>
    <w:rsid w:val="00624C3D"/>
    <w:rsid w:val="00624E7E"/>
    <w:rsid w:val="00624F77"/>
    <w:rsid w:val="00624F80"/>
    <w:rsid w:val="00625002"/>
    <w:rsid w:val="006250CB"/>
    <w:rsid w:val="0062514E"/>
    <w:rsid w:val="006251D5"/>
    <w:rsid w:val="006253B8"/>
    <w:rsid w:val="006253F8"/>
    <w:rsid w:val="00625490"/>
    <w:rsid w:val="006254C0"/>
    <w:rsid w:val="006254D6"/>
    <w:rsid w:val="006254F0"/>
    <w:rsid w:val="006254FB"/>
    <w:rsid w:val="0062558E"/>
    <w:rsid w:val="006257ED"/>
    <w:rsid w:val="00625879"/>
    <w:rsid w:val="006258CA"/>
    <w:rsid w:val="006259B2"/>
    <w:rsid w:val="00625A02"/>
    <w:rsid w:val="00625A69"/>
    <w:rsid w:val="00625B01"/>
    <w:rsid w:val="00625B20"/>
    <w:rsid w:val="00625C0B"/>
    <w:rsid w:val="00625C7E"/>
    <w:rsid w:val="00625CAE"/>
    <w:rsid w:val="00625D57"/>
    <w:rsid w:val="00625FA2"/>
    <w:rsid w:val="006261F7"/>
    <w:rsid w:val="006264D2"/>
    <w:rsid w:val="006264D5"/>
    <w:rsid w:val="0062679A"/>
    <w:rsid w:val="006267AC"/>
    <w:rsid w:val="0062683D"/>
    <w:rsid w:val="00626859"/>
    <w:rsid w:val="00626915"/>
    <w:rsid w:val="0062693E"/>
    <w:rsid w:val="00626956"/>
    <w:rsid w:val="0062695A"/>
    <w:rsid w:val="00626BA9"/>
    <w:rsid w:val="00626C50"/>
    <w:rsid w:val="00626C52"/>
    <w:rsid w:val="00626C82"/>
    <w:rsid w:val="00626D72"/>
    <w:rsid w:val="00626D76"/>
    <w:rsid w:val="00626D7D"/>
    <w:rsid w:val="00626DE3"/>
    <w:rsid w:val="00626E1A"/>
    <w:rsid w:val="00626F0F"/>
    <w:rsid w:val="00626F6E"/>
    <w:rsid w:val="0062705A"/>
    <w:rsid w:val="00627114"/>
    <w:rsid w:val="006271D0"/>
    <w:rsid w:val="00627226"/>
    <w:rsid w:val="00627277"/>
    <w:rsid w:val="00627297"/>
    <w:rsid w:val="006272DF"/>
    <w:rsid w:val="0062742F"/>
    <w:rsid w:val="0062745B"/>
    <w:rsid w:val="006275FF"/>
    <w:rsid w:val="00627673"/>
    <w:rsid w:val="00627760"/>
    <w:rsid w:val="0062782B"/>
    <w:rsid w:val="00627AEE"/>
    <w:rsid w:val="00627B1D"/>
    <w:rsid w:val="00627B41"/>
    <w:rsid w:val="00627D3E"/>
    <w:rsid w:val="00627DBF"/>
    <w:rsid w:val="00627DC4"/>
    <w:rsid w:val="00627DDB"/>
    <w:rsid w:val="00627EE3"/>
    <w:rsid w:val="00627F33"/>
    <w:rsid w:val="00630035"/>
    <w:rsid w:val="00630067"/>
    <w:rsid w:val="00630184"/>
    <w:rsid w:val="00630290"/>
    <w:rsid w:val="00630409"/>
    <w:rsid w:val="006304C3"/>
    <w:rsid w:val="006305EE"/>
    <w:rsid w:val="0063063B"/>
    <w:rsid w:val="006307E2"/>
    <w:rsid w:val="00630A31"/>
    <w:rsid w:val="00630A70"/>
    <w:rsid w:val="00630B57"/>
    <w:rsid w:val="00630D6D"/>
    <w:rsid w:val="00630D7B"/>
    <w:rsid w:val="00630D96"/>
    <w:rsid w:val="00630E28"/>
    <w:rsid w:val="00630F23"/>
    <w:rsid w:val="00630FD9"/>
    <w:rsid w:val="00630FF7"/>
    <w:rsid w:val="00631031"/>
    <w:rsid w:val="00631108"/>
    <w:rsid w:val="00631169"/>
    <w:rsid w:val="0063119B"/>
    <w:rsid w:val="006312ED"/>
    <w:rsid w:val="0063130C"/>
    <w:rsid w:val="006313F8"/>
    <w:rsid w:val="00631541"/>
    <w:rsid w:val="006315ED"/>
    <w:rsid w:val="00631642"/>
    <w:rsid w:val="0063172B"/>
    <w:rsid w:val="0063192A"/>
    <w:rsid w:val="0063194F"/>
    <w:rsid w:val="00631976"/>
    <w:rsid w:val="00631A40"/>
    <w:rsid w:val="00631AE1"/>
    <w:rsid w:val="00631C54"/>
    <w:rsid w:val="00631CBA"/>
    <w:rsid w:val="00631DED"/>
    <w:rsid w:val="00631DFE"/>
    <w:rsid w:val="00631E1B"/>
    <w:rsid w:val="00631E49"/>
    <w:rsid w:val="0063203D"/>
    <w:rsid w:val="0063215E"/>
    <w:rsid w:val="006322EA"/>
    <w:rsid w:val="00632396"/>
    <w:rsid w:val="006323B4"/>
    <w:rsid w:val="006323E5"/>
    <w:rsid w:val="006325B4"/>
    <w:rsid w:val="006325DB"/>
    <w:rsid w:val="00632666"/>
    <w:rsid w:val="00632707"/>
    <w:rsid w:val="0063276E"/>
    <w:rsid w:val="0063278B"/>
    <w:rsid w:val="006328F5"/>
    <w:rsid w:val="00632A6A"/>
    <w:rsid w:val="00632B35"/>
    <w:rsid w:val="00632BA6"/>
    <w:rsid w:val="00632C3B"/>
    <w:rsid w:val="00632C76"/>
    <w:rsid w:val="00632D1E"/>
    <w:rsid w:val="00632DC3"/>
    <w:rsid w:val="00632E56"/>
    <w:rsid w:val="00632FF1"/>
    <w:rsid w:val="00633067"/>
    <w:rsid w:val="0063309D"/>
    <w:rsid w:val="006330EE"/>
    <w:rsid w:val="00633139"/>
    <w:rsid w:val="0063318E"/>
    <w:rsid w:val="0063319C"/>
    <w:rsid w:val="0063327F"/>
    <w:rsid w:val="006332B2"/>
    <w:rsid w:val="006332D1"/>
    <w:rsid w:val="0063330B"/>
    <w:rsid w:val="0063337D"/>
    <w:rsid w:val="006333BF"/>
    <w:rsid w:val="0063348E"/>
    <w:rsid w:val="00633568"/>
    <w:rsid w:val="006335B3"/>
    <w:rsid w:val="00633608"/>
    <w:rsid w:val="00633799"/>
    <w:rsid w:val="006337D1"/>
    <w:rsid w:val="0063380A"/>
    <w:rsid w:val="00633934"/>
    <w:rsid w:val="00633A9B"/>
    <w:rsid w:val="00633A9C"/>
    <w:rsid w:val="00633B16"/>
    <w:rsid w:val="00633B45"/>
    <w:rsid w:val="00633BBA"/>
    <w:rsid w:val="00633D11"/>
    <w:rsid w:val="00633E08"/>
    <w:rsid w:val="00633EAE"/>
    <w:rsid w:val="00633EF7"/>
    <w:rsid w:val="00633F98"/>
    <w:rsid w:val="00634253"/>
    <w:rsid w:val="006342A8"/>
    <w:rsid w:val="006342C1"/>
    <w:rsid w:val="006342D2"/>
    <w:rsid w:val="006342EF"/>
    <w:rsid w:val="006343F2"/>
    <w:rsid w:val="00634408"/>
    <w:rsid w:val="00634410"/>
    <w:rsid w:val="0063443E"/>
    <w:rsid w:val="00634470"/>
    <w:rsid w:val="0063460A"/>
    <w:rsid w:val="00634620"/>
    <w:rsid w:val="00634675"/>
    <w:rsid w:val="00634774"/>
    <w:rsid w:val="00634A81"/>
    <w:rsid w:val="00634D15"/>
    <w:rsid w:val="00634F40"/>
    <w:rsid w:val="00634FDF"/>
    <w:rsid w:val="00635204"/>
    <w:rsid w:val="006352CE"/>
    <w:rsid w:val="00635388"/>
    <w:rsid w:val="0063555A"/>
    <w:rsid w:val="00635734"/>
    <w:rsid w:val="006357F7"/>
    <w:rsid w:val="00635811"/>
    <w:rsid w:val="0063589F"/>
    <w:rsid w:val="006358FB"/>
    <w:rsid w:val="00635929"/>
    <w:rsid w:val="0063595F"/>
    <w:rsid w:val="00635AC1"/>
    <w:rsid w:val="00635B19"/>
    <w:rsid w:val="00635B54"/>
    <w:rsid w:val="00635BA8"/>
    <w:rsid w:val="00635D4F"/>
    <w:rsid w:val="006360CB"/>
    <w:rsid w:val="0063623C"/>
    <w:rsid w:val="0063645A"/>
    <w:rsid w:val="0063648D"/>
    <w:rsid w:val="006364EA"/>
    <w:rsid w:val="00636524"/>
    <w:rsid w:val="00636611"/>
    <w:rsid w:val="00636620"/>
    <w:rsid w:val="00636623"/>
    <w:rsid w:val="0063672F"/>
    <w:rsid w:val="006367C5"/>
    <w:rsid w:val="006367DD"/>
    <w:rsid w:val="006368C8"/>
    <w:rsid w:val="00636916"/>
    <w:rsid w:val="00636A0B"/>
    <w:rsid w:val="00636A1C"/>
    <w:rsid w:val="00636AAA"/>
    <w:rsid w:val="00636B31"/>
    <w:rsid w:val="00636B85"/>
    <w:rsid w:val="00636BF9"/>
    <w:rsid w:val="00636CC8"/>
    <w:rsid w:val="00637048"/>
    <w:rsid w:val="00637248"/>
    <w:rsid w:val="006372BA"/>
    <w:rsid w:val="006373DE"/>
    <w:rsid w:val="00637488"/>
    <w:rsid w:val="006374AC"/>
    <w:rsid w:val="0063766E"/>
    <w:rsid w:val="0063780F"/>
    <w:rsid w:val="0063792E"/>
    <w:rsid w:val="00637A97"/>
    <w:rsid w:val="00637CF9"/>
    <w:rsid w:val="00637D6E"/>
    <w:rsid w:val="00637E2C"/>
    <w:rsid w:val="00637EDC"/>
    <w:rsid w:val="00637F33"/>
    <w:rsid w:val="00637FA6"/>
    <w:rsid w:val="0064011F"/>
    <w:rsid w:val="006401BB"/>
    <w:rsid w:val="006401CA"/>
    <w:rsid w:val="00640485"/>
    <w:rsid w:val="0064049D"/>
    <w:rsid w:val="00640580"/>
    <w:rsid w:val="0064061C"/>
    <w:rsid w:val="006406DA"/>
    <w:rsid w:val="006406E1"/>
    <w:rsid w:val="006408A9"/>
    <w:rsid w:val="00640914"/>
    <w:rsid w:val="00640974"/>
    <w:rsid w:val="00640A44"/>
    <w:rsid w:val="00640AD2"/>
    <w:rsid w:val="00640AEB"/>
    <w:rsid w:val="00640B23"/>
    <w:rsid w:val="00640B96"/>
    <w:rsid w:val="00640BD2"/>
    <w:rsid w:val="00640C14"/>
    <w:rsid w:val="00640C91"/>
    <w:rsid w:val="00640D52"/>
    <w:rsid w:val="00640EA9"/>
    <w:rsid w:val="00640F4D"/>
    <w:rsid w:val="00640F7D"/>
    <w:rsid w:val="00641000"/>
    <w:rsid w:val="00641086"/>
    <w:rsid w:val="006413F1"/>
    <w:rsid w:val="006414F0"/>
    <w:rsid w:val="00641583"/>
    <w:rsid w:val="00641618"/>
    <w:rsid w:val="00641648"/>
    <w:rsid w:val="00641698"/>
    <w:rsid w:val="006417B3"/>
    <w:rsid w:val="006417CF"/>
    <w:rsid w:val="00641954"/>
    <w:rsid w:val="00641960"/>
    <w:rsid w:val="00641989"/>
    <w:rsid w:val="00641A18"/>
    <w:rsid w:val="00641B69"/>
    <w:rsid w:val="00641C85"/>
    <w:rsid w:val="00641CC4"/>
    <w:rsid w:val="00641D17"/>
    <w:rsid w:val="00641DCE"/>
    <w:rsid w:val="00641DD2"/>
    <w:rsid w:val="00641F33"/>
    <w:rsid w:val="00641F35"/>
    <w:rsid w:val="00641F74"/>
    <w:rsid w:val="00641F8A"/>
    <w:rsid w:val="006420C3"/>
    <w:rsid w:val="006420DF"/>
    <w:rsid w:val="00642119"/>
    <w:rsid w:val="006421B0"/>
    <w:rsid w:val="00642303"/>
    <w:rsid w:val="0064233D"/>
    <w:rsid w:val="0064244A"/>
    <w:rsid w:val="00642479"/>
    <w:rsid w:val="006424F0"/>
    <w:rsid w:val="006424F9"/>
    <w:rsid w:val="00642590"/>
    <w:rsid w:val="00642667"/>
    <w:rsid w:val="006426BB"/>
    <w:rsid w:val="0064270B"/>
    <w:rsid w:val="00642771"/>
    <w:rsid w:val="0064292B"/>
    <w:rsid w:val="00642936"/>
    <w:rsid w:val="0064296A"/>
    <w:rsid w:val="00642973"/>
    <w:rsid w:val="00642A33"/>
    <w:rsid w:val="00642A50"/>
    <w:rsid w:val="00642B30"/>
    <w:rsid w:val="00642BFD"/>
    <w:rsid w:val="00642C8F"/>
    <w:rsid w:val="00642D13"/>
    <w:rsid w:val="00642DCA"/>
    <w:rsid w:val="00643095"/>
    <w:rsid w:val="00643184"/>
    <w:rsid w:val="00643334"/>
    <w:rsid w:val="006433EA"/>
    <w:rsid w:val="0064344A"/>
    <w:rsid w:val="006434C8"/>
    <w:rsid w:val="006437BC"/>
    <w:rsid w:val="006437F7"/>
    <w:rsid w:val="0064385E"/>
    <w:rsid w:val="006438FA"/>
    <w:rsid w:val="00643932"/>
    <w:rsid w:val="006439A4"/>
    <w:rsid w:val="00643AD6"/>
    <w:rsid w:val="00643AF4"/>
    <w:rsid w:val="00643B30"/>
    <w:rsid w:val="00643BA5"/>
    <w:rsid w:val="00643C13"/>
    <w:rsid w:val="00643F14"/>
    <w:rsid w:val="00643F15"/>
    <w:rsid w:val="00643F3C"/>
    <w:rsid w:val="00643FA5"/>
    <w:rsid w:val="00644053"/>
    <w:rsid w:val="006441FC"/>
    <w:rsid w:val="0064438D"/>
    <w:rsid w:val="00644483"/>
    <w:rsid w:val="006444B0"/>
    <w:rsid w:val="00644555"/>
    <w:rsid w:val="00644825"/>
    <w:rsid w:val="006448FF"/>
    <w:rsid w:val="00644A96"/>
    <w:rsid w:val="00644B73"/>
    <w:rsid w:val="00644BF6"/>
    <w:rsid w:val="00644C9C"/>
    <w:rsid w:val="00644CDB"/>
    <w:rsid w:val="00645058"/>
    <w:rsid w:val="00645059"/>
    <w:rsid w:val="00645073"/>
    <w:rsid w:val="006451D3"/>
    <w:rsid w:val="00645203"/>
    <w:rsid w:val="0064522C"/>
    <w:rsid w:val="0064523F"/>
    <w:rsid w:val="00645295"/>
    <w:rsid w:val="006452B4"/>
    <w:rsid w:val="00645346"/>
    <w:rsid w:val="0064568B"/>
    <w:rsid w:val="006456CB"/>
    <w:rsid w:val="00645856"/>
    <w:rsid w:val="00645863"/>
    <w:rsid w:val="00645883"/>
    <w:rsid w:val="00645B1D"/>
    <w:rsid w:val="00645B43"/>
    <w:rsid w:val="00645B5B"/>
    <w:rsid w:val="00645C39"/>
    <w:rsid w:val="00645CCE"/>
    <w:rsid w:val="00645ED7"/>
    <w:rsid w:val="00646078"/>
    <w:rsid w:val="006462A7"/>
    <w:rsid w:val="006462C4"/>
    <w:rsid w:val="0064630F"/>
    <w:rsid w:val="0064677D"/>
    <w:rsid w:val="00646858"/>
    <w:rsid w:val="00646910"/>
    <w:rsid w:val="006469DC"/>
    <w:rsid w:val="00646A82"/>
    <w:rsid w:val="00646C19"/>
    <w:rsid w:val="00646CA4"/>
    <w:rsid w:val="00646CCC"/>
    <w:rsid w:val="00646D48"/>
    <w:rsid w:val="00646F77"/>
    <w:rsid w:val="0064704B"/>
    <w:rsid w:val="006470C9"/>
    <w:rsid w:val="00647124"/>
    <w:rsid w:val="0064712A"/>
    <w:rsid w:val="00647169"/>
    <w:rsid w:val="006471DB"/>
    <w:rsid w:val="0064733E"/>
    <w:rsid w:val="006473DB"/>
    <w:rsid w:val="00647469"/>
    <w:rsid w:val="006474A3"/>
    <w:rsid w:val="006474C5"/>
    <w:rsid w:val="0064754B"/>
    <w:rsid w:val="006476B0"/>
    <w:rsid w:val="00647700"/>
    <w:rsid w:val="006477D3"/>
    <w:rsid w:val="0064786D"/>
    <w:rsid w:val="0064793D"/>
    <w:rsid w:val="00647964"/>
    <w:rsid w:val="00647AC9"/>
    <w:rsid w:val="00647AE5"/>
    <w:rsid w:val="00647BFD"/>
    <w:rsid w:val="00647C55"/>
    <w:rsid w:val="00647CD0"/>
    <w:rsid w:val="00647DFE"/>
    <w:rsid w:val="00647E59"/>
    <w:rsid w:val="00647EDE"/>
    <w:rsid w:val="00650014"/>
    <w:rsid w:val="00650383"/>
    <w:rsid w:val="0065043C"/>
    <w:rsid w:val="00650446"/>
    <w:rsid w:val="00650489"/>
    <w:rsid w:val="006505F0"/>
    <w:rsid w:val="00650645"/>
    <w:rsid w:val="00650670"/>
    <w:rsid w:val="00650681"/>
    <w:rsid w:val="006506FB"/>
    <w:rsid w:val="006507B4"/>
    <w:rsid w:val="0065084B"/>
    <w:rsid w:val="00650854"/>
    <w:rsid w:val="00650860"/>
    <w:rsid w:val="00650937"/>
    <w:rsid w:val="006509C3"/>
    <w:rsid w:val="00650A16"/>
    <w:rsid w:val="00650ACF"/>
    <w:rsid w:val="00650AE4"/>
    <w:rsid w:val="00650C8F"/>
    <w:rsid w:val="00650E62"/>
    <w:rsid w:val="00650F91"/>
    <w:rsid w:val="00650FA9"/>
    <w:rsid w:val="00650FC8"/>
    <w:rsid w:val="00650FFA"/>
    <w:rsid w:val="006510C8"/>
    <w:rsid w:val="00651118"/>
    <w:rsid w:val="00651265"/>
    <w:rsid w:val="0065127F"/>
    <w:rsid w:val="006512E0"/>
    <w:rsid w:val="0065131D"/>
    <w:rsid w:val="00651340"/>
    <w:rsid w:val="00651397"/>
    <w:rsid w:val="0065145C"/>
    <w:rsid w:val="0065149D"/>
    <w:rsid w:val="0065156A"/>
    <w:rsid w:val="00651664"/>
    <w:rsid w:val="00651699"/>
    <w:rsid w:val="00651778"/>
    <w:rsid w:val="00651808"/>
    <w:rsid w:val="0065193D"/>
    <w:rsid w:val="0065195C"/>
    <w:rsid w:val="006519A7"/>
    <w:rsid w:val="00651A2B"/>
    <w:rsid w:val="00651A51"/>
    <w:rsid w:val="00651ADF"/>
    <w:rsid w:val="00651AE9"/>
    <w:rsid w:val="00651B84"/>
    <w:rsid w:val="00651BAE"/>
    <w:rsid w:val="00651BC0"/>
    <w:rsid w:val="00651C39"/>
    <w:rsid w:val="00651ECA"/>
    <w:rsid w:val="00651F46"/>
    <w:rsid w:val="00651FA6"/>
    <w:rsid w:val="006520DF"/>
    <w:rsid w:val="006521F8"/>
    <w:rsid w:val="00652246"/>
    <w:rsid w:val="00652258"/>
    <w:rsid w:val="0065237D"/>
    <w:rsid w:val="00652454"/>
    <w:rsid w:val="0065249B"/>
    <w:rsid w:val="006524B8"/>
    <w:rsid w:val="006524F0"/>
    <w:rsid w:val="00652522"/>
    <w:rsid w:val="006525BE"/>
    <w:rsid w:val="006526A1"/>
    <w:rsid w:val="006526CB"/>
    <w:rsid w:val="0065274A"/>
    <w:rsid w:val="0065276A"/>
    <w:rsid w:val="0065289D"/>
    <w:rsid w:val="00652AAB"/>
    <w:rsid w:val="00652AF7"/>
    <w:rsid w:val="00652BFF"/>
    <w:rsid w:val="00652DA2"/>
    <w:rsid w:val="00652E4A"/>
    <w:rsid w:val="00652E6E"/>
    <w:rsid w:val="00652FFD"/>
    <w:rsid w:val="00653089"/>
    <w:rsid w:val="0065310E"/>
    <w:rsid w:val="00653141"/>
    <w:rsid w:val="006531BA"/>
    <w:rsid w:val="006531BD"/>
    <w:rsid w:val="006532A2"/>
    <w:rsid w:val="006533E8"/>
    <w:rsid w:val="006534C7"/>
    <w:rsid w:val="006534FD"/>
    <w:rsid w:val="00653554"/>
    <w:rsid w:val="00653571"/>
    <w:rsid w:val="00653623"/>
    <w:rsid w:val="00653727"/>
    <w:rsid w:val="00653746"/>
    <w:rsid w:val="006537A4"/>
    <w:rsid w:val="006538FE"/>
    <w:rsid w:val="00653941"/>
    <w:rsid w:val="0065398A"/>
    <w:rsid w:val="0065398B"/>
    <w:rsid w:val="006539C6"/>
    <w:rsid w:val="006539D2"/>
    <w:rsid w:val="00653B9E"/>
    <w:rsid w:val="00653BC4"/>
    <w:rsid w:val="00653BE5"/>
    <w:rsid w:val="00653BE9"/>
    <w:rsid w:val="00653C1F"/>
    <w:rsid w:val="00653C44"/>
    <w:rsid w:val="00653C8F"/>
    <w:rsid w:val="00653E2C"/>
    <w:rsid w:val="00653FCE"/>
    <w:rsid w:val="00653FD1"/>
    <w:rsid w:val="00653FF6"/>
    <w:rsid w:val="006541C7"/>
    <w:rsid w:val="00654458"/>
    <w:rsid w:val="006544E8"/>
    <w:rsid w:val="006545F2"/>
    <w:rsid w:val="00654690"/>
    <w:rsid w:val="006547B9"/>
    <w:rsid w:val="00654857"/>
    <w:rsid w:val="006548AD"/>
    <w:rsid w:val="0065495D"/>
    <w:rsid w:val="00654979"/>
    <w:rsid w:val="00654A67"/>
    <w:rsid w:val="00654A8E"/>
    <w:rsid w:val="00654B2F"/>
    <w:rsid w:val="00654B90"/>
    <w:rsid w:val="00654CDA"/>
    <w:rsid w:val="00654D15"/>
    <w:rsid w:val="00654D78"/>
    <w:rsid w:val="00654D8E"/>
    <w:rsid w:val="00654DDA"/>
    <w:rsid w:val="00655010"/>
    <w:rsid w:val="006551AF"/>
    <w:rsid w:val="0065520C"/>
    <w:rsid w:val="006552CF"/>
    <w:rsid w:val="006553AF"/>
    <w:rsid w:val="006554C8"/>
    <w:rsid w:val="00655788"/>
    <w:rsid w:val="0065583A"/>
    <w:rsid w:val="00655878"/>
    <w:rsid w:val="006558A9"/>
    <w:rsid w:val="006558D7"/>
    <w:rsid w:val="0065593E"/>
    <w:rsid w:val="00655A99"/>
    <w:rsid w:val="00655ACF"/>
    <w:rsid w:val="00655B43"/>
    <w:rsid w:val="00655CAA"/>
    <w:rsid w:val="00655CD4"/>
    <w:rsid w:val="00655D29"/>
    <w:rsid w:val="00655D81"/>
    <w:rsid w:val="00655E25"/>
    <w:rsid w:val="00655EB2"/>
    <w:rsid w:val="00655EE9"/>
    <w:rsid w:val="00655FE7"/>
    <w:rsid w:val="0065601A"/>
    <w:rsid w:val="00656092"/>
    <w:rsid w:val="006560C3"/>
    <w:rsid w:val="00656129"/>
    <w:rsid w:val="006561C2"/>
    <w:rsid w:val="00656211"/>
    <w:rsid w:val="006562A4"/>
    <w:rsid w:val="0065639F"/>
    <w:rsid w:val="0065690C"/>
    <w:rsid w:val="00656912"/>
    <w:rsid w:val="006569FD"/>
    <w:rsid w:val="00656B51"/>
    <w:rsid w:val="00656CA5"/>
    <w:rsid w:val="00656DE3"/>
    <w:rsid w:val="0065718B"/>
    <w:rsid w:val="006574EC"/>
    <w:rsid w:val="0065768C"/>
    <w:rsid w:val="006577DE"/>
    <w:rsid w:val="0065780E"/>
    <w:rsid w:val="00657A33"/>
    <w:rsid w:val="00657A6E"/>
    <w:rsid w:val="00657C4D"/>
    <w:rsid w:val="00657DA1"/>
    <w:rsid w:val="00657E67"/>
    <w:rsid w:val="00657F0B"/>
    <w:rsid w:val="006600A9"/>
    <w:rsid w:val="0066010A"/>
    <w:rsid w:val="0066018F"/>
    <w:rsid w:val="006601BB"/>
    <w:rsid w:val="006601DA"/>
    <w:rsid w:val="006602CB"/>
    <w:rsid w:val="006602DD"/>
    <w:rsid w:val="006603A0"/>
    <w:rsid w:val="006603B8"/>
    <w:rsid w:val="006603E3"/>
    <w:rsid w:val="0066042F"/>
    <w:rsid w:val="0066043F"/>
    <w:rsid w:val="006604C9"/>
    <w:rsid w:val="006604E5"/>
    <w:rsid w:val="006604FF"/>
    <w:rsid w:val="0066052D"/>
    <w:rsid w:val="0066065F"/>
    <w:rsid w:val="00660682"/>
    <w:rsid w:val="006606C3"/>
    <w:rsid w:val="00660879"/>
    <w:rsid w:val="006608E1"/>
    <w:rsid w:val="006608FB"/>
    <w:rsid w:val="00660939"/>
    <w:rsid w:val="00660A22"/>
    <w:rsid w:val="00660AA6"/>
    <w:rsid w:val="00660ADE"/>
    <w:rsid w:val="00660B3A"/>
    <w:rsid w:val="00660B64"/>
    <w:rsid w:val="00660D03"/>
    <w:rsid w:val="00660E3F"/>
    <w:rsid w:val="00660ED8"/>
    <w:rsid w:val="00660F36"/>
    <w:rsid w:val="006610B6"/>
    <w:rsid w:val="006610EB"/>
    <w:rsid w:val="006610F8"/>
    <w:rsid w:val="006613EB"/>
    <w:rsid w:val="006613F6"/>
    <w:rsid w:val="00661430"/>
    <w:rsid w:val="0066146E"/>
    <w:rsid w:val="0066174A"/>
    <w:rsid w:val="0066184F"/>
    <w:rsid w:val="006618F0"/>
    <w:rsid w:val="0066195B"/>
    <w:rsid w:val="00661A83"/>
    <w:rsid w:val="00661AC1"/>
    <w:rsid w:val="00661B24"/>
    <w:rsid w:val="00661B66"/>
    <w:rsid w:val="00661B70"/>
    <w:rsid w:val="00661B92"/>
    <w:rsid w:val="00661BB0"/>
    <w:rsid w:val="00661BF6"/>
    <w:rsid w:val="00661CBA"/>
    <w:rsid w:val="00661E32"/>
    <w:rsid w:val="00661E5F"/>
    <w:rsid w:val="0066209B"/>
    <w:rsid w:val="0066236F"/>
    <w:rsid w:val="0066237C"/>
    <w:rsid w:val="006623A1"/>
    <w:rsid w:val="006623BB"/>
    <w:rsid w:val="006623BC"/>
    <w:rsid w:val="00662440"/>
    <w:rsid w:val="00662528"/>
    <w:rsid w:val="0066268F"/>
    <w:rsid w:val="00662693"/>
    <w:rsid w:val="006626D0"/>
    <w:rsid w:val="0066273D"/>
    <w:rsid w:val="0066273E"/>
    <w:rsid w:val="00662851"/>
    <w:rsid w:val="00662876"/>
    <w:rsid w:val="0066290B"/>
    <w:rsid w:val="006629BC"/>
    <w:rsid w:val="00662A5A"/>
    <w:rsid w:val="00662BDC"/>
    <w:rsid w:val="00662C00"/>
    <w:rsid w:val="00662C05"/>
    <w:rsid w:val="00662D83"/>
    <w:rsid w:val="00662F20"/>
    <w:rsid w:val="00663053"/>
    <w:rsid w:val="006630DE"/>
    <w:rsid w:val="0066315A"/>
    <w:rsid w:val="00663193"/>
    <w:rsid w:val="0066319A"/>
    <w:rsid w:val="006631A0"/>
    <w:rsid w:val="006631A9"/>
    <w:rsid w:val="00663345"/>
    <w:rsid w:val="0066337D"/>
    <w:rsid w:val="006633E7"/>
    <w:rsid w:val="00663491"/>
    <w:rsid w:val="006635E5"/>
    <w:rsid w:val="006636CA"/>
    <w:rsid w:val="00663830"/>
    <w:rsid w:val="006639AE"/>
    <w:rsid w:val="00663AA8"/>
    <w:rsid w:val="00663B3D"/>
    <w:rsid w:val="00663C64"/>
    <w:rsid w:val="00663CAF"/>
    <w:rsid w:val="00663CCD"/>
    <w:rsid w:val="00663DCC"/>
    <w:rsid w:val="00663DEE"/>
    <w:rsid w:val="00663E90"/>
    <w:rsid w:val="00663E92"/>
    <w:rsid w:val="00663EDF"/>
    <w:rsid w:val="00663FCE"/>
    <w:rsid w:val="00664020"/>
    <w:rsid w:val="0066405B"/>
    <w:rsid w:val="00664082"/>
    <w:rsid w:val="00664184"/>
    <w:rsid w:val="006641C4"/>
    <w:rsid w:val="006643EF"/>
    <w:rsid w:val="00664432"/>
    <w:rsid w:val="006645F7"/>
    <w:rsid w:val="00664818"/>
    <w:rsid w:val="00664898"/>
    <w:rsid w:val="006648FE"/>
    <w:rsid w:val="006649A7"/>
    <w:rsid w:val="006649C9"/>
    <w:rsid w:val="00664CCC"/>
    <w:rsid w:val="00664E17"/>
    <w:rsid w:val="00664F40"/>
    <w:rsid w:val="00664FC1"/>
    <w:rsid w:val="0066501B"/>
    <w:rsid w:val="006650CA"/>
    <w:rsid w:val="00665127"/>
    <w:rsid w:val="006651E1"/>
    <w:rsid w:val="006651E6"/>
    <w:rsid w:val="006651FE"/>
    <w:rsid w:val="00665293"/>
    <w:rsid w:val="0066529D"/>
    <w:rsid w:val="006653BF"/>
    <w:rsid w:val="006654BF"/>
    <w:rsid w:val="0066552A"/>
    <w:rsid w:val="00665532"/>
    <w:rsid w:val="006655D9"/>
    <w:rsid w:val="0066574B"/>
    <w:rsid w:val="0066598B"/>
    <w:rsid w:val="00665A70"/>
    <w:rsid w:val="00665D8F"/>
    <w:rsid w:val="00665ECB"/>
    <w:rsid w:val="00665EED"/>
    <w:rsid w:val="006660C0"/>
    <w:rsid w:val="006660DC"/>
    <w:rsid w:val="0066616A"/>
    <w:rsid w:val="006661DF"/>
    <w:rsid w:val="00666291"/>
    <w:rsid w:val="0066635F"/>
    <w:rsid w:val="00666442"/>
    <w:rsid w:val="0066647C"/>
    <w:rsid w:val="00666485"/>
    <w:rsid w:val="00666544"/>
    <w:rsid w:val="00666552"/>
    <w:rsid w:val="0066670A"/>
    <w:rsid w:val="00666718"/>
    <w:rsid w:val="0066672D"/>
    <w:rsid w:val="0066681F"/>
    <w:rsid w:val="0066683B"/>
    <w:rsid w:val="006669B0"/>
    <w:rsid w:val="006669BC"/>
    <w:rsid w:val="00666A21"/>
    <w:rsid w:val="00666B7A"/>
    <w:rsid w:val="00666C8C"/>
    <w:rsid w:val="00666D32"/>
    <w:rsid w:val="00666E44"/>
    <w:rsid w:val="00666FA6"/>
    <w:rsid w:val="00667048"/>
    <w:rsid w:val="00667076"/>
    <w:rsid w:val="006670AE"/>
    <w:rsid w:val="0066722A"/>
    <w:rsid w:val="0066729D"/>
    <w:rsid w:val="00667437"/>
    <w:rsid w:val="0066744B"/>
    <w:rsid w:val="006674F4"/>
    <w:rsid w:val="0066767F"/>
    <w:rsid w:val="00667791"/>
    <w:rsid w:val="00667816"/>
    <w:rsid w:val="00667A25"/>
    <w:rsid w:val="00667A9D"/>
    <w:rsid w:val="00667B1E"/>
    <w:rsid w:val="00667C08"/>
    <w:rsid w:val="00667C4B"/>
    <w:rsid w:val="00667D31"/>
    <w:rsid w:val="00667D4A"/>
    <w:rsid w:val="00667EE6"/>
    <w:rsid w:val="00670022"/>
    <w:rsid w:val="00670043"/>
    <w:rsid w:val="006700F1"/>
    <w:rsid w:val="0067030B"/>
    <w:rsid w:val="00670896"/>
    <w:rsid w:val="00670BDA"/>
    <w:rsid w:val="00670C5F"/>
    <w:rsid w:val="00670C98"/>
    <w:rsid w:val="00670D3D"/>
    <w:rsid w:val="00670D8E"/>
    <w:rsid w:val="00670E75"/>
    <w:rsid w:val="00670EC1"/>
    <w:rsid w:val="00670F7E"/>
    <w:rsid w:val="00670F84"/>
    <w:rsid w:val="00670FA1"/>
    <w:rsid w:val="0067106F"/>
    <w:rsid w:val="00671133"/>
    <w:rsid w:val="006712B4"/>
    <w:rsid w:val="006712D9"/>
    <w:rsid w:val="0067149B"/>
    <w:rsid w:val="006714D6"/>
    <w:rsid w:val="0067156F"/>
    <w:rsid w:val="00671594"/>
    <w:rsid w:val="00671624"/>
    <w:rsid w:val="0067175B"/>
    <w:rsid w:val="0067185C"/>
    <w:rsid w:val="006718CC"/>
    <w:rsid w:val="00671939"/>
    <w:rsid w:val="00671AA5"/>
    <w:rsid w:val="00671B0B"/>
    <w:rsid w:val="00671BF0"/>
    <w:rsid w:val="00671CC3"/>
    <w:rsid w:val="00671D4E"/>
    <w:rsid w:val="00671D9F"/>
    <w:rsid w:val="00671DB4"/>
    <w:rsid w:val="00671EFD"/>
    <w:rsid w:val="00671F10"/>
    <w:rsid w:val="00671F15"/>
    <w:rsid w:val="00671FB4"/>
    <w:rsid w:val="00671FC5"/>
    <w:rsid w:val="006720E5"/>
    <w:rsid w:val="00672143"/>
    <w:rsid w:val="006721D7"/>
    <w:rsid w:val="00672253"/>
    <w:rsid w:val="006722C2"/>
    <w:rsid w:val="00672303"/>
    <w:rsid w:val="006723AE"/>
    <w:rsid w:val="0067263B"/>
    <w:rsid w:val="0067264A"/>
    <w:rsid w:val="00672762"/>
    <w:rsid w:val="00672918"/>
    <w:rsid w:val="0067294F"/>
    <w:rsid w:val="00672A76"/>
    <w:rsid w:val="00672A7B"/>
    <w:rsid w:val="00672E95"/>
    <w:rsid w:val="00673059"/>
    <w:rsid w:val="00673065"/>
    <w:rsid w:val="00673385"/>
    <w:rsid w:val="00673514"/>
    <w:rsid w:val="00673652"/>
    <w:rsid w:val="006737AB"/>
    <w:rsid w:val="00673AA0"/>
    <w:rsid w:val="00673B1F"/>
    <w:rsid w:val="00673BA2"/>
    <w:rsid w:val="00673BDF"/>
    <w:rsid w:val="00673CC6"/>
    <w:rsid w:val="00673CF1"/>
    <w:rsid w:val="00673D3C"/>
    <w:rsid w:val="00673DAB"/>
    <w:rsid w:val="00673DDF"/>
    <w:rsid w:val="00673F3D"/>
    <w:rsid w:val="00674364"/>
    <w:rsid w:val="00674516"/>
    <w:rsid w:val="00674555"/>
    <w:rsid w:val="0067456E"/>
    <w:rsid w:val="00674575"/>
    <w:rsid w:val="006745D3"/>
    <w:rsid w:val="006746C0"/>
    <w:rsid w:val="006747EA"/>
    <w:rsid w:val="006748DC"/>
    <w:rsid w:val="00674A9B"/>
    <w:rsid w:val="00674B90"/>
    <w:rsid w:val="00674BBA"/>
    <w:rsid w:val="00674BEB"/>
    <w:rsid w:val="00674CC1"/>
    <w:rsid w:val="00674D32"/>
    <w:rsid w:val="00674F05"/>
    <w:rsid w:val="00674F47"/>
    <w:rsid w:val="00674FA6"/>
    <w:rsid w:val="00675050"/>
    <w:rsid w:val="006752C5"/>
    <w:rsid w:val="00675451"/>
    <w:rsid w:val="00675AE7"/>
    <w:rsid w:val="00675B42"/>
    <w:rsid w:val="00675D78"/>
    <w:rsid w:val="00675E84"/>
    <w:rsid w:val="00675E98"/>
    <w:rsid w:val="00675FA9"/>
    <w:rsid w:val="0067604F"/>
    <w:rsid w:val="006760BD"/>
    <w:rsid w:val="006760ED"/>
    <w:rsid w:val="00676152"/>
    <w:rsid w:val="006762B4"/>
    <w:rsid w:val="006762E1"/>
    <w:rsid w:val="006763A2"/>
    <w:rsid w:val="006764A8"/>
    <w:rsid w:val="006764CA"/>
    <w:rsid w:val="00676A4F"/>
    <w:rsid w:val="00676A6F"/>
    <w:rsid w:val="00676CE2"/>
    <w:rsid w:val="00676D80"/>
    <w:rsid w:val="00676DC2"/>
    <w:rsid w:val="00676DDF"/>
    <w:rsid w:val="00676E5A"/>
    <w:rsid w:val="00676EEA"/>
    <w:rsid w:val="00676F2C"/>
    <w:rsid w:val="00676FF6"/>
    <w:rsid w:val="00677216"/>
    <w:rsid w:val="006774C8"/>
    <w:rsid w:val="00677542"/>
    <w:rsid w:val="006776AD"/>
    <w:rsid w:val="00677794"/>
    <w:rsid w:val="0067779E"/>
    <w:rsid w:val="006777CE"/>
    <w:rsid w:val="006777EF"/>
    <w:rsid w:val="00677803"/>
    <w:rsid w:val="00677855"/>
    <w:rsid w:val="006778A6"/>
    <w:rsid w:val="00677944"/>
    <w:rsid w:val="006779A9"/>
    <w:rsid w:val="00677A33"/>
    <w:rsid w:val="00677B28"/>
    <w:rsid w:val="00677CB0"/>
    <w:rsid w:val="00677E0E"/>
    <w:rsid w:val="00677E5A"/>
    <w:rsid w:val="00677E5B"/>
    <w:rsid w:val="00677E81"/>
    <w:rsid w:val="0068010E"/>
    <w:rsid w:val="00680294"/>
    <w:rsid w:val="00680342"/>
    <w:rsid w:val="00680349"/>
    <w:rsid w:val="0068041D"/>
    <w:rsid w:val="0068046E"/>
    <w:rsid w:val="006804F0"/>
    <w:rsid w:val="00680695"/>
    <w:rsid w:val="006806EF"/>
    <w:rsid w:val="00680728"/>
    <w:rsid w:val="00680750"/>
    <w:rsid w:val="00680952"/>
    <w:rsid w:val="00680A0D"/>
    <w:rsid w:val="00680AB6"/>
    <w:rsid w:val="00680ABA"/>
    <w:rsid w:val="00680C67"/>
    <w:rsid w:val="00680C9F"/>
    <w:rsid w:val="00680CA8"/>
    <w:rsid w:val="00680DA0"/>
    <w:rsid w:val="00680DD1"/>
    <w:rsid w:val="00680DFC"/>
    <w:rsid w:val="00680E0F"/>
    <w:rsid w:val="00680E59"/>
    <w:rsid w:val="00681003"/>
    <w:rsid w:val="00681076"/>
    <w:rsid w:val="006810EB"/>
    <w:rsid w:val="006810F8"/>
    <w:rsid w:val="006811AE"/>
    <w:rsid w:val="0068124C"/>
    <w:rsid w:val="006812B4"/>
    <w:rsid w:val="006812E7"/>
    <w:rsid w:val="00681306"/>
    <w:rsid w:val="00681418"/>
    <w:rsid w:val="00681465"/>
    <w:rsid w:val="006814D2"/>
    <w:rsid w:val="006816A0"/>
    <w:rsid w:val="0068180D"/>
    <w:rsid w:val="00681922"/>
    <w:rsid w:val="00681A18"/>
    <w:rsid w:val="00681C71"/>
    <w:rsid w:val="00681CF1"/>
    <w:rsid w:val="00681D86"/>
    <w:rsid w:val="00681F4D"/>
    <w:rsid w:val="006820D0"/>
    <w:rsid w:val="00682156"/>
    <w:rsid w:val="006821E9"/>
    <w:rsid w:val="00682422"/>
    <w:rsid w:val="0068249B"/>
    <w:rsid w:val="006824D2"/>
    <w:rsid w:val="006825C1"/>
    <w:rsid w:val="00682642"/>
    <w:rsid w:val="006826D4"/>
    <w:rsid w:val="0068291F"/>
    <w:rsid w:val="00682A8F"/>
    <w:rsid w:val="00682BE1"/>
    <w:rsid w:val="00682C8F"/>
    <w:rsid w:val="00682D30"/>
    <w:rsid w:val="0068304A"/>
    <w:rsid w:val="006830A6"/>
    <w:rsid w:val="006830BD"/>
    <w:rsid w:val="006830D3"/>
    <w:rsid w:val="00683146"/>
    <w:rsid w:val="00683190"/>
    <w:rsid w:val="00683243"/>
    <w:rsid w:val="0068325E"/>
    <w:rsid w:val="00683302"/>
    <w:rsid w:val="0068332E"/>
    <w:rsid w:val="00683330"/>
    <w:rsid w:val="006834EE"/>
    <w:rsid w:val="0068351F"/>
    <w:rsid w:val="00683632"/>
    <w:rsid w:val="006836D9"/>
    <w:rsid w:val="00683836"/>
    <w:rsid w:val="006838F1"/>
    <w:rsid w:val="006839C5"/>
    <w:rsid w:val="006839DB"/>
    <w:rsid w:val="00683A0A"/>
    <w:rsid w:val="00683AEB"/>
    <w:rsid w:val="00683BE1"/>
    <w:rsid w:val="00683C66"/>
    <w:rsid w:val="00683C9C"/>
    <w:rsid w:val="00683CB6"/>
    <w:rsid w:val="00683D46"/>
    <w:rsid w:val="00683ED6"/>
    <w:rsid w:val="00683F50"/>
    <w:rsid w:val="00683F9C"/>
    <w:rsid w:val="00683FB6"/>
    <w:rsid w:val="00683FE8"/>
    <w:rsid w:val="0068413A"/>
    <w:rsid w:val="006841E3"/>
    <w:rsid w:val="0068423B"/>
    <w:rsid w:val="00684312"/>
    <w:rsid w:val="0068435A"/>
    <w:rsid w:val="006844B6"/>
    <w:rsid w:val="0068456D"/>
    <w:rsid w:val="00684632"/>
    <w:rsid w:val="00684976"/>
    <w:rsid w:val="00684A5B"/>
    <w:rsid w:val="00684B6A"/>
    <w:rsid w:val="00684BB0"/>
    <w:rsid w:val="00684C78"/>
    <w:rsid w:val="00684CE0"/>
    <w:rsid w:val="00684D1E"/>
    <w:rsid w:val="00684D2D"/>
    <w:rsid w:val="00684D3E"/>
    <w:rsid w:val="00684DB1"/>
    <w:rsid w:val="00684DC7"/>
    <w:rsid w:val="00684F38"/>
    <w:rsid w:val="00684F54"/>
    <w:rsid w:val="00684F65"/>
    <w:rsid w:val="00684F99"/>
    <w:rsid w:val="006851F9"/>
    <w:rsid w:val="006852F8"/>
    <w:rsid w:val="0068530E"/>
    <w:rsid w:val="006853B9"/>
    <w:rsid w:val="0068544E"/>
    <w:rsid w:val="0068548B"/>
    <w:rsid w:val="00685549"/>
    <w:rsid w:val="006855EE"/>
    <w:rsid w:val="0068562A"/>
    <w:rsid w:val="006856F4"/>
    <w:rsid w:val="00685750"/>
    <w:rsid w:val="006858D4"/>
    <w:rsid w:val="00685986"/>
    <w:rsid w:val="00685BFA"/>
    <w:rsid w:val="00685DB7"/>
    <w:rsid w:val="00685E99"/>
    <w:rsid w:val="00685EAB"/>
    <w:rsid w:val="00685EEF"/>
    <w:rsid w:val="00685F22"/>
    <w:rsid w:val="00685F51"/>
    <w:rsid w:val="00685F5B"/>
    <w:rsid w:val="00685FFD"/>
    <w:rsid w:val="006860AF"/>
    <w:rsid w:val="006862F1"/>
    <w:rsid w:val="006863DC"/>
    <w:rsid w:val="00686457"/>
    <w:rsid w:val="0068645B"/>
    <w:rsid w:val="0068654B"/>
    <w:rsid w:val="0068661E"/>
    <w:rsid w:val="00686625"/>
    <w:rsid w:val="006866BE"/>
    <w:rsid w:val="00686728"/>
    <w:rsid w:val="00686817"/>
    <w:rsid w:val="00686ADB"/>
    <w:rsid w:val="00686AE7"/>
    <w:rsid w:val="00686D24"/>
    <w:rsid w:val="00686D5D"/>
    <w:rsid w:val="00686DD5"/>
    <w:rsid w:val="00686E45"/>
    <w:rsid w:val="00686E94"/>
    <w:rsid w:val="00686F26"/>
    <w:rsid w:val="00686FA2"/>
    <w:rsid w:val="00686FF1"/>
    <w:rsid w:val="006870DA"/>
    <w:rsid w:val="006872D0"/>
    <w:rsid w:val="006872F9"/>
    <w:rsid w:val="00687356"/>
    <w:rsid w:val="006873A4"/>
    <w:rsid w:val="006873B8"/>
    <w:rsid w:val="00687550"/>
    <w:rsid w:val="006875CD"/>
    <w:rsid w:val="006875CF"/>
    <w:rsid w:val="006877B7"/>
    <w:rsid w:val="006879B7"/>
    <w:rsid w:val="00687A72"/>
    <w:rsid w:val="00687A87"/>
    <w:rsid w:val="00687A8E"/>
    <w:rsid w:val="00687AB2"/>
    <w:rsid w:val="00687BD4"/>
    <w:rsid w:val="00687C7E"/>
    <w:rsid w:val="00687C9B"/>
    <w:rsid w:val="00687D3C"/>
    <w:rsid w:val="00687D5C"/>
    <w:rsid w:val="00687D9C"/>
    <w:rsid w:val="00687EC8"/>
    <w:rsid w:val="00687FBD"/>
    <w:rsid w:val="00690128"/>
    <w:rsid w:val="00690203"/>
    <w:rsid w:val="00690247"/>
    <w:rsid w:val="0069051D"/>
    <w:rsid w:val="006905C6"/>
    <w:rsid w:val="00690656"/>
    <w:rsid w:val="00690771"/>
    <w:rsid w:val="006907DC"/>
    <w:rsid w:val="00690BC9"/>
    <w:rsid w:val="00690E08"/>
    <w:rsid w:val="00690EA2"/>
    <w:rsid w:val="00690F2C"/>
    <w:rsid w:val="006911F0"/>
    <w:rsid w:val="00691338"/>
    <w:rsid w:val="00691342"/>
    <w:rsid w:val="006913BF"/>
    <w:rsid w:val="00691463"/>
    <w:rsid w:val="00691492"/>
    <w:rsid w:val="00691578"/>
    <w:rsid w:val="00691630"/>
    <w:rsid w:val="00691847"/>
    <w:rsid w:val="006918AF"/>
    <w:rsid w:val="00691914"/>
    <w:rsid w:val="00691949"/>
    <w:rsid w:val="00691A52"/>
    <w:rsid w:val="00691C8E"/>
    <w:rsid w:val="00691EC2"/>
    <w:rsid w:val="0069206C"/>
    <w:rsid w:val="006920A6"/>
    <w:rsid w:val="00692154"/>
    <w:rsid w:val="006922CB"/>
    <w:rsid w:val="006922EA"/>
    <w:rsid w:val="00692322"/>
    <w:rsid w:val="006923B4"/>
    <w:rsid w:val="006923BA"/>
    <w:rsid w:val="006923ED"/>
    <w:rsid w:val="0069257B"/>
    <w:rsid w:val="0069263D"/>
    <w:rsid w:val="0069272C"/>
    <w:rsid w:val="0069274A"/>
    <w:rsid w:val="006928C6"/>
    <w:rsid w:val="00692901"/>
    <w:rsid w:val="00692A3F"/>
    <w:rsid w:val="00692BD9"/>
    <w:rsid w:val="00692D4E"/>
    <w:rsid w:val="00692E58"/>
    <w:rsid w:val="00692EB1"/>
    <w:rsid w:val="0069304E"/>
    <w:rsid w:val="0069316A"/>
    <w:rsid w:val="00693326"/>
    <w:rsid w:val="006936C6"/>
    <w:rsid w:val="00693783"/>
    <w:rsid w:val="00693790"/>
    <w:rsid w:val="006937F1"/>
    <w:rsid w:val="00693858"/>
    <w:rsid w:val="00693890"/>
    <w:rsid w:val="00693999"/>
    <w:rsid w:val="00693B2A"/>
    <w:rsid w:val="00693B4B"/>
    <w:rsid w:val="00693B6D"/>
    <w:rsid w:val="00693D8F"/>
    <w:rsid w:val="00693DF6"/>
    <w:rsid w:val="00693E50"/>
    <w:rsid w:val="00693FFF"/>
    <w:rsid w:val="00694046"/>
    <w:rsid w:val="006941A9"/>
    <w:rsid w:val="00694252"/>
    <w:rsid w:val="0069428E"/>
    <w:rsid w:val="006942B6"/>
    <w:rsid w:val="00694392"/>
    <w:rsid w:val="006943DC"/>
    <w:rsid w:val="00694512"/>
    <w:rsid w:val="00694517"/>
    <w:rsid w:val="0069453E"/>
    <w:rsid w:val="00694797"/>
    <w:rsid w:val="00694810"/>
    <w:rsid w:val="00694946"/>
    <w:rsid w:val="0069494F"/>
    <w:rsid w:val="006949C8"/>
    <w:rsid w:val="00694B0D"/>
    <w:rsid w:val="00694B34"/>
    <w:rsid w:val="00694BA0"/>
    <w:rsid w:val="00694CA6"/>
    <w:rsid w:val="00694CBF"/>
    <w:rsid w:val="00694D46"/>
    <w:rsid w:val="00694D5A"/>
    <w:rsid w:val="00694E61"/>
    <w:rsid w:val="00694EB3"/>
    <w:rsid w:val="00694F1C"/>
    <w:rsid w:val="00695081"/>
    <w:rsid w:val="00695149"/>
    <w:rsid w:val="006951F4"/>
    <w:rsid w:val="0069520B"/>
    <w:rsid w:val="00695343"/>
    <w:rsid w:val="0069538A"/>
    <w:rsid w:val="006953BC"/>
    <w:rsid w:val="006953ED"/>
    <w:rsid w:val="0069542C"/>
    <w:rsid w:val="00695487"/>
    <w:rsid w:val="0069549B"/>
    <w:rsid w:val="00695560"/>
    <w:rsid w:val="006955B0"/>
    <w:rsid w:val="0069565F"/>
    <w:rsid w:val="006959E5"/>
    <w:rsid w:val="00695A1A"/>
    <w:rsid w:val="00695A75"/>
    <w:rsid w:val="00695A98"/>
    <w:rsid w:val="00695AAB"/>
    <w:rsid w:val="00695BAF"/>
    <w:rsid w:val="00695C72"/>
    <w:rsid w:val="00695D04"/>
    <w:rsid w:val="00695D51"/>
    <w:rsid w:val="00695D63"/>
    <w:rsid w:val="00695DED"/>
    <w:rsid w:val="00695F42"/>
    <w:rsid w:val="00695FB5"/>
    <w:rsid w:val="006960C8"/>
    <w:rsid w:val="0069610A"/>
    <w:rsid w:val="00696161"/>
    <w:rsid w:val="0069625C"/>
    <w:rsid w:val="00696290"/>
    <w:rsid w:val="0069633A"/>
    <w:rsid w:val="0069634D"/>
    <w:rsid w:val="00696372"/>
    <w:rsid w:val="00696396"/>
    <w:rsid w:val="00696638"/>
    <w:rsid w:val="00696669"/>
    <w:rsid w:val="006966A5"/>
    <w:rsid w:val="00696776"/>
    <w:rsid w:val="006967EE"/>
    <w:rsid w:val="006968C2"/>
    <w:rsid w:val="00696A6A"/>
    <w:rsid w:val="00696A74"/>
    <w:rsid w:val="00696AC1"/>
    <w:rsid w:val="00696C75"/>
    <w:rsid w:val="00696CCB"/>
    <w:rsid w:val="00696DD5"/>
    <w:rsid w:val="00696F0B"/>
    <w:rsid w:val="00696F56"/>
    <w:rsid w:val="00697051"/>
    <w:rsid w:val="006970B1"/>
    <w:rsid w:val="006970CD"/>
    <w:rsid w:val="00697209"/>
    <w:rsid w:val="006972FD"/>
    <w:rsid w:val="00697336"/>
    <w:rsid w:val="0069739B"/>
    <w:rsid w:val="0069752E"/>
    <w:rsid w:val="0069769C"/>
    <w:rsid w:val="006976E7"/>
    <w:rsid w:val="00697741"/>
    <w:rsid w:val="0069776F"/>
    <w:rsid w:val="00697AF3"/>
    <w:rsid w:val="00697B20"/>
    <w:rsid w:val="00697CAC"/>
    <w:rsid w:val="00697F78"/>
    <w:rsid w:val="006A009C"/>
    <w:rsid w:val="006A00B5"/>
    <w:rsid w:val="006A01E1"/>
    <w:rsid w:val="006A025F"/>
    <w:rsid w:val="006A0285"/>
    <w:rsid w:val="006A028F"/>
    <w:rsid w:val="006A029E"/>
    <w:rsid w:val="006A0354"/>
    <w:rsid w:val="006A044A"/>
    <w:rsid w:val="006A0478"/>
    <w:rsid w:val="006A04D0"/>
    <w:rsid w:val="006A05BB"/>
    <w:rsid w:val="006A0600"/>
    <w:rsid w:val="006A0686"/>
    <w:rsid w:val="006A06D7"/>
    <w:rsid w:val="006A074D"/>
    <w:rsid w:val="006A0761"/>
    <w:rsid w:val="006A07A6"/>
    <w:rsid w:val="006A07DD"/>
    <w:rsid w:val="006A0886"/>
    <w:rsid w:val="006A08AB"/>
    <w:rsid w:val="006A096B"/>
    <w:rsid w:val="006A0B98"/>
    <w:rsid w:val="006A0F30"/>
    <w:rsid w:val="006A101F"/>
    <w:rsid w:val="006A105F"/>
    <w:rsid w:val="006A112E"/>
    <w:rsid w:val="006A11AA"/>
    <w:rsid w:val="006A11C8"/>
    <w:rsid w:val="006A1203"/>
    <w:rsid w:val="006A1214"/>
    <w:rsid w:val="006A12B6"/>
    <w:rsid w:val="006A1314"/>
    <w:rsid w:val="006A1489"/>
    <w:rsid w:val="006A148D"/>
    <w:rsid w:val="006A14FA"/>
    <w:rsid w:val="006A158E"/>
    <w:rsid w:val="006A17E1"/>
    <w:rsid w:val="006A18DA"/>
    <w:rsid w:val="006A1AB9"/>
    <w:rsid w:val="006A1BB5"/>
    <w:rsid w:val="006A1BD7"/>
    <w:rsid w:val="006A1C35"/>
    <w:rsid w:val="006A1C63"/>
    <w:rsid w:val="006A1CCD"/>
    <w:rsid w:val="006A1D50"/>
    <w:rsid w:val="006A1D6F"/>
    <w:rsid w:val="006A1E19"/>
    <w:rsid w:val="006A1ED0"/>
    <w:rsid w:val="006A1F64"/>
    <w:rsid w:val="006A1F68"/>
    <w:rsid w:val="006A1FF0"/>
    <w:rsid w:val="006A205C"/>
    <w:rsid w:val="006A2169"/>
    <w:rsid w:val="006A231E"/>
    <w:rsid w:val="006A236E"/>
    <w:rsid w:val="006A2526"/>
    <w:rsid w:val="006A257D"/>
    <w:rsid w:val="006A2589"/>
    <w:rsid w:val="006A262D"/>
    <w:rsid w:val="006A27F6"/>
    <w:rsid w:val="006A282E"/>
    <w:rsid w:val="006A2857"/>
    <w:rsid w:val="006A29DF"/>
    <w:rsid w:val="006A2BC7"/>
    <w:rsid w:val="006A2C39"/>
    <w:rsid w:val="006A2D1B"/>
    <w:rsid w:val="006A2D8B"/>
    <w:rsid w:val="006A2DDE"/>
    <w:rsid w:val="006A2EA4"/>
    <w:rsid w:val="006A2EDB"/>
    <w:rsid w:val="006A2F1C"/>
    <w:rsid w:val="006A2F31"/>
    <w:rsid w:val="006A2FA3"/>
    <w:rsid w:val="006A2FC2"/>
    <w:rsid w:val="006A3012"/>
    <w:rsid w:val="006A306D"/>
    <w:rsid w:val="006A3159"/>
    <w:rsid w:val="006A321A"/>
    <w:rsid w:val="006A3369"/>
    <w:rsid w:val="006A34A0"/>
    <w:rsid w:val="006A34D9"/>
    <w:rsid w:val="006A3544"/>
    <w:rsid w:val="006A355D"/>
    <w:rsid w:val="006A3571"/>
    <w:rsid w:val="006A3579"/>
    <w:rsid w:val="006A3664"/>
    <w:rsid w:val="006A378C"/>
    <w:rsid w:val="006A37A8"/>
    <w:rsid w:val="006A3852"/>
    <w:rsid w:val="006A38E0"/>
    <w:rsid w:val="006A38EC"/>
    <w:rsid w:val="006A3995"/>
    <w:rsid w:val="006A3A3A"/>
    <w:rsid w:val="006A3A49"/>
    <w:rsid w:val="006A3BA3"/>
    <w:rsid w:val="006A3C39"/>
    <w:rsid w:val="006A3C99"/>
    <w:rsid w:val="006A3CCF"/>
    <w:rsid w:val="006A3D1C"/>
    <w:rsid w:val="006A3DD0"/>
    <w:rsid w:val="006A3EB8"/>
    <w:rsid w:val="006A3EC3"/>
    <w:rsid w:val="006A40C1"/>
    <w:rsid w:val="006A4164"/>
    <w:rsid w:val="006A4494"/>
    <w:rsid w:val="006A44FC"/>
    <w:rsid w:val="006A4531"/>
    <w:rsid w:val="006A455F"/>
    <w:rsid w:val="006A4678"/>
    <w:rsid w:val="006A468B"/>
    <w:rsid w:val="006A46B5"/>
    <w:rsid w:val="006A46D3"/>
    <w:rsid w:val="006A498C"/>
    <w:rsid w:val="006A4AC6"/>
    <w:rsid w:val="006A4B1E"/>
    <w:rsid w:val="006A4BD5"/>
    <w:rsid w:val="006A4C23"/>
    <w:rsid w:val="006A4C2A"/>
    <w:rsid w:val="006A4C6B"/>
    <w:rsid w:val="006A4DC8"/>
    <w:rsid w:val="006A4E30"/>
    <w:rsid w:val="006A4FC6"/>
    <w:rsid w:val="006A4FDB"/>
    <w:rsid w:val="006A5045"/>
    <w:rsid w:val="006A50CC"/>
    <w:rsid w:val="006A5162"/>
    <w:rsid w:val="006A519C"/>
    <w:rsid w:val="006A51A7"/>
    <w:rsid w:val="006A51E0"/>
    <w:rsid w:val="006A5273"/>
    <w:rsid w:val="006A5389"/>
    <w:rsid w:val="006A53B1"/>
    <w:rsid w:val="006A54B1"/>
    <w:rsid w:val="006A54D6"/>
    <w:rsid w:val="006A54D8"/>
    <w:rsid w:val="006A5556"/>
    <w:rsid w:val="006A55E2"/>
    <w:rsid w:val="006A55FA"/>
    <w:rsid w:val="006A56A5"/>
    <w:rsid w:val="006A56EA"/>
    <w:rsid w:val="006A570F"/>
    <w:rsid w:val="006A573E"/>
    <w:rsid w:val="006A579B"/>
    <w:rsid w:val="006A5875"/>
    <w:rsid w:val="006A5985"/>
    <w:rsid w:val="006A5AAB"/>
    <w:rsid w:val="006A5AC7"/>
    <w:rsid w:val="006A5CAA"/>
    <w:rsid w:val="006A5D1F"/>
    <w:rsid w:val="006A5DDD"/>
    <w:rsid w:val="006A5E2F"/>
    <w:rsid w:val="006A5E81"/>
    <w:rsid w:val="006A5EF0"/>
    <w:rsid w:val="006A5F6F"/>
    <w:rsid w:val="006A5FFF"/>
    <w:rsid w:val="006A6107"/>
    <w:rsid w:val="006A61BB"/>
    <w:rsid w:val="006A62E3"/>
    <w:rsid w:val="006A6386"/>
    <w:rsid w:val="006A63D3"/>
    <w:rsid w:val="006A654B"/>
    <w:rsid w:val="006A6705"/>
    <w:rsid w:val="006A6845"/>
    <w:rsid w:val="006A684E"/>
    <w:rsid w:val="006A6994"/>
    <w:rsid w:val="006A69CD"/>
    <w:rsid w:val="006A69EB"/>
    <w:rsid w:val="006A6A1F"/>
    <w:rsid w:val="006A6A3A"/>
    <w:rsid w:val="006A6A5C"/>
    <w:rsid w:val="006A6A6D"/>
    <w:rsid w:val="006A6A90"/>
    <w:rsid w:val="006A6A93"/>
    <w:rsid w:val="006A6ACC"/>
    <w:rsid w:val="006A6B31"/>
    <w:rsid w:val="006A6B5C"/>
    <w:rsid w:val="006A6ECD"/>
    <w:rsid w:val="006A6F1F"/>
    <w:rsid w:val="006A6F6C"/>
    <w:rsid w:val="006A6F92"/>
    <w:rsid w:val="006A70AA"/>
    <w:rsid w:val="006A7114"/>
    <w:rsid w:val="006A7125"/>
    <w:rsid w:val="006A7156"/>
    <w:rsid w:val="006A7240"/>
    <w:rsid w:val="006A72BA"/>
    <w:rsid w:val="006A731A"/>
    <w:rsid w:val="006A738A"/>
    <w:rsid w:val="006A7425"/>
    <w:rsid w:val="006A745B"/>
    <w:rsid w:val="006A755F"/>
    <w:rsid w:val="006A773B"/>
    <w:rsid w:val="006A7784"/>
    <w:rsid w:val="006A782B"/>
    <w:rsid w:val="006A799D"/>
    <w:rsid w:val="006A7A3C"/>
    <w:rsid w:val="006A7A66"/>
    <w:rsid w:val="006A7B02"/>
    <w:rsid w:val="006A7C58"/>
    <w:rsid w:val="006A7D6D"/>
    <w:rsid w:val="006A7F53"/>
    <w:rsid w:val="006A7FD2"/>
    <w:rsid w:val="006B00E7"/>
    <w:rsid w:val="006B00E8"/>
    <w:rsid w:val="006B0200"/>
    <w:rsid w:val="006B0240"/>
    <w:rsid w:val="006B02C1"/>
    <w:rsid w:val="006B02E1"/>
    <w:rsid w:val="006B038D"/>
    <w:rsid w:val="006B041E"/>
    <w:rsid w:val="006B048A"/>
    <w:rsid w:val="006B04CD"/>
    <w:rsid w:val="006B059C"/>
    <w:rsid w:val="006B0662"/>
    <w:rsid w:val="006B0672"/>
    <w:rsid w:val="006B0685"/>
    <w:rsid w:val="006B069D"/>
    <w:rsid w:val="006B06AE"/>
    <w:rsid w:val="006B06DE"/>
    <w:rsid w:val="006B089D"/>
    <w:rsid w:val="006B0928"/>
    <w:rsid w:val="006B0930"/>
    <w:rsid w:val="006B0982"/>
    <w:rsid w:val="006B0AB6"/>
    <w:rsid w:val="006B0AEE"/>
    <w:rsid w:val="006B0B0A"/>
    <w:rsid w:val="006B0B33"/>
    <w:rsid w:val="006B0B74"/>
    <w:rsid w:val="006B0BBA"/>
    <w:rsid w:val="006B0BEA"/>
    <w:rsid w:val="006B0C35"/>
    <w:rsid w:val="006B0CCD"/>
    <w:rsid w:val="006B0EEF"/>
    <w:rsid w:val="006B139C"/>
    <w:rsid w:val="006B13BC"/>
    <w:rsid w:val="006B1402"/>
    <w:rsid w:val="006B1554"/>
    <w:rsid w:val="006B1681"/>
    <w:rsid w:val="006B1747"/>
    <w:rsid w:val="006B1841"/>
    <w:rsid w:val="006B1854"/>
    <w:rsid w:val="006B18E2"/>
    <w:rsid w:val="006B1BCE"/>
    <w:rsid w:val="006B1C8D"/>
    <w:rsid w:val="006B1CA6"/>
    <w:rsid w:val="006B1D67"/>
    <w:rsid w:val="006B1E7D"/>
    <w:rsid w:val="006B1F28"/>
    <w:rsid w:val="006B1F70"/>
    <w:rsid w:val="006B200A"/>
    <w:rsid w:val="006B204F"/>
    <w:rsid w:val="006B21D7"/>
    <w:rsid w:val="006B223E"/>
    <w:rsid w:val="006B244C"/>
    <w:rsid w:val="006B25D4"/>
    <w:rsid w:val="006B26C4"/>
    <w:rsid w:val="006B2799"/>
    <w:rsid w:val="006B2814"/>
    <w:rsid w:val="006B28A6"/>
    <w:rsid w:val="006B28CE"/>
    <w:rsid w:val="006B28FD"/>
    <w:rsid w:val="006B2970"/>
    <w:rsid w:val="006B2B38"/>
    <w:rsid w:val="006B2B4E"/>
    <w:rsid w:val="006B2B60"/>
    <w:rsid w:val="006B2C4A"/>
    <w:rsid w:val="006B2CC8"/>
    <w:rsid w:val="006B2D1C"/>
    <w:rsid w:val="006B2D77"/>
    <w:rsid w:val="006B2E4C"/>
    <w:rsid w:val="006B2F7C"/>
    <w:rsid w:val="006B2FFF"/>
    <w:rsid w:val="006B304A"/>
    <w:rsid w:val="006B31D4"/>
    <w:rsid w:val="006B32B4"/>
    <w:rsid w:val="006B3323"/>
    <w:rsid w:val="006B3473"/>
    <w:rsid w:val="006B3585"/>
    <w:rsid w:val="006B366B"/>
    <w:rsid w:val="006B36EE"/>
    <w:rsid w:val="006B3764"/>
    <w:rsid w:val="006B37C0"/>
    <w:rsid w:val="006B37C8"/>
    <w:rsid w:val="006B3868"/>
    <w:rsid w:val="006B3881"/>
    <w:rsid w:val="006B38B5"/>
    <w:rsid w:val="006B3903"/>
    <w:rsid w:val="006B393B"/>
    <w:rsid w:val="006B3B55"/>
    <w:rsid w:val="006B3B74"/>
    <w:rsid w:val="006B3C3E"/>
    <w:rsid w:val="006B3C78"/>
    <w:rsid w:val="006B3E81"/>
    <w:rsid w:val="006B400B"/>
    <w:rsid w:val="006B4090"/>
    <w:rsid w:val="006B4093"/>
    <w:rsid w:val="006B41BB"/>
    <w:rsid w:val="006B41F9"/>
    <w:rsid w:val="006B4485"/>
    <w:rsid w:val="006B467C"/>
    <w:rsid w:val="006B4965"/>
    <w:rsid w:val="006B4AA6"/>
    <w:rsid w:val="006B4AD2"/>
    <w:rsid w:val="006B4AFA"/>
    <w:rsid w:val="006B4B64"/>
    <w:rsid w:val="006B4BC2"/>
    <w:rsid w:val="006B4CD0"/>
    <w:rsid w:val="006B4DE5"/>
    <w:rsid w:val="006B4E15"/>
    <w:rsid w:val="006B4F03"/>
    <w:rsid w:val="006B4F51"/>
    <w:rsid w:val="006B5092"/>
    <w:rsid w:val="006B514E"/>
    <w:rsid w:val="006B51D0"/>
    <w:rsid w:val="006B51DD"/>
    <w:rsid w:val="006B5303"/>
    <w:rsid w:val="006B540B"/>
    <w:rsid w:val="006B5437"/>
    <w:rsid w:val="006B543B"/>
    <w:rsid w:val="006B543D"/>
    <w:rsid w:val="006B544C"/>
    <w:rsid w:val="006B5525"/>
    <w:rsid w:val="006B5575"/>
    <w:rsid w:val="006B561A"/>
    <w:rsid w:val="006B5929"/>
    <w:rsid w:val="006B5978"/>
    <w:rsid w:val="006B59CE"/>
    <w:rsid w:val="006B5BDB"/>
    <w:rsid w:val="006B5BFD"/>
    <w:rsid w:val="006B5C2B"/>
    <w:rsid w:val="006B5F0D"/>
    <w:rsid w:val="006B608E"/>
    <w:rsid w:val="006B60B4"/>
    <w:rsid w:val="006B618E"/>
    <w:rsid w:val="006B624D"/>
    <w:rsid w:val="006B6281"/>
    <w:rsid w:val="006B629F"/>
    <w:rsid w:val="006B62C5"/>
    <w:rsid w:val="006B62D2"/>
    <w:rsid w:val="006B62D8"/>
    <w:rsid w:val="006B62FF"/>
    <w:rsid w:val="006B63AA"/>
    <w:rsid w:val="006B64C0"/>
    <w:rsid w:val="006B64C2"/>
    <w:rsid w:val="006B6642"/>
    <w:rsid w:val="006B6651"/>
    <w:rsid w:val="006B6670"/>
    <w:rsid w:val="006B6680"/>
    <w:rsid w:val="006B6855"/>
    <w:rsid w:val="006B6A01"/>
    <w:rsid w:val="006B6BA0"/>
    <w:rsid w:val="006B6D4D"/>
    <w:rsid w:val="006B6E6D"/>
    <w:rsid w:val="006B6E9A"/>
    <w:rsid w:val="006B6F1D"/>
    <w:rsid w:val="006B6F34"/>
    <w:rsid w:val="006B7001"/>
    <w:rsid w:val="006B7044"/>
    <w:rsid w:val="006B7268"/>
    <w:rsid w:val="006B7378"/>
    <w:rsid w:val="006B73E7"/>
    <w:rsid w:val="006B74DC"/>
    <w:rsid w:val="006B74F5"/>
    <w:rsid w:val="006B75AC"/>
    <w:rsid w:val="006B76B1"/>
    <w:rsid w:val="006B77B4"/>
    <w:rsid w:val="006B77CB"/>
    <w:rsid w:val="006B77F5"/>
    <w:rsid w:val="006B7809"/>
    <w:rsid w:val="006B781F"/>
    <w:rsid w:val="006B7863"/>
    <w:rsid w:val="006B788A"/>
    <w:rsid w:val="006B78A0"/>
    <w:rsid w:val="006B79DC"/>
    <w:rsid w:val="006B7A55"/>
    <w:rsid w:val="006B7A8B"/>
    <w:rsid w:val="006B7AB1"/>
    <w:rsid w:val="006B7AD7"/>
    <w:rsid w:val="006B7B8B"/>
    <w:rsid w:val="006B7BA4"/>
    <w:rsid w:val="006B7BE0"/>
    <w:rsid w:val="006B7C55"/>
    <w:rsid w:val="006B7CC3"/>
    <w:rsid w:val="006B7CFE"/>
    <w:rsid w:val="006B7DF1"/>
    <w:rsid w:val="006B7F2F"/>
    <w:rsid w:val="006B7F6B"/>
    <w:rsid w:val="006B7FF1"/>
    <w:rsid w:val="006C010C"/>
    <w:rsid w:val="006C01C0"/>
    <w:rsid w:val="006C0236"/>
    <w:rsid w:val="006C0332"/>
    <w:rsid w:val="006C067A"/>
    <w:rsid w:val="006C07EA"/>
    <w:rsid w:val="006C0868"/>
    <w:rsid w:val="006C0881"/>
    <w:rsid w:val="006C0904"/>
    <w:rsid w:val="006C09E8"/>
    <w:rsid w:val="006C0A4A"/>
    <w:rsid w:val="006C0B38"/>
    <w:rsid w:val="006C0C04"/>
    <w:rsid w:val="006C0CBD"/>
    <w:rsid w:val="006C1133"/>
    <w:rsid w:val="006C113E"/>
    <w:rsid w:val="006C114A"/>
    <w:rsid w:val="006C1233"/>
    <w:rsid w:val="006C123A"/>
    <w:rsid w:val="006C123E"/>
    <w:rsid w:val="006C12F3"/>
    <w:rsid w:val="006C1400"/>
    <w:rsid w:val="006C141A"/>
    <w:rsid w:val="006C1460"/>
    <w:rsid w:val="006C14FF"/>
    <w:rsid w:val="006C157F"/>
    <w:rsid w:val="006C1581"/>
    <w:rsid w:val="006C1691"/>
    <w:rsid w:val="006C16EE"/>
    <w:rsid w:val="006C16F2"/>
    <w:rsid w:val="006C174C"/>
    <w:rsid w:val="006C175A"/>
    <w:rsid w:val="006C1792"/>
    <w:rsid w:val="006C17F9"/>
    <w:rsid w:val="006C199E"/>
    <w:rsid w:val="006C19B1"/>
    <w:rsid w:val="006C1C9B"/>
    <w:rsid w:val="006C1D45"/>
    <w:rsid w:val="006C1D80"/>
    <w:rsid w:val="006C1E8D"/>
    <w:rsid w:val="006C1EA1"/>
    <w:rsid w:val="006C1F13"/>
    <w:rsid w:val="006C219B"/>
    <w:rsid w:val="006C21F1"/>
    <w:rsid w:val="006C231C"/>
    <w:rsid w:val="006C2350"/>
    <w:rsid w:val="006C2383"/>
    <w:rsid w:val="006C24AA"/>
    <w:rsid w:val="006C253D"/>
    <w:rsid w:val="006C26E0"/>
    <w:rsid w:val="006C278B"/>
    <w:rsid w:val="006C287A"/>
    <w:rsid w:val="006C28BE"/>
    <w:rsid w:val="006C28C0"/>
    <w:rsid w:val="006C292A"/>
    <w:rsid w:val="006C2AD4"/>
    <w:rsid w:val="006C2B31"/>
    <w:rsid w:val="006C2C6C"/>
    <w:rsid w:val="006C2D1A"/>
    <w:rsid w:val="006C2E55"/>
    <w:rsid w:val="006C2E90"/>
    <w:rsid w:val="006C2F91"/>
    <w:rsid w:val="006C3033"/>
    <w:rsid w:val="006C31DE"/>
    <w:rsid w:val="006C322C"/>
    <w:rsid w:val="006C332F"/>
    <w:rsid w:val="006C348E"/>
    <w:rsid w:val="006C34AB"/>
    <w:rsid w:val="006C34FD"/>
    <w:rsid w:val="006C3552"/>
    <w:rsid w:val="006C36CD"/>
    <w:rsid w:val="006C37DF"/>
    <w:rsid w:val="006C3CB9"/>
    <w:rsid w:val="006C3D20"/>
    <w:rsid w:val="006C3DE5"/>
    <w:rsid w:val="006C3E46"/>
    <w:rsid w:val="006C3E9C"/>
    <w:rsid w:val="006C417D"/>
    <w:rsid w:val="006C4279"/>
    <w:rsid w:val="006C42D0"/>
    <w:rsid w:val="006C4437"/>
    <w:rsid w:val="006C44B3"/>
    <w:rsid w:val="006C44BB"/>
    <w:rsid w:val="006C452C"/>
    <w:rsid w:val="006C4578"/>
    <w:rsid w:val="006C4709"/>
    <w:rsid w:val="006C479B"/>
    <w:rsid w:val="006C4A2C"/>
    <w:rsid w:val="006C4B3A"/>
    <w:rsid w:val="006C4B4B"/>
    <w:rsid w:val="006C4CDA"/>
    <w:rsid w:val="006C4CF2"/>
    <w:rsid w:val="006C4E01"/>
    <w:rsid w:val="006C4E6D"/>
    <w:rsid w:val="006C4FA0"/>
    <w:rsid w:val="006C4FD5"/>
    <w:rsid w:val="006C50B4"/>
    <w:rsid w:val="006C50D6"/>
    <w:rsid w:val="006C530A"/>
    <w:rsid w:val="006C540D"/>
    <w:rsid w:val="006C541E"/>
    <w:rsid w:val="006C5460"/>
    <w:rsid w:val="006C5478"/>
    <w:rsid w:val="006C54CB"/>
    <w:rsid w:val="006C550A"/>
    <w:rsid w:val="006C553B"/>
    <w:rsid w:val="006C56C4"/>
    <w:rsid w:val="006C5724"/>
    <w:rsid w:val="006C5809"/>
    <w:rsid w:val="006C58CF"/>
    <w:rsid w:val="006C58EF"/>
    <w:rsid w:val="006C598B"/>
    <w:rsid w:val="006C59D5"/>
    <w:rsid w:val="006C5EC4"/>
    <w:rsid w:val="006C5F85"/>
    <w:rsid w:val="006C5FE8"/>
    <w:rsid w:val="006C602D"/>
    <w:rsid w:val="006C60BE"/>
    <w:rsid w:val="006C61FD"/>
    <w:rsid w:val="006C6254"/>
    <w:rsid w:val="006C63C5"/>
    <w:rsid w:val="006C6420"/>
    <w:rsid w:val="006C652B"/>
    <w:rsid w:val="006C6539"/>
    <w:rsid w:val="006C66EB"/>
    <w:rsid w:val="006C66F1"/>
    <w:rsid w:val="006C66F4"/>
    <w:rsid w:val="006C67D1"/>
    <w:rsid w:val="006C6832"/>
    <w:rsid w:val="006C6843"/>
    <w:rsid w:val="006C687F"/>
    <w:rsid w:val="006C6896"/>
    <w:rsid w:val="006C69CE"/>
    <w:rsid w:val="006C6A25"/>
    <w:rsid w:val="006C6AAD"/>
    <w:rsid w:val="006C6BCC"/>
    <w:rsid w:val="006C6CC5"/>
    <w:rsid w:val="006C6CEA"/>
    <w:rsid w:val="006C6EBC"/>
    <w:rsid w:val="006C6ECA"/>
    <w:rsid w:val="006C701F"/>
    <w:rsid w:val="006C7084"/>
    <w:rsid w:val="006C712F"/>
    <w:rsid w:val="006C7185"/>
    <w:rsid w:val="006C729F"/>
    <w:rsid w:val="006C750F"/>
    <w:rsid w:val="006C752B"/>
    <w:rsid w:val="006C75A5"/>
    <w:rsid w:val="006C7703"/>
    <w:rsid w:val="006C7711"/>
    <w:rsid w:val="006C77ED"/>
    <w:rsid w:val="006C797E"/>
    <w:rsid w:val="006C7B95"/>
    <w:rsid w:val="006C7BE0"/>
    <w:rsid w:val="006C7C41"/>
    <w:rsid w:val="006C7ED9"/>
    <w:rsid w:val="006C7EEE"/>
    <w:rsid w:val="006C7F05"/>
    <w:rsid w:val="006C7FEF"/>
    <w:rsid w:val="006D0022"/>
    <w:rsid w:val="006D0026"/>
    <w:rsid w:val="006D00CD"/>
    <w:rsid w:val="006D0157"/>
    <w:rsid w:val="006D017B"/>
    <w:rsid w:val="006D025B"/>
    <w:rsid w:val="006D0505"/>
    <w:rsid w:val="006D0748"/>
    <w:rsid w:val="006D0835"/>
    <w:rsid w:val="006D0888"/>
    <w:rsid w:val="006D0A18"/>
    <w:rsid w:val="006D0ABE"/>
    <w:rsid w:val="006D0B44"/>
    <w:rsid w:val="006D0B66"/>
    <w:rsid w:val="006D0BC7"/>
    <w:rsid w:val="006D0CF3"/>
    <w:rsid w:val="006D0D74"/>
    <w:rsid w:val="006D0E9A"/>
    <w:rsid w:val="006D0EA7"/>
    <w:rsid w:val="006D1018"/>
    <w:rsid w:val="006D10CD"/>
    <w:rsid w:val="006D111B"/>
    <w:rsid w:val="006D1163"/>
    <w:rsid w:val="006D1167"/>
    <w:rsid w:val="006D1175"/>
    <w:rsid w:val="006D1220"/>
    <w:rsid w:val="006D1228"/>
    <w:rsid w:val="006D122B"/>
    <w:rsid w:val="006D12EB"/>
    <w:rsid w:val="006D1405"/>
    <w:rsid w:val="006D1477"/>
    <w:rsid w:val="006D15C8"/>
    <w:rsid w:val="006D169D"/>
    <w:rsid w:val="006D16D8"/>
    <w:rsid w:val="006D188E"/>
    <w:rsid w:val="006D19DB"/>
    <w:rsid w:val="006D19F1"/>
    <w:rsid w:val="006D1A5B"/>
    <w:rsid w:val="006D1B7B"/>
    <w:rsid w:val="006D1B7E"/>
    <w:rsid w:val="006D1BAB"/>
    <w:rsid w:val="006D1BDA"/>
    <w:rsid w:val="006D1C4F"/>
    <w:rsid w:val="006D1DCD"/>
    <w:rsid w:val="006D1E64"/>
    <w:rsid w:val="006D1EDA"/>
    <w:rsid w:val="006D2097"/>
    <w:rsid w:val="006D21C6"/>
    <w:rsid w:val="006D21DB"/>
    <w:rsid w:val="006D21DD"/>
    <w:rsid w:val="006D22E9"/>
    <w:rsid w:val="006D22EF"/>
    <w:rsid w:val="006D22FD"/>
    <w:rsid w:val="006D2300"/>
    <w:rsid w:val="006D23C0"/>
    <w:rsid w:val="006D25CD"/>
    <w:rsid w:val="006D25E4"/>
    <w:rsid w:val="006D26E7"/>
    <w:rsid w:val="006D27CF"/>
    <w:rsid w:val="006D28A4"/>
    <w:rsid w:val="006D2A8E"/>
    <w:rsid w:val="006D2AAE"/>
    <w:rsid w:val="006D2AD8"/>
    <w:rsid w:val="006D2B31"/>
    <w:rsid w:val="006D2B44"/>
    <w:rsid w:val="006D2BE5"/>
    <w:rsid w:val="006D2CB3"/>
    <w:rsid w:val="006D2CBB"/>
    <w:rsid w:val="006D2E3C"/>
    <w:rsid w:val="006D2ECF"/>
    <w:rsid w:val="006D2FA6"/>
    <w:rsid w:val="006D2FC6"/>
    <w:rsid w:val="006D3053"/>
    <w:rsid w:val="006D3071"/>
    <w:rsid w:val="006D30B1"/>
    <w:rsid w:val="006D31DE"/>
    <w:rsid w:val="006D3258"/>
    <w:rsid w:val="006D3269"/>
    <w:rsid w:val="006D32ED"/>
    <w:rsid w:val="006D337E"/>
    <w:rsid w:val="006D342F"/>
    <w:rsid w:val="006D35FE"/>
    <w:rsid w:val="006D360A"/>
    <w:rsid w:val="006D3652"/>
    <w:rsid w:val="006D36A9"/>
    <w:rsid w:val="006D3708"/>
    <w:rsid w:val="006D3803"/>
    <w:rsid w:val="006D3A5F"/>
    <w:rsid w:val="006D3AE4"/>
    <w:rsid w:val="006D3B0D"/>
    <w:rsid w:val="006D3BCA"/>
    <w:rsid w:val="006D3C30"/>
    <w:rsid w:val="006D3CBA"/>
    <w:rsid w:val="006D3CE8"/>
    <w:rsid w:val="006D3D7D"/>
    <w:rsid w:val="006D3DA8"/>
    <w:rsid w:val="006D3DDD"/>
    <w:rsid w:val="006D3E67"/>
    <w:rsid w:val="006D3EC1"/>
    <w:rsid w:val="006D413F"/>
    <w:rsid w:val="006D4145"/>
    <w:rsid w:val="006D4172"/>
    <w:rsid w:val="006D42D8"/>
    <w:rsid w:val="006D432E"/>
    <w:rsid w:val="006D43CA"/>
    <w:rsid w:val="006D4430"/>
    <w:rsid w:val="006D45D2"/>
    <w:rsid w:val="006D45FB"/>
    <w:rsid w:val="006D4754"/>
    <w:rsid w:val="006D4788"/>
    <w:rsid w:val="006D47C1"/>
    <w:rsid w:val="006D47CA"/>
    <w:rsid w:val="006D480A"/>
    <w:rsid w:val="006D485E"/>
    <w:rsid w:val="006D49BC"/>
    <w:rsid w:val="006D49E0"/>
    <w:rsid w:val="006D4B02"/>
    <w:rsid w:val="006D4B46"/>
    <w:rsid w:val="006D4BA8"/>
    <w:rsid w:val="006D4D47"/>
    <w:rsid w:val="006D4D89"/>
    <w:rsid w:val="006D4F96"/>
    <w:rsid w:val="006D4F97"/>
    <w:rsid w:val="006D5072"/>
    <w:rsid w:val="006D50F8"/>
    <w:rsid w:val="006D5133"/>
    <w:rsid w:val="006D516A"/>
    <w:rsid w:val="006D51A0"/>
    <w:rsid w:val="006D5208"/>
    <w:rsid w:val="006D5275"/>
    <w:rsid w:val="006D52AC"/>
    <w:rsid w:val="006D52E4"/>
    <w:rsid w:val="006D5358"/>
    <w:rsid w:val="006D543B"/>
    <w:rsid w:val="006D5473"/>
    <w:rsid w:val="006D552A"/>
    <w:rsid w:val="006D5887"/>
    <w:rsid w:val="006D5929"/>
    <w:rsid w:val="006D5972"/>
    <w:rsid w:val="006D59B1"/>
    <w:rsid w:val="006D5B1F"/>
    <w:rsid w:val="006D5B24"/>
    <w:rsid w:val="006D5B2C"/>
    <w:rsid w:val="006D5BF2"/>
    <w:rsid w:val="006D5D78"/>
    <w:rsid w:val="006D5D83"/>
    <w:rsid w:val="006D5E6D"/>
    <w:rsid w:val="006D5EB8"/>
    <w:rsid w:val="006D5EBE"/>
    <w:rsid w:val="006D5FB9"/>
    <w:rsid w:val="006D608B"/>
    <w:rsid w:val="006D608F"/>
    <w:rsid w:val="006D60EF"/>
    <w:rsid w:val="006D6137"/>
    <w:rsid w:val="006D6187"/>
    <w:rsid w:val="006D61B6"/>
    <w:rsid w:val="006D62B9"/>
    <w:rsid w:val="006D63A2"/>
    <w:rsid w:val="006D63DB"/>
    <w:rsid w:val="006D640D"/>
    <w:rsid w:val="006D650C"/>
    <w:rsid w:val="006D6518"/>
    <w:rsid w:val="006D6788"/>
    <w:rsid w:val="006D67AD"/>
    <w:rsid w:val="006D6800"/>
    <w:rsid w:val="006D6818"/>
    <w:rsid w:val="006D6846"/>
    <w:rsid w:val="006D6911"/>
    <w:rsid w:val="006D6943"/>
    <w:rsid w:val="006D6948"/>
    <w:rsid w:val="006D69A9"/>
    <w:rsid w:val="006D6CF6"/>
    <w:rsid w:val="006D6D47"/>
    <w:rsid w:val="006D6DEB"/>
    <w:rsid w:val="006D6E0A"/>
    <w:rsid w:val="006D6E8E"/>
    <w:rsid w:val="006D6EED"/>
    <w:rsid w:val="006D6F0D"/>
    <w:rsid w:val="006D6FD6"/>
    <w:rsid w:val="006D7016"/>
    <w:rsid w:val="006D718C"/>
    <w:rsid w:val="006D71A8"/>
    <w:rsid w:val="006D73A7"/>
    <w:rsid w:val="006D73EC"/>
    <w:rsid w:val="006D7444"/>
    <w:rsid w:val="006D747A"/>
    <w:rsid w:val="006D7485"/>
    <w:rsid w:val="006D74EC"/>
    <w:rsid w:val="006D75D8"/>
    <w:rsid w:val="006D75F8"/>
    <w:rsid w:val="006D7624"/>
    <w:rsid w:val="006D7659"/>
    <w:rsid w:val="006D76A2"/>
    <w:rsid w:val="006D76B4"/>
    <w:rsid w:val="006D773C"/>
    <w:rsid w:val="006D77AD"/>
    <w:rsid w:val="006D789A"/>
    <w:rsid w:val="006D78E4"/>
    <w:rsid w:val="006D796A"/>
    <w:rsid w:val="006D7986"/>
    <w:rsid w:val="006D7A94"/>
    <w:rsid w:val="006D7C00"/>
    <w:rsid w:val="006D7C3E"/>
    <w:rsid w:val="006D7C76"/>
    <w:rsid w:val="006D7DAD"/>
    <w:rsid w:val="006D7DB8"/>
    <w:rsid w:val="006D7F75"/>
    <w:rsid w:val="006E002F"/>
    <w:rsid w:val="006E009C"/>
    <w:rsid w:val="006E0112"/>
    <w:rsid w:val="006E018B"/>
    <w:rsid w:val="006E0213"/>
    <w:rsid w:val="006E0263"/>
    <w:rsid w:val="006E02A1"/>
    <w:rsid w:val="006E02F0"/>
    <w:rsid w:val="006E04C4"/>
    <w:rsid w:val="006E0539"/>
    <w:rsid w:val="006E058B"/>
    <w:rsid w:val="006E072C"/>
    <w:rsid w:val="006E0815"/>
    <w:rsid w:val="006E0A01"/>
    <w:rsid w:val="006E0A0A"/>
    <w:rsid w:val="006E0AD3"/>
    <w:rsid w:val="006E0BEA"/>
    <w:rsid w:val="006E0BED"/>
    <w:rsid w:val="006E0BFC"/>
    <w:rsid w:val="006E0C2E"/>
    <w:rsid w:val="006E0D11"/>
    <w:rsid w:val="006E0DAD"/>
    <w:rsid w:val="006E0E32"/>
    <w:rsid w:val="006E0F5D"/>
    <w:rsid w:val="006E0F65"/>
    <w:rsid w:val="006E1055"/>
    <w:rsid w:val="006E1314"/>
    <w:rsid w:val="006E13F7"/>
    <w:rsid w:val="006E1418"/>
    <w:rsid w:val="006E15E5"/>
    <w:rsid w:val="006E16D9"/>
    <w:rsid w:val="006E177E"/>
    <w:rsid w:val="006E1793"/>
    <w:rsid w:val="006E17C6"/>
    <w:rsid w:val="006E1888"/>
    <w:rsid w:val="006E18EE"/>
    <w:rsid w:val="006E193C"/>
    <w:rsid w:val="006E196D"/>
    <w:rsid w:val="006E1A10"/>
    <w:rsid w:val="006E1B7E"/>
    <w:rsid w:val="006E1B87"/>
    <w:rsid w:val="006E1C1D"/>
    <w:rsid w:val="006E1D6C"/>
    <w:rsid w:val="006E1FC6"/>
    <w:rsid w:val="006E2161"/>
    <w:rsid w:val="006E21BF"/>
    <w:rsid w:val="006E21CA"/>
    <w:rsid w:val="006E22E3"/>
    <w:rsid w:val="006E232C"/>
    <w:rsid w:val="006E232D"/>
    <w:rsid w:val="006E2402"/>
    <w:rsid w:val="006E2449"/>
    <w:rsid w:val="006E252A"/>
    <w:rsid w:val="006E2588"/>
    <w:rsid w:val="006E279D"/>
    <w:rsid w:val="006E2820"/>
    <w:rsid w:val="006E284D"/>
    <w:rsid w:val="006E28B0"/>
    <w:rsid w:val="006E29B0"/>
    <w:rsid w:val="006E2BF8"/>
    <w:rsid w:val="006E2C4F"/>
    <w:rsid w:val="006E2E0F"/>
    <w:rsid w:val="006E2EF5"/>
    <w:rsid w:val="006E2F89"/>
    <w:rsid w:val="006E2FAC"/>
    <w:rsid w:val="006E3074"/>
    <w:rsid w:val="006E310D"/>
    <w:rsid w:val="006E316D"/>
    <w:rsid w:val="006E3195"/>
    <w:rsid w:val="006E31ED"/>
    <w:rsid w:val="006E3330"/>
    <w:rsid w:val="006E3481"/>
    <w:rsid w:val="006E390E"/>
    <w:rsid w:val="006E3B35"/>
    <w:rsid w:val="006E3C9E"/>
    <w:rsid w:val="006E3D65"/>
    <w:rsid w:val="006E3DA1"/>
    <w:rsid w:val="006E3DB4"/>
    <w:rsid w:val="006E3DF1"/>
    <w:rsid w:val="006E3E38"/>
    <w:rsid w:val="006E3E5F"/>
    <w:rsid w:val="006E3FB5"/>
    <w:rsid w:val="006E4082"/>
    <w:rsid w:val="006E41F6"/>
    <w:rsid w:val="006E44DF"/>
    <w:rsid w:val="006E4552"/>
    <w:rsid w:val="006E4615"/>
    <w:rsid w:val="006E4686"/>
    <w:rsid w:val="006E46C6"/>
    <w:rsid w:val="006E47B4"/>
    <w:rsid w:val="006E483A"/>
    <w:rsid w:val="006E48F0"/>
    <w:rsid w:val="006E4A0D"/>
    <w:rsid w:val="006E4A48"/>
    <w:rsid w:val="006E4A6F"/>
    <w:rsid w:val="006E4AE1"/>
    <w:rsid w:val="006E4C34"/>
    <w:rsid w:val="006E4C6E"/>
    <w:rsid w:val="006E4D90"/>
    <w:rsid w:val="006E4D9E"/>
    <w:rsid w:val="006E4E73"/>
    <w:rsid w:val="006E4F94"/>
    <w:rsid w:val="006E4FB4"/>
    <w:rsid w:val="006E50B0"/>
    <w:rsid w:val="006E50C5"/>
    <w:rsid w:val="006E5120"/>
    <w:rsid w:val="006E51A0"/>
    <w:rsid w:val="006E51F6"/>
    <w:rsid w:val="006E52D5"/>
    <w:rsid w:val="006E538B"/>
    <w:rsid w:val="006E5467"/>
    <w:rsid w:val="006E5546"/>
    <w:rsid w:val="006E556C"/>
    <w:rsid w:val="006E56DA"/>
    <w:rsid w:val="006E5832"/>
    <w:rsid w:val="006E5851"/>
    <w:rsid w:val="006E598F"/>
    <w:rsid w:val="006E5A4C"/>
    <w:rsid w:val="006E5A85"/>
    <w:rsid w:val="006E5CC7"/>
    <w:rsid w:val="006E5CF9"/>
    <w:rsid w:val="006E5D66"/>
    <w:rsid w:val="006E5E26"/>
    <w:rsid w:val="006E5EFE"/>
    <w:rsid w:val="006E5F05"/>
    <w:rsid w:val="006E5F0D"/>
    <w:rsid w:val="006E6135"/>
    <w:rsid w:val="006E61E2"/>
    <w:rsid w:val="006E61F3"/>
    <w:rsid w:val="006E62A3"/>
    <w:rsid w:val="006E632D"/>
    <w:rsid w:val="006E63F6"/>
    <w:rsid w:val="006E63FC"/>
    <w:rsid w:val="006E648B"/>
    <w:rsid w:val="006E648E"/>
    <w:rsid w:val="006E64A6"/>
    <w:rsid w:val="006E65F8"/>
    <w:rsid w:val="006E69D7"/>
    <w:rsid w:val="006E6AC4"/>
    <w:rsid w:val="006E6B87"/>
    <w:rsid w:val="006E6BA1"/>
    <w:rsid w:val="006E6BB6"/>
    <w:rsid w:val="006E6BCC"/>
    <w:rsid w:val="006E6BF5"/>
    <w:rsid w:val="006E6D45"/>
    <w:rsid w:val="006E6E2B"/>
    <w:rsid w:val="006E6EF8"/>
    <w:rsid w:val="006E6F13"/>
    <w:rsid w:val="006E6F1C"/>
    <w:rsid w:val="006E707B"/>
    <w:rsid w:val="006E70BB"/>
    <w:rsid w:val="006E7178"/>
    <w:rsid w:val="006E72FD"/>
    <w:rsid w:val="006E7410"/>
    <w:rsid w:val="006E74C1"/>
    <w:rsid w:val="006E76A0"/>
    <w:rsid w:val="006E7845"/>
    <w:rsid w:val="006E7919"/>
    <w:rsid w:val="006E79C0"/>
    <w:rsid w:val="006E7B53"/>
    <w:rsid w:val="006E7BAF"/>
    <w:rsid w:val="006E7BB2"/>
    <w:rsid w:val="006E7BCB"/>
    <w:rsid w:val="006E7C2D"/>
    <w:rsid w:val="006E7CBE"/>
    <w:rsid w:val="006E7DB6"/>
    <w:rsid w:val="006E7DBF"/>
    <w:rsid w:val="006E7F70"/>
    <w:rsid w:val="006E7FB2"/>
    <w:rsid w:val="006F0006"/>
    <w:rsid w:val="006F0007"/>
    <w:rsid w:val="006F0065"/>
    <w:rsid w:val="006F019E"/>
    <w:rsid w:val="006F01D4"/>
    <w:rsid w:val="006F0247"/>
    <w:rsid w:val="006F02E1"/>
    <w:rsid w:val="006F03E1"/>
    <w:rsid w:val="006F03EA"/>
    <w:rsid w:val="006F0444"/>
    <w:rsid w:val="006F053A"/>
    <w:rsid w:val="006F0562"/>
    <w:rsid w:val="006F05BB"/>
    <w:rsid w:val="006F0604"/>
    <w:rsid w:val="006F0690"/>
    <w:rsid w:val="006F0691"/>
    <w:rsid w:val="006F06B7"/>
    <w:rsid w:val="006F0713"/>
    <w:rsid w:val="006F08B4"/>
    <w:rsid w:val="006F08B5"/>
    <w:rsid w:val="006F08D0"/>
    <w:rsid w:val="006F0B84"/>
    <w:rsid w:val="006F0BCC"/>
    <w:rsid w:val="006F0C95"/>
    <w:rsid w:val="006F0DA4"/>
    <w:rsid w:val="006F0DC9"/>
    <w:rsid w:val="006F1207"/>
    <w:rsid w:val="006F1223"/>
    <w:rsid w:val="006F125D"/>
    <w:rsid w:val="006F12F5"/>
    <w:rsid w:val="006F1344"/>
    <w:rsid w:val="006F135C"/>
    <w:rsid w:val="006F13CE"/>
    <w:rsid w:val="006F13FB"/>
    <w:rsid w:val="006F1411"/>
    <w:rsid w:val="006F1424"/>
    <w:rsid w:val="006F1521"/>
    <w:rsid w:val="006F16B5"/>
    <w:rsid w:val="006F170C"/>
    <w:rsid w:val="006F1763"/>
    <w:rsid w:val="006F1779"/>
    <w:rsid w:val="006F1849"/>
    <w:rsid w:val="006F185D"/>
    <w:rsid w:val="006F18EF"/>
    <w:rsid w:val="006F1982"/>
    <w:rsid w:val="006F1997"/>
    <w:rsid w:val="006F19E8"/>
    <w:rsid w:val="006F19EF"/>
    <w:rsid w:val="006F19FD"/>
    <w:rsid w:val="006F1BC6"/>
    <w:rsid w:val="006F1C0F"/>
    <w:rsid w:val="006F1DB8"/>
    <w:rsid w:val="006F20B3"/>
    <w:rsid w:val="006F20C5"/>
    <w:rsid w:val="006F2148"/>
    <w:rsid w:val="006F215E"/>
    <w:rsid w:val="006F21B5"/>
    <w:rsid w:val="006F2392"/>
    <w:rsid w:val="006F248B"/>
    <w:rsid w:val="006F2519"/>
    <w:rsid w:val="006F25E3"/>
    <w:rsid w:val="006F2618"/>
    <w:rsid w:val="006F2689"/>
    <w:rsid w:val="006F29B3"/>
    <w:rsid w:val="006F2A7C"/>
    <w:rsid w:val="006F2B3B"/>
    <w:rsid w:val="006F2B9D"/>
    <w:rsid w:val="006F2BCD"/>
    <w:rsid w:val="006F2BEF"/>
    <w:rsid w:val="006F2C01"/>
    <w:rsid w:val="006F2CA7"/>
    <w:rsid w:val="006F2DAF"/>
    <w:rsid w:val="006F2EE2"/>
    <w:rsid w:val="006F3229"/>
    <w:rsid w:val="006F324D"/>
    <w:rsid w:val="006F3321"/>
    <w:rsid w:val="006F3396"/>
    <w:rsid w:val="006F33CB"/>
    <w:rsid w:val="006F3479"/>
    <w:rsid w:val="006F3514"/>
    <w:rsid w:val="006F3610"/>
    <w:rsid w:val="006F362F"/>
    <w:rsid w:val="006F3773"/>
    <w:rsid w:val="006F37A4"/>
    <w:rsid w:val="006F39B6"/>
    <w:rsid w:val="006F39EF"/>
    <w:rsid w:val="006F3A7F"/>
    <w:rsid w:val="006F3AD8"/>
    <w:rsid w:val="006F3B90"/>
    <w:rsid w:val="006F3BC0"/>
    <w:rsid w:val="006F3C0E"/>
    <w:rsid w:val="006F3D30"/>
    <w:rsid w:val="006F3EBE"/>
    <w:rsid w:val="006F3F2B"/>
    <w:rsid w:val="006F3F76"/>
    <w:rsid w:val="006F4039"/>
    <w:rsid w:val="006F4114"/>
    <w:rsid w:val="006F41EA"/>
    <w:rsid w:val="006F4241"/>
    <w:rsid w:val="006F4311"/>
    <w:rsid w:val="006F433E"/>
    <w:rsid w:val="006F4352"/>
    <w:rsid w:val="006F44DF"/>
    <w:rsid w:val="006F456D"/>
    <w:rsid w:val="006F47E0"/>
    <w:rsid w:val="006F47E2"/>
    <w:rsid w:val="006F486B"/>
    <w:rsid w:val="006F49A2"/>
    <w:rsid w:val="006F49B0"/>
    <w:rsid w:val="006F4A33"/>
    <w:rsid w:val="006F4A70"/>
    <w:rsid w:val="006F4ADA"/>
    <w:rsid w:val="006F4ADF"/>
    <w:rsid w:val="006F4B22"/>
    <w:rsid w:val="006F4B5F"/>
    <w:rsid w:val="006F4B97"/>
    <w:rsid w:val="006F4DDE"/>
    <w:rsid w:val="006F4F34"/>
    <w:rsid w:val="006F507B"/>
    <w:rsid w:val="006F5081"/>
    <w:rsid w:val="006F5091"/>
    <w:rsid w:val="006F516D"/>
    <w:rsid w:val="006F52D8"/>
    <w:rsid w:val="006F5360"/>
    <w:rsid w:val="006F5375"/>
    <w:rsid w:val="006F539B"/>
    <w:rsid w:val="006F53EE"/>
    <w:rsid w:val="006F54A5"/>
    <w:rsid w:val="006F54C3"/>
    <w:rsid w:val="006F5529"/>
    <w:rsid w:val="006F5625"/>
    <w:rsid w:val="006F5665"/>
    <w:rsid w:val="006F575C"/>
    <w:rsid w:val="006F57A0"/>
    <w:rsid w:val="006F57AF"/>
    <w:rsid w:val="006F5916"/>
    <w:rsid w:val="006F5ACD"/>
    <w:rsid w:val="006F5B46"/>
    <w:rsid w:val="006F5CA8"/>
    <w:rsid w:val="006F5CCA"/>
    <w:rsid w:val="006F5DFF"/>
    <w:rsid w:val="006F5E05"/>
    <w:rsid w:val="006F5E43"/>
    <w:rsid w:val="006F6015"/>
    <w:rsid w:val="006F6030"/>
    <w:rsid w:val="006F611B"/>
    <w:rsid w:val="006F61CE"/>
    <w:rsid w:val="006F6215"/>
    <w:rsid w:val="006F6305"/>
    <w:rsid w:val="006F63E7"/>
    <w:rsid w:val="006F653C"/>
    <w:rsid w:val="006F6559"/>
    <w:rsid w:val="006F65A2"/>
    <w:rsid w:val="006F65A8"/>
    <w:rsid w:val="006F65F4"/>
    <w:rsid w:val="006F6698"/>
    <w:rsid w:val="006F6719"/>
    <w:rsid w:val="006F6770"/>
    <w:rsid w:val="006F698D"/>
    <w:rsid w:val="006F6AB5"/>
    <w:rsid w:val="006F6B76"/>
    <w:rsid w:val="006F6C63"/>
    <w:rsid w:val="006F6C89"/>
    <w:rsid w:val="006F6D87"/>
    <w:rsid w:val="006F6E1F"/>
    <w:rsid w:val="006F6F2C"/>
    <w:rsid w:val="006F6F2E"/>
    <w:rsid w:val="006F6F90"/>
    <w:rsid w:val="006F6FD0"/>
    <w:rsid w:val="006F7006"/>
    <w:rsid w:val="006F701B"/>
    <w:rsid w:val="006F701D"/>
    <w:rsid w:val="006F70F1"/>
    <w:rsid w:val="006F710F"/>
    <w:rsid w:val="006F72AF"/>
    <w:rsid w:val="006F7471"/>
    <w:rsid w:val="006F7499"/>
    <w:rsid w:val="006F74C6"/>
    <w:rsid w:val="006F75E4"/>
    <w:rsid w:val="006F75FC"/>
    <w:rsid w:val="006F7768"/>
    <w:rsid w:val="006F77DE"/>
    <w:rsid w:val="006F7894"/>
    <w:rsid w:val="006F78B6"/>
    <w:rsid w:val="006F7900"/>
    <w:rsid w:val="006F7A32"/>
    <w:rsid w:val="006F7A76"/>
    <w:rsid w:val="006F7A7C"/>
    <w:rsid w:val="006F7A88"/>
    <w:rsid w:val="006F7ADA"/>
    <w:rsid w:val="006F7C39"/>
    <w:rsid w:val="006F7D1C"/>
    <w:rsid w:val="006F7DA7"/>
    <w:rsid w:val="006F7DE3"/>
    <w:rsid w:val="006F7E45"/>
    <w:rsid w:val="006F7E5A"/>
    <w:rsid w:val="0070000B"/>
    <w:rsid w:val="00700080"/>
    <w:rsid w:val="007000E3"/>
    <w:rsid w:val="0070014B"/>
    <w:rsid w:val="007001FA"/>
    <w:rsid w:val="0070023A"/>
    <w:rsid w:val="00700492"/>
    <w:rsid w:val="007004D3"/>
    <w:rsid w:val="00700515"/>
    <w:rsid w:val="00700610"/>
    <w:rsid w:val="00700620"/>
    <w:rsid w:val="00700630"/>
    <w:rsid w:val="00700895"/>
    <w:rsid w:val="0070095F"/>
    <w:rsid w:val="00700972"/>
    <w:rsid w:val="00700AEC"/>
    <w:rsid w:val="00700B6A"/>
    <w:rsid w:val="00700B81"/>
    <w:rsid w:val="00700E38"/>
    <w:rsid w:val="00700E73"/>
    <w:rsid w:val="00700E8D"/>
    <w:rsid w:val="00700FCA"/>
    <w:rsid w:val="00701054"/>
    <w:rsid w:val="00701059"/>
    <w:rsid w:val="0070106A"/>
    <w:rsid w:val="007011A9"/>
    <w:rsid w:val="007011AD"/>
    <w:rsid w:val="007011E1"/>
    <w:rsid w:val="007012D3"/>
    <w:rsid w:val="0070130C"/>
    <w:rsid w:val="00701334"/>
    <w:rsid w:val="007013C9"/>
    <w:rsid w:val="007014A4"/>
    <w:rsid w:val="00701537"/>
    <w:rsid w:val="00701540"/>
    <w:rsid w:val="00701595"/>
    <w:rsid w:val="007016B4"/>
    <w:rsid w:val="007016F5"/>
    <w:rsid w:val="007017B8"/>
    <w:rsid w:val="007018D8"/>
    <w:rsid w:val="00701990"/>
    <w:rsid w:val="00701BD8"/>
    <w:rsid w:val="00701CA9"/>
    <w:rsid w:val="00701CE7"/>
    <w:rsid w:val="00701D65"/>
    <w:rsid w:val="00701DEF"/>
    <w:rsid w:val="00701E30"/>
    <w:rsid w:val="00701E45"/>
    <w:rsid w:val="00701E5F"/>
    <w:rsid w:val="00701E71"/>
    <w:rsid w:val="00701F46"/>
    <w:rsid w:val="0070221D"/>
    <w:rsid w:val="00702285"/>
    <w:rsid w:val="00702450"/>
    <w:rsid w:val="007024DB"/>
    <w:rsid w:val="00702764"/>
    <w:rsid w:val="007028BD"/>
    <w:rsid w:val="00702A02"/>
    <w:rsid w:val="00702B66"/>
    <w:rsid w:val="00702B72"/>
    <w:rsid w:val="00702BF3"/>
    <w:rsid w:val="00702C4E"/>
    <w:rsid w:val="00702D01"/>
    <w:rsid w:val="00702E6F"/>
    <w:rsid w:val="00702F63"/>
    <w:rsid w:val="00703052"/>
    <w:rsid w:val="00703076"/>
    <w:rsid w:val="00703080"/>
    <w:rsid w:val="00703133"/>
    <w:rsid w:val="00703194"/>
    <w:rsid w:val="00703479"/>
    <w:rsid w:val="0070347F"/>
    <w:rsid w:val="007035D6"/>
    <w:rsid w:val="0070369F"/>
    <w:rsid w:val="0070371F"/>
    <w:rsid w:val="00703807"/>
    <w:rsid w:val="007039D5"/>
    <w:rsid w:val="00703ADD"/>
    <w:rsid w:val="00703AF6"/>
    <w:rsid w:val="00703B2B"/>
    <w:rsid w:val="00703C22"/>
    <w:rsid w:val="00703DDB"/>
    <w:rsid w:val="00703F0D"/>
    <w:rsid w:val="00703FAB"/>
    <w:rsid w:val="00703FF7"/>
    <w:rsid w:val="0070405F"/>
    <w:rsid w:val="00704152"/>
    <w:rsid w:val="007041CD"/>
    <w:rsid w:val="00704263"/>
    <w:rsid w:val="007044C1"/>
    <w:rsid w:val="007044D3"/>
    <w:rsid w:val="00704706"/>
    <w:rsid w:val="007048CD"/>
    <w:rsid w:val="007048D1"/>
    <w:rsid w:val="0070495A"/>
    <w:rsid w:val="00704984"/>
    <w:rsid w:val="00704A83"/>
    <w:rsid w:val="00704AFA"/>
    <w:rsid w:val="00704C6A"/>
    <w:rsid w:val="00704CC2"/>
    <w:rsid w:val="00704CFD"/>
    <w:rsid w:val="00704DBA"/>
    <w:rsid w:val="00705190"/>
    <w:rsid w:val="0070521E"/>
    <w:rsid w:val="00705289"/>
    <w:rsid w:val="00705306"/>
    <w:rsid w:val="0070537F"/>
    <w:rsid w:val="007054F5"/>
    <w:rsid w:val="00705511"/>
    <w:rsid w:val="0070558D"/>
    <w:rsid w:val="007055DB"/>
    <w:rsid w:val="007056C0"/>
    <w:rsid w:val="00705804"/>
    <w:rsid w:val="00705829"/>
    <w:rsid w:val="00705873"/>
    <w:rsid w:val="007058BF"/>
    <w:rsid w:val="00705A1F"/>
    <w:rsid w:val="00705A3D"/>
    <w:rsid w:val="00705A60"/>
    <w:rsid w:val="00705A7B"/>
    <w:rsid w:val="00705A7F"/>
    <w:rsid w:val="00705B21"/>
    <w:rsid w:val="00705B43"/>
    <w:rsid w:val="00705C95"/>
    <w:rsid w:val="00705D43"/>
    <w:rsid w:val="00705F96"/>
    <w:rsid w:val="00706024"/>
    <w:rsid w:val="007060F3"/>
    <w:rsid w:val="00706164"/>
    <w:rsid w:val="0070617E"/>
    <w:rsid w:val="007061E4"/>
    <w:rsid w:val="00706406"/>
    <w:rsid w:val="0070642F"/>
    <w:rsid w:val="007064C9"/>
    <w:rsid w:val="0070651A"/>
    <w:rsid w:val="00706527"/>
    <w:rsid w:val="00706646"/>
    <w:rsid w:val="00706785"/>
    <w:rsid w:val="007067DA"/>
    <w:rsid w:val="007068AA"/>
    <w:rsid w:val="00706952"/>
    <w:rsid w:val="0070695B"/>
    <w:rsid w:val="00706A11"/>
    <w:rsid w:val="00706ABA"/>
    <w:rsid w:val="00706ABE"/>
    <w:rsid w:val="00706B19"/>
    <w:rsid w:val="00706BEE"/>
    <w:rsid w:val="00706C76"/>
    <w:rsid w:val="00706ECB"/>
    <w:rsid w:val="00707001"/>
    <w:rsid w:val="00707010"/>
    <w:rsid w:val="00707056"/>
    <w:rsid w:val="00707058"/>
    <w:rsid w:val="00707351"/>
    <w:rsid w:val="00707352"/>
    <w:rsid w:val="007073B6"/>
    <w:rsid w:val="0070746E"/>
    <w:rsid w:val="0070747F"/>
    <w:rsid w:val="007074C1"/>
    <w:rsid w:val="007074C3"/>
    <w:rsid w:val="00707655"/>
    <w:rsid w:val="00707A00"/>
    <w:rsid w:val="00707A9F"/>
    <w:rsid w:val="00707CD2"/>
    <w:rsid w:val="00707E01"/>
    <w:rsid w:val="00710037"/>
    <w:rsid w:val="00710167"/>
    <w:rsid w:val="00710198"/>
    <w:rsid w:val="0071026A"/>
    <w:rsid w:val="0071034C"/>
    <w:rsid w:val="00710394"/>
    <w:rsid w:val="007103D5"/>
    <w:rsid w:val="007103E3"/>
    <w:rsid w:val="007103FE"/>
    <w:rsid w:val="00710467"/>
    <w:rsid w:val="0071059A"/>
    <w:rsid w:val="00710679"/>
    <w:rsid w:val="0071072C"/>
    <w:rsid w:val="00710903"/>
    <w:rsid w:val="0071090D"/>
    <w:rsid w:val="00710931"/>
    <w:rsid w:val="00710A65"/>
    <w:rsid w:val="00710C04"/>
    <w:rsid w:val="00710C52"/>
    <w:rsid w:val="00710CB2"/>
    <w:rsid w:val="00710E0F"/>
    <w:rsid w:val="00710F2D"/>
    <w:rsid w:val="00710F9B"/>
    <w:rsid w:val="00710FCB"/>
    <w:rsid w:val="00711116"/>
    <w:rsid w:val="0071145D"/>
    <w:rsid w:val="007114DB"/>
    <w:rsid w:val="007115A4"/>
    <w:rsid w:val="007115E2"/>
    <w:rsid w:val="00711601"/>
    <w:rsid w:val="00711653"/>
    <w:rsid w:val="00711667"/>
    <w:rsid w:val="00711675"/>
    <w:rsid w:val="00711697"/>
    <w:rsid w:val="00711704"/>
    <w:rsid w:val="0071174B"/>
    <w:rsid w:val="0071175F"/>
    <w:rsid w:val="00711875"/>
    <w:rsid w:val="007118D0"/>
    <w:rsid w:val="00711975"/>
    <w:rsid w:val="00711988"/>
    <w:rsid w:val="0071198F"/>
    <w:rsid w:val="00711A10"/>
    <w:rsid w:val="00711A55"/>
    <w:rsid w:val="00711A7E"/>
    <w:rsid w:val="00711A8B"/>
    <w:rsid w:val="00711BF5"/>
    <w:rsid w:val="00711C56"/>
    <w:rsid w:val="00711F2C"/>
    <w:rsid w:val="00711F79"/>
    <w:rsid w:val="00712002"/>
    <w:rsid w:val="0071201E"/>
    <w:rsid w:val="00712078"/>
    <w:rsid w:val="007121D4"/>
    <w:rsid w:val="0071228B"/>
    <w:rsid w:val="007122BF"/>
    <w:rsid w:val="007122CB"/>
    <w:rsid w:val="0071242F"/>
    <w:rsid w:val="007124FB"/>
    <w:rsid w:val="00712618"/>
    <w:rsid w:val="0071264B"/>
    <w:rsid w:val="0071271A"/>
    <w:rsid w:val="00712758"/>
    <w:rsid w:val="00712803"/>
    <w:rsid w:val="00712A63"/>
    <w:rsid w:val="00712A8E"/>
    <w:rsid w:val="00712B85"/>
    <w:rsid w:val="00712BD8"/>
    <w:rsid w:val="00712D0B"/>
    <w:rsid w:val="00712DE8"/>
    <w:rsid w:val="00713140"/>
    <w:rsid w:val="00713179"/>
    <w:rsid w:val="007131A2"/>
    <w:rsid w:val="007131DB"/>
    <w:rsid w:val="0071320A"/>
    <w:rsid w:val="007132C5"/>
    <w:rsid w:val="007132E1"/>
    <w:rsid w:val="0071340D"/>
    <w:rsid w:val="00713450"/>
    <w:rsid w:val="00713776"/>
    <w:rsid w:val="00713777"/>
    <w:rsid w:val="00713850"/>
    <w:rsid w:val="007138D0"/>
    <w:rsid w:val="007139DB"/>
    <w:rsid w:val="00713A2B"/>
    <w:rsid w:val="00713A48"/>
    <w:rsid w:val="00713AD5"/>
    <w:rsid w:val="00713B57"/>
    <w:rsid w:val="00713B5E"/>
    <w:rsid w:val="00713C2F"/>
    <w:rsid w:val="00713CB0"/>
    <w:rsid w:val="00713D62"/>
    <w:rsid w:val="00713D65"/>
    <w:rsid w:val="00713DFC"/>
    <w:rsid w:val="00714078"/>
    <w:rsid w:val="007140E1"/>
    <w:rsid w:val="00714139"/>
    <w:rsid w:val="007141FF"/>
    <w:rsid w:val="007143ED"/>
    <w:rsid w:val="007144F8"/>
    <w:rsid w:val="0071450E"/>
    <w:rsid w:val="007145A0"/>
    <w:rsid w:val="007145C7"/>
    <w:rsid w:val="0071468C"/>
    <w:rsid w:val="00714760"/>
    <w:rsid w:val="0071484E"/>
    <w:rsid w:val="00714A46"/>
    <w:rsid w:val="00714B97"/>
    <w:rsid w:val="00714C0B"/>
    <w:rsid w:val="00714CF5"/>
    <w:rsid w:val="00714D9D"/>
    <w:rsid w:val="00714E4E"/>
    <w:rsid w:val="00714EEF"/>
    <w:rsid w:val="007150F0"/>
    <w:rsid w:val="00715144"/>
    <w:rsid w:val="0071529F"/>
    <w:rsid w:val="007152FD"/>
    <w:rsid w:val="007153BC"/>
    <w:rsid w:val="007154D8"/>
    <w:rsid w:val="00715627"/>
    <w:rsid w:val="0071563F"/>
    <w:rsid w:val="0071573B"/>
    <w:rsid w:val="0071590E"/>
    <w:rsid w:val="00715A39"/>
    <w:rsid w:val="00715B47"/>
    <w:rsid w:val="00715BDE"/>
    <w:rsid w:val="00715BF9"/>
    <w:rsid w:val="00715C3D"/>
    <w:rsid w:val="00715C65"/>
    <w:rsid w:val="00715D4D"/>
    <w:rsid w:val="00715D68"/>
    <w:rsid w:val="00715E88"/>
    <w:rsid w:val="00715FF1"/>
    <w:rsid w:val="007161A7"/>
    <w:rsid w:val="00716236"/>
    <w:rsid w:val="0071624A"/>
    <w:rsid w:val="007162F1"/>
    <w:rsid w:val="007162F2"/>
    <w:rsid w:val="0071631A"/>
    <w:rsid w:val="007163B1"/>
    <w:rsid w:val="007164E8"/>
    <w:rsid w:val="0071658E"/>
    <w:rsid w:val="007165DB"/>
    <w:rsid w:val="00716689"/>
    <w:rsid w:val="00716730"/>
    <w:rsid w:val="0071673E"/>
    <w:rsid w:val="007167DF"/>
    <w:rsid w:val="007169DD"/>
    <w:rsid w:val="00716A24"/>
    <w:rsid w:val="00716A35"/>
    <w:rsid w:val="00716A50"/>
    <w:rsid w:val="00716A68"/>
    <w:rsid w:val="00716AA8"/>
    <w:rsid w:val="00716AFD"/>
    <w:rsid w:val="00716B26"/>
    <w:rsid w:val="00716D5A"/>
    <w:rsid w:val="00716D95"/>
    <w:rsid w:val="00716E81"/>
    <w:rsid w:val="00716ED2"/>
    <w:rsid w:val="00716FE5"/>
    <w:rsid w:val="00717153"/>
    <w:rsid w:val="0071716B"/>
    <w:rsid w:val="0071721C"/>
    <w:rsid w:val="0071736E"/>
    <w:rsid w:val="007173CF"/>
    <w:rsid w:val="0071746E"/>
    <w:rsid w:val="007174A2"/>
    <w:rsid w:val="0071754D"/>
    <w:rsid w:val="00717604"/>
    <w:rsid w:val="00717778"/>
    <w:rsid w:val="00717784"/>
    <w:rsid w:val="00717799"/>
    <w:rsid w:val="007177D0"/>
    <w:rsid w:val="0071795F"/>
    <w:rsid w:val="00717A37"/>
    <w:rsid w:val="00717A59"/>
    <w:rsid w:val="00717A96"/>
    <w:rsid w:val="00717B0F"/>
    <w:rsid w:val="00717B28"/>
    <w:rsid w:val="00717B54"/>
    <w:rsid w:val="00717B94"/>
    <w:rsid w:val="00717C4F"/>
    <w:rsid w:val="00717C58"/>
    <w:rsid w:val="00717D21"/>
    <w:rsid w:val="00717E82"/>
    <w:rsid w:val="00717E85"/>
    <w:rsid w:val="0072001C"/>
    <w:rsid w:val="007201E0"/>
    <w:rsid w:val="0072027E"/>
    <w:rsid w:val="00720334"/>
    <w:rsid w:val="007203E0"/>
    <w:rsid w:val="00720401"/>
    <w:rsid w:val="0072049F"/>
    <w:rsid w:val="007204D2"/>
    <w:rsid w:val="0072056D"/>
    <w:rsid w:val="00720755"/>
    <w:rsid w:val="0072078B"/>
    <w:rsid w:val="00720855"/>
    <w:rsid w:val="0072085B"/>
    <w:rsid w:val="00720983"/>
    <w:rsid w:val="00720AE5"/>
    <w:rsid w:val="00720BF7"/>
    <w:rsid w:val="00720C84"/>
    <w:rsid w:val="00720C8E"/>
    <w:rsid w:val="00720E69"/>
    <w:rsid w:val="00720EC6"/>
    <w:rsid w:val="00720EFD"/>
    <w:rsid w:val="00720FDD"/>
    <w:rsid w:val="00720FF6"/>
    <w:rsid w:val="00721016"/>
    <w:rsid w:val="007211EC"/>
    <w:rsid w:val="0072121F"/>
    <w:rsid w:val="0072129E"/>
    <w:rsid w:val="007213A2"/>
    <w:rsid w:val="007214EC"/>
    <w:rsid w:val="00721587"/>
    <w:rsid w:val="0072168C"/>
    <w:rsid w:val="0072177A"/>
    <w:rsid w:val="0072178D"/>
    <w:rsid w:val="0072184F"/>
    <w:rsid w:val="00721856"/>
    <w:rsid w:val="007218DE"/>
    <w:rsid w:val="00721925"/>
    <w:rsid w:val="0072194F"/>
    <w:rsid w:val="00721970"/>
    <w:rsid w:val="00721B0E"/>
    <w:rsid w:val="00721BDC"/>
    <w:rsid w:val="00721BE8"/>
    <w:rsid w:val="00721D37"/>
    <w:rsid w:val="00721E70"/>
    <w:rsid w:val="00721F3F"/>
    <w:rsid w:val="0072202D"/>
    <w:rsid w:val="00722086"/>
    <w:rsid w:val="0072222A"/>
    <w:rsid w:val="00722430"/>
    <w:rsid w:val="007225DD"/>
    <w:rsid w:val="00722605"/>
    <w:rsid w:val="00722637"/>
    <w:rsid w:val="00722662"/>
    <w:rsid w:val="0072269D"/>
    <w:rsid w:val="0072291B"/>
    <w:rsid w:val="007229AF"/>
    <w:rsid w:val="007229F3"/>
    <w:rsid w:val="00722B15"/>
    <w:rsid w:val="00722BBC"/>
    <w:rsid w:val="00722BD2"/>
    <w:rsid w:val="00722D65"/>
    <w:rsid w:val="00722DB9"/>
    <w:rsid w:val="00722F37"/>
    <w:rsid w:val="00722F7B"/>
    <w:rsid w:val="00722FB6"/>
    <w:rsid w:val="00723013"/>
    <w:rsid w:val="00723028"/>
    <w:rsid w:val="00723298"/>
    <w:rsid w:val="00723423"/>
    <w:rsid w:val="00723426"/>
    <w:rsid w:val="00723612"/>
    <w:rsid w:val="00723772"/>
    <w:rsid w:val="007237CF"/>
    <w:rsid w:val="007237DB"/>
    <w:rsid w:val="007237E0"/>
    <w:rsid w:val="0072381E"/>
    <w:rsid w:val="00723A03"/>
    <w:rsid w:val="00723A73"/>
    <w:rsid w:val="00723D78"/>
    <w:rsid w:val="00723DD4"/>
    <w:rsid w:val="00723FBD"/>
    <w:rsid w:val="00723FCA"/>
    <w:rsid w:val="00724049"/>
    <w:rsid w:val="007240B0"/>
    <w:rsid w:val="00724127"/>
    <w:rsid w:val="00724445"/>
    <w:rsid w:val="00724478"/>
    <w:rsid w:val="007244CE"/>
    <w:rsid w:val="0072456C"/>
    <w:rsid w:val="00724685"/>
    <w:rsid w:val="007246EF"/>
    <w:rsid w:val="0072474D"/>
    <w:rsid w:val="0072475F"/>
    <w:rsid w:val="00724778"/>
    <w:rsid w:val="0072477E"/>
    <w:rsid w:val="0072484C"/>
    <w:rsid w:val="00724869"/>
    <w:rsid w:val="00724906"/>
    <w:rsid w:val="007249B4"/>
    <w:rsid w:val="00724C11"/>
    <w:rsid w:val="00724CC8"/>
    <w:rsid w:val="00724CFF"/>
    <w:rsid w:val="00724D97"/>
    <w:rsid w:val="00724E80"/>
    <w:rsid w:val="00724F5B"/>
    <w:rsid w:val="00724FF9"/>
    <w:rsid w:val="00725052"/>
    <w:rsid w:val="0072511E"/>
    <w:rsid w:val="00725195"/>
    <w:rsid w:val="0072523C"/>
    <w:rsid w:val="007252DB"/>
    <w:rsid w:val="00725312"/>
    <w:rsid w:val="007253C5"/>
    <w:rsid w:val="00725429"/>
    <w:rsid w:val="0072544D"/>
    <w:rsid w:val="007255EE"/>
    <w:rsid w:val="007255FB"/>
    <w:rsid w:val="007256B5"/>
    <w:rsid w:val="007256FF"/>
    <w:rsid w:val="00725729"/>
    <w:rsid w:val="00725779"/>
    <w:rsid w:val="00725875"/>
    <w:rsid w:val="007258C0"/>
    <w:rsid w:val="00725A1B"/>
    <w:rsid w:val="00725B93"/>
    <w:rsid w:val="00725B9A"/>
    <w:rsid w:val="00725D0B"/>
    <w:rsid w:val="00725D4B"/>
    <w:rsid w:val="00725E6F"/>
    <w:rsid w:val="00725EE2"/>
    <w:rsid w:val="0072608B"/>
    <w:rsid w:val="007260AA"/>
    <w:rsid w:val="007260BB"/>
    <w:rsid w:val="00726116"/>
    <w:rsid w:val="00726304"/>
    <w:rsid w:val="00726322"/>
    <w:rsid w:val="00726337"/>
    <w:rsid w:val="0072658B"/>
    <w:rsid w:val="007265A8"/>
    <w:rsid w:val="007265D5"/>
    <w:rsid w:val="00726704"/>
    <w:rsid w:val="00726743"/>
    <w:rsid w:val="0072681A"/>
    <w:rsid w:val="0072682B"/>
    <w:rsid w:val="00726A8D"/>
    <w:rsid w:val="00726B2B"/>
    <w:rsid w:val="00726D65"/>
    <w:rsid w:val="007270AC"/>
    <w:rsid w:val="007270C1"/>
    <w:rsid w:val="00727115"/>
    <w:rsid w:val="00727137"/>
    <w:rsid w:val="007271F4"/>
    <w:rsid w:val="0072726B"/>
    <w:rsid w:val="0072738B"/>
    <w:rsid w:val="007273BF"/>
    <w:rsid w:val="007273D0"/>
    <w:rsid w:val="00727475"/>
    <w:rsid w:val="007274B8"/>
    <w:rsid w:val="00727547"/>
    <w:rsid w:val="007275A2"/>
    <w:rsid w:val="00727630"/>
    <w:rsid w:val="00727687"/>
    <w:rsid w:val="00727899"/>
    <w:rsid w:val="00727945"/>
    <w:rsid w:val="0072799B"/>
    <w:rsid w:val="007279EC"/>
    <w:rsid w:val="00727A6F"/>
    <w:rsid w:val="00727AC3"/>
    <w:rsid w:val="00727AD3"/>
    <w:rsid w:val="00727B80"/>
    <w:rsid w:val="00727C2E"/>
    <w:rsid w:val="00727CA9"/>
    <w:rsid w:val="00727CD5"/>
    <w:rsid w:val="00727DEA"/>
    <w:rsid w:val="00727DF3"/>
    <w:rsid w:val="00727EFF"/>
    <w:rsid w:val="007301CD"/>
    <w:rsid w:val="007301E7"/>
    <w:rsid w:val="00730355"/>
    <w:rsid w:val="00730534"/>
    <w:rsid w:val="0073065F"/>
    <w:rsid w:val="007306E0"/>
    <w:rsid w:val="00730705"/>
    <w:rsid w:val="0073075E"/>
    <w:rsid w:val="00730823"/>
    <w:rsid w:val="00730838"/>
    <w:rsid w:val="007308A3"/>
    <w:rsid w:val="00730969"/>
    <w:rsid w:val="007309E2"/>
    <w:rsid w:val="00730A83"/>
    <w:rsid w:val="00730AF1"/>
    <w:rsid w:val="00730C73"/>
    <w:rsid w:val="00730CA5"/>
    <w:rsid w:val="00730D12"/>
    <w:rsid w:val="00730D32"/>
    <w:rsid w:val="00730DB9"/>
    <w:rsid w:val="00730E38"/>
    <w:rsid w:val="00730E5C"/>
    <w:rsid w:val="00730F35"/>
    <w:rsid w:val="00730FAA"/>
    <w:rsid w:val="00730FC3"/>
    <w:rsid w:val="00730FD3"/>
    <w:rsid w:val="00731027"/>
    <w:rsid w:val="0073106C"/>
    <w:rsid w:val="007310D4"/>
    <w:rsid w:val="00731131"/>
    <w:rsid w:val="00731218"/>
    <w:rsid w:val="00731390"/>
    <w:rsid w:val="007314EC"/>
    <w:rsid w:val="007314FD"/>
    <w:rsid w:val="00731749"/>
    <w:rsid w:val="00731795"/>
    <w:rsid w:val="00731875"/>
    <w:rsid w:val="0073188C"/>
    <w:rsid w:val="007319B3"/>
    <w:rsid w:val="007319C6"/>
    <w:rsid w:val="007319CA"/>
    <w:rsid w:val="00731ACB"/>
    <w:rsid w:val="00731B19"/>
    <w:rsid w:val="00731CB7"/>
    <w:rsid w:val="00731D3B"/>
    <w:rsid w:val="00731E0C"/>
    <w:rsid w:val="00731E4E"/>
    <w:rsid w:val="00731F06"/>
    <w:rsid w:val="00731F7C"/>
    <w:rsid w:val="007322A1"/>
    <w:rsid w:val="00732338"/>
    <w:rsid w:val="00732341"/>
    <w:rsid w:val="00732343"/>
    <w:rsid w:val="0073249F"/>
    <w:rsid w:val="007325C3"/>
    <w:rsid w:val="007326B9"/>
    <w:rsid w:val="0073271D"/>
    <w:rsid w:val="0073296B"/>
    <w:rsid w:val="007329B7"/>
    <w:rsid w:val="00732A52"/>
    <w:rsid w:val="00732AAC"/>
    <w:rsid w:val="00732B93"/>
    <w:rsid w:val="00732C82"/>
    <w:rsid w:val="00732DCE"/>
    <w:rsid w:val="00732F2B"/>
    <w:rsid w:val="00732F47"/>
    <w:rsid w:val="00733040"/>
    <w:rsid w:val="007331E4"/>
    <w:rsid w:val="0073320E"/>
    <w:rsid w:val="007332E9"/>
    <w:rsid w:val="0073331A"/>
    <w:rsid w:val="00733392"/>
    <w:rsid w:val="00733404"/>
    <w:rsid w:val="007334A0"/>
    <w:rsid w:val="007335BD"/>
    <w:rsid w:val="00733633"/>
    <w:rsid w:val="00733637"/>
    <w:rsid w:val="007336AA"/>
    <w:rsid w:val="007337E8"/>
    <w:rsid w:val="00733ABC"/>
    <w:rsid w:val="00733B7C"/>
    <w:rsid w:val="00733C22"/>
    <w:rsid w:val="00733CB5"/>
    <w:rsid w:val="00733CD4"/>
    <w:rsid w:val="00733CDA"/>
    <w:rsid w:val="00733D6B"/>
    <w:rsid w:val="00733D7B"/>
    <w:rsid w:val="00733DBD"/>
    <w:rsid w:val="00733DF2"/>
    <w:rsid w:val="00733E91"/>
    <w:rsid w:val="00733EFD"/>
    <w:rsid w:val="00733F17"/>
    <w:rsid w:val="00733F39"/>
    <w:rsid w:val="00733F8D"/>
    <w:rsid w:val="00733FFE"/>
    <w:rsid w:val="0073406D"/>
    <w:rsid w:val="007340B8"/>
    <w:rsid w:val="00734196"/>
    <w:rsid w:val="007341A4"/>
    <w:rsid w:val="00734289"/>
    <w:rsid w:val="0073429E"/>
    <w:rsid w:val="0073434C"/>
    <w:rsid w:val="00734467"/>
    <w:rsid w:val="0073457F"/>
    <w:rsid w:val="007345A4"/>
    <w:rsid w:val="007345AA"/>
    <w:rsid w:val="00734690"/>
    <w:rsid w:val="0073470F"/>
    <w:rsid w:val="007347DA"/>
    <w:rsid w:val="0073483E"/>
    <w:rsid w:val="00734955"/>
    <w:rsid w:val="007349BA"/>
    <w:rsid w:val="00734A46"/>
    <w:rsid w:val="00734AEA"/>
    <w:rsid w:val="00734B16"/>
    <w:rsid w:val="00734BE8"/>
    <w:rsid w:val="00734BF3"/>
    <w:rsid w:val="00734C31"/>
    <w:rsid w:val="00734E8C"/>
    <w:rsid w:val="00734FCF"/>
    <w:rsid w:val="00735004"/>
    <w:rsid w:val="00735083"/>
    <w:rsid w:val="007350D3"/>
    <w:rsid w:val="00735167"/>
    <w:rsid w:val="007351A5"/>
    <w:rsid w:val="007351A8"/>
    <w:rsid w:val="007351C8"/>
    <w:rsid w:val="00735257"/>
    <w:rsid w:val="0073539F"/>
    <w:rsid w:val="00735450"/>
    <w:rsid w:val="00735492"/>
    <w:rsid w:val="0073549E"/>
    <w:rsid w:val="00735631"/>
    <w:rsid w:val="0073563F"/>
    <w:rsid w:val="0073566C"/>
    <w:rsid w:val="00735693"/>
    <w:rsid w:val="007356EF"/>
    <w:rsid w:val="007356FB"/>
    <w:rsid w:val="0073577A"/>
    <w:rsid w:val="0073597E"/>
    <w:rsid w:val="00735983"/>
    <w:rsid w:val="007359A1"/>
    <w:rsid w:val="00735A62"/>
    <w:rsid w:val="00735AE8"/>
    <w:rsid w:val="00735EE6"/>
    <w:rsid w:val="00735FED"/>
    <w:rsid w:val="00735FF2"/>
    <w:rsid w:val="00736114"/>
    <w:rsid w:val="00736178"/>
    <w:rsid w:val="007361A1"/>
    <w:rsid w:val="0073622F"/>
    <w:rsid w:val="0073627C"/>
    <w:rsid w:val="007362DA"/>
    <w:rsid w:val="007363AD"/>
    <w:rsid w:val="007363D7"/>
    <w:rsid w:val="0073641F"/>
    <w:rsid w:val="007365F4"/>
    <w:rsid w:val="00736712"/>
    <w:rsid w:val="00736726"/>
    <w:rsid w:val="00736840"/>
    <w:rsid w:val="00736853"/>
    <w:rsid w:val="0073689C"/>
    <w:rsid w:val="007368E3"/>
    <w:rsid w:val="007368FA"/>
    <w:rsid w:val="0073696D"/>
    <w:rsid w:val="007369A7"/>
    <w:rsid w:val="007369E5"/>
    <w:rsid w:val="00736A0B"/>
    <w:rsid w:val="00736A79"/>
    <w:rsid w:val="00736A90"/>
    <w:rsid w:val="00736BB9"/>
    <w:rsid w:val="00736C52"/>
    <w:rsid w:val="00736C60"/>
    <w:rsid w:val="00736CED"/>
    <w:rsid w:val="00736D50"/>
    <w:rsid w:val="00736EB9"/>
    <w:rsid w:val="00736EFA"/>
    <w:rsid w:val="00736FA6"/>
    <w:rsid w:val="007370BD"/>
    <w:rsid w:val="0073719F"/>
    <w:rsid w:val="0073731E"/>
    <w:rsid w:val="00737498"/>
    <w:rsid w:val="007375DB"/>
    <w:rsid w:val="007377E1"/>
    <w:rsid w:val="00737856"/>
    <w:rsid w:val="007379DC"/>
    <w:rsid w:val="00737A97"/>
    <w:rsid w:val="00737AC6"/>
    <w:rsid w:val="00737B4D"/>
    <w:rsid w:val="00737C95"/>
    <w:rsid w:val="00737CA5"/>
    <w:rsid w:val="00737D62"/>
    <w:rsid w:val="00737E1D"/>
    <w:rsid w:val="00737E72"/>
    <w:rsid w:val="00737F7F"/>
    <w:rsid w:val="00740094"/>
    <w:rsid w:val="0074021E"/>
    <w:rsid w:val="0074022A"/>
    <w:rsid w:val="0074025C"/>
    <w:rsid w:val="007402E8"/>
    <w:rsid w:val="007402FE"/>
    <w:rsid w:val="0074033D"/>
    <w:rsid w:val="007403EF"/>
    <w:rsid w:val="007404DB"/>
    <w:rsid w:val="0074054B"/>
    <w:rsid w:val="00740562"/>
    <w:rsid w:val="0074058B"/>
    <w:rsid w:val="007405FF"/>
    <w:rsid w:val="00740636"/>
    <w:rsid w:val="0074066A"/>
    <w:rsid w:val="007406C1"/>
    <w:rsid w:val="007406E2"/>
    <w:rsid w:val="0074073D"/>
    <w:rsid w:val="007407A9"/>
    <w:rsid w:val="00740814"/>
    <w:rsid w:val="0074090E"/>
    <w:rsid w:val="00740961"/>
    <w:rsid w:val="007409AA"/>
    <w:rsid w:val="007409C0"/>
    <w:rsid w:val="00740AF0"/>
    <w:rsid w:val="00740B1E"/>
    <w:rsid w:val="00740B74"/>
    <w:rsid w:val="00740C19"/>
    <w:rsid w:val="00740C79"/>
    <w:rsid w:val="00740CCE"/>
    <w:rsid w:val="00740CE9"/>
    <w:rsid w:val="00740DEF"/>
    <w:rsid w:val="00740DF4"/>
    <w:rsid w:val="00740E79"/>
    <w:rsid w:val="007410AE"/>
    <w:rsid w:val="007410DE"/>
    <w:rsid w:val="0074119F"/>
    <w:rsid w:val="00741358"/>
    <w:rsid w:val="00741514"/>
    <w:rsid w:val="00741575"/>
    <w:rsid w:val="007416B5"/>
    <w:rsid w:val="007416F2"/>
    <w:rsid w:val="00741779"/>
    <w:rsid w:val="007417EB"/>
    <w:rsid w:val="00741841"/>
    <w:rsid w:val="00741846"/>
    <w:rsid w:val="00741849"/>
    <w:rsid w:val="00741887"/>
    <w:rsid w:val="00741937"/>
    <w:rsid w:val="00741950"/>
    <w:rsid w:val="00741BB5"/>
    <w:rsid w:val="00741D01"/>
    <w:rsid w:val="00741D6A"/>
    <w:rsid w:val="00741F45"/>
    <w:rsid w:val="00742105"/>
    <w:rsid w:val="0074218F"/>
    <w:rsid w:val="0074219D"/>
    <w:rsid w:val="007421A0"/>
    <w:rsid w:val="007421F9"/>
    <w:rsid w:val="0074222F"/>
    <w:rsid w:val="00742241"/>
    <w:rsid w:val="0074232E"/>
    <w:rsid w:val="00742365"/>
    <w:rsid w:val="0074237C"/>
    <w:rsid w:val="0074238E"/>
    <w:rsid w:val="0074239B"/>
    <w:rsid w:val="007423DE"/>
    <w:rsid w:val="007423E7"/>
    <w:rsid w:val="00742416"/>
    <w:rsid w:val="00742488"/>
    <w:rsid w:val="007424AA"/>
    <w:rsid w:val="0074265A"/>
    <w:rsid w:val="0074268A"/>
    <w:rsid w:val="0074278B"/>
    <w:rsid w:val="00742851"/>
    <w:rsid w:val="007429D1"/>
    <w:rsid w:val="00742A6D"/>
    <w:rsid w:val="00742AAE"/>
    <w:rsid w:val="00742B80"/>
    <w:rsid w:val="00742B91"/>
    <w:rsid w:val="00742BD6"/>
    <w:rsid w:val="007430AA"/>
    <w:rsid w:val="007430BC"/>
    <w:rsid w:val="007431CD"/>
    <w:rsid w:val="00743320"/>
    <w:rsid w:val="00743528"/>
    <w:rsid w:val="00743787"/>
    <w:rsid w:val="007437EC"/>
    <w:rsid w:val="0074381E"/>
    <w:rsid w:val="007438DA"/>
    <w:rsid w:val="00743A6B"/>
    <w:rsid w:val="00743AA3"/>
    <w:rsid w:val="00743ACA"/>
    <w:rsid w:val="00743C98"/>
    <w:rsid w:val="00743CA9"/>
    <w:rsid w:val="00743CEF"/>
    <w:rsid w:val="00743EB5"/>
    <w:rsid w:val="00743F09"/>
    <w:rsid w:val="00743FA4"/>
    <w:rsid w:val="00743FC3"/>
    <w:rsid w:val="007440EC"/>
    <w:rsid w:val="00744106"/>
    <w:rsid w:val="007442A2"/>
    <w:rsid w:val="00744521"/>
    <w:rsid w:val="007445E4"/>
    <w:rsid w:val="0074471C"/>
    <w:rsid w:val="0074471F"/>
    <w:rsid w:val="00744773"/>
    <w:rsid w:val="00744804"/>
    <w:rsid w:val="0074499B"/>
    <w:rsid w:val="007449B3"/>
    <w:rsid w:val="007449E3"/>
    <w:rsid w:val="00744A3E"/>
    <w:rsid w:val="00744B18"/>
    <w:rsid w:val="00744CB7"/>
    <w:rsid w:val="00744CC6"/>
    <w:rsid w:val="00744CD3"/>
    <w:rsid w:val="00744CED"/>
    <w:rsid w:val="00744D56"/>
    <w:rsid w:val="00744F01"/>
    <w:rsid w:val="00744F28"/>
    <w:rsid w:val="00744F57"/>
    <w:rsid w:val="007450B4"/>
    <w:rsid w:val="0074510A"/>
    <w:rsid w:val="0074512B"/>
    <w:rsid w:val="00745159"/>
    <w:rsid w:val="00745203"/>
    <w:rsid w:val="00745368"/>
    <w:rsid w:val="00745449"/>
    <w:rsid w:val="0074548D"/>
    <w:rsid w:val="007454E4"/>
    <w:rsid w:val="0074554B"/>
    <w:rsid w:val="0074556A"/>
    <w:rsid w:val="00745723"/>
    <w:rsid w:val="00745776"/>
    <w:rsid w:val="00745914"/>
    <w:rsid w:val="007459B3"/>
    <w:rsid w:val="00745A92"/>
    <w:rsid w:val="00745AAC"/>
    <w:rsid w:val="00745B59"/>
    <w:rsid w:val="00745B75"/>
    <w:rsid w:val="00745BF2"/>
    <w:rsid w:val="00745D6D"/>
    <w:rsid w:val="00745E51"/>
    <w:rsid w:val="00745F10"/>
    <w:rsid w:val="00745F6A"/>
    <w:rsid w:val="00746086"/>
    <w:rsid w:val="007460AF"/>
    <w:rsid w:val="00746202"/>
    <w:rsid w:val="0074624B"/>
    <w:rsid w:val="0074630D"/>
    <w:rsid w:val="0074635C"/>
    <w:rsid w:val="0074638A"/>
    <w:rsid w:val="007464F5"/>
    <w:rsid w:val="0074655B"/>
    <w:rsid w:val="00746561"/>
    <w:rsid w:val="007465BB"/>
    <w:rsid w:val="00746733"/>
    <w:rsid w:val="00746771"/>
    <w:rsid w:val="007468F0"/>
    <w:rsid w:val="0074696D"/>
    <w:rsid w:val="00746A4A"/>
    <w:rsid w:val="00746B7F"/>
    <w:rsid w:val="00746C2C"/>
    <w:rsid w:val="00746D6A"/>
    <w:rsid w:val="00746DDC"/>
    <w:rsid w:val="00746E83"/>
    <w:rsid w:val="00746E89"/>
    <w:rsid w:val="00747071"/>
    <w:rsid w:val="007470E7"/>
    <w:rsid w:val="00747178"/>
    <w:rsid w:val="007473EE"/>
    <w:rsid w:val="0074740A"/>
    <w:rsid w:val="00747441"/>
    <w:rsid w:val="00747537"/>
    <w:rsid w:val="00747576"/>
    <w:rsid w:val="00747606"/>
    <w:rsid w:val="0074767B"/>
    <w:rsid w:val="007478DD"/>
    <w:rsid w:val="00747992"/>
    <w:rsid w:val="007479BF"/>
    <w:rsid w:val="007479C0"/>
    <w:rsid w:val="00747C67"/>
    <w:rsid w:val="00747D54"/>
    <w:rsid w:val="00747DE8"/>
    <w:rsid w:val="00747E5F"/>
    <w:rsid w:val="00747EFD"/>
    <w:rsid w:val="00747FD7"/>
    <w:rsid w:val="00750001"/>
    <w:rsid w:val="0075005E"/>
    <w:rsid w:val="007500C2"/>
    <w:rsid w:val="0075011F"/>
    <w:rsid w:val="0075022D"/>
    <w:rsid w:val="007502CF"/>
    <w:rsid w:val="0075040E"/>
    <w:rsid w:val="007504AD"/>
    <w:rsid w:val="007504C1"/>
    <w:rsid w:val="00750576"/>
    <w:rsid w:val="0075059A"/>
    <w:rsid w:val="007505E1"/>
    <w:rsid w:val="007505FF"/>
    <w:rsid w:val="00750643"/>
    <w:rsid w:val="0075099C"/>
    <w:rsid w:val="00750B2F"/>
    <w:rsid w:val="00750C37"/>
    <w:rsid w:val="00750C51"/>
    <w:rsid w:val="00750CD4"/>
    <w:rsid w:val="00750FA9"/>
    <w:rsid w:val="00750FB4"/>
    <w:rsid w:val="0075105B"/>
    <w:rsid w:val="00751298"/>
    <w:rsid w:val="00751309"/>
    <w:rsid w:val="007514B2"/>
    <w:rsid w:val="007514C5"/>
    <w:rsid w:val="00751532"/>
    <w:rsid w:val="0075159B"/>
    <w:rsid w:val="00751616"/>
    <w:rsid w:val="0075182E"/>
    <w:rsid w:val="0075192D"/>
    <w:rsid w:val="007519FC"/>
    <w:rsid w:val="00751AFB"/>
    <w:rsid w:val="00751B76"/>
    <w:rsid w:val="00751B92"/>
    <w:rsid w:val="00751BD3"/>
    <w:rsid w:val="00751D40"/>
    <w:rsid w:val="00751DD5"/>
    <w:rsid w:val="00751E9D"/>
    <w:rsid w:val="00751F5D"/>
    <w:rsid w:val="00751F9B"/>
    <w:rsid w:val="007522FD"/>
    <w:rsid w:val="0075234B"/>
    <w:rsid w:val="007523AF"/>
    <w:rsid w:val="007523D7"/>
    <w:rsid w:val="00752440"/>
    <w:rsid w:val="007524F5"/>
    <w:rsid w:val="007525AE"/>
    <w:rsid w:val="007525E0"/>
    <w:rsid w:val="00752609"/>
    <w:rsid w:val="0075262F"/>
    <w:rsid w:val="0075268C"/>
    <w:rsid w:val="007526B3"/>
    <w:rsid w:val="007526C3"/>
    <w:rsid w:val="00752716"/>
    <w:rsid w:val="0075276C"/>
    <w:rsid w:val="007527E9"/>
    <w:rsid w:val="007528D1"/>
    <w:rsid w:val="0075294A"/>
    <w:rsid w:val="00752973"/>
    <w:rsid w:val="00752975"/>
    <w:rsid w:val="007529EB"/>
    <w:rsid w:val="00752C1C"/>
    <w:rsid w:val="00752CA1"/>
    <w:rsid w:val="00752CAF"/>
    <w:rsid w:val="00752D18"/>
    <w:rsid w:val="00752E4E"/>
    <w:rsid w:val="00752E61"/>
    <w:rsid w:val="00752F22"/>
    <w:rsid w:val="00752FB3"/>
    <w:rsid w:val="0075300B"/>
    <w:rsid w:val="00753064"/>
    <w:rsid w:val="00753208"/>
    <w:rsid w:val="0075335F"/>
    <w:rsid w:val="0075336C"/>
    <w:rsid w:val="007533C2"/>
    <w:rsid w:val="00753698"/>
    <w:rsid w:val="007536AA"/>
    <w:rsid w:val="00753765"/>
    <w:rsid w:val="0075379B"/>
    <w:rsid w:val="007537CD"/>
    <w:rsid w:val="00753841"/>
    <w:rsid w:val="00753C12"/>
    <w:rsid w:val="00753C20"/>
    <w:rsid w:val="00753C5A"/>
    <w:rsid w:val="00753DFF"/>
    <w:rsid w:val="00753F3E"/>
    <w:rsid w:val="00753F50"/>
    <w:rsid w:val="00753FE3"/>
    <w:rsid w:val="00754039"/>
    <w:rsid w:val="007540C0"/>
    <w:rsid w:val="0075419B"/>
    <w:rsid w:val="007541B9"/>
    <w:rsid w:val="007541FF"/>
    <w:rsid w:val="00754348"/>
    <w:rsid w:val="00754391"/>
    <w:rsid w:val="007543B1"/>
    <w:rsid w:val="007543F4"/>
    <w:rsid w:val="0075448C"/>
    <w:rsid w:val="00754530"/>
    <w:rsid w:val="007545B4"/>
    <w:rsid w:val="007545EF"/>
    <w:rsid w:val="007545F8"/>
    <w:rsid w:val="0075462F"/>
    <w:rsid w:val="00754635"/>
    <w:rsid w:val="007547CE"/>
    <w:rsid w:val="00754856"/>
    <w:rsid w:val="0075499A"/>
    <w:rsid w:val="007549B2"/>
    <w:rsid w:val="00754CA9"/>
    <w:rsid w:val="00754E9C"/>
    <w:rsid w:val="00754F6E"/>
    <w:rsid w:val="007550C1"/>
    <w:rsid w:val="00755215"/>
    <w:rsid w:val="0075524B"/>
    <w:rsid w:val="0075563F"/>
    <w:rsid w:val="007557AC"/>
    <w:rsid w:val="007557D9"/>
    <w:rsid w:val="007557F0"/>
    <w:rsid w:val="007557F6"/>
    <w:rsid w:val="00755AEF"/>
    <w:rsid w:val="00755B7D"/>
    <w:rsid w:val="00755BEF"/>
    <w:rsid w:val="00755BFB"/>
    <w:rsid w:val="00755C19"/>
    <w:rsid w:val="00755C5D"/>
    <w:rsid w:val="00755D6B"/>
    <w:rsid w:val="00755D80"/>
    <w:rsid w:val="00755E74"/>
    <w:rsid w:val="00755E89"/>
    <w:rsid w:val="00755ECF"/>
    <w:rsid w:val="00755EEE"/>
    <w:rsid w:val="00755F06"/>
    <w:rsid w:val="00755F20"/>
    <w:rsid w:val="00756001"/>
    <w:rsid w:val="007560A4"/>
    <w:rsid w:val="00756169"/>
    <w:rsid w:val="007562A7"/>
    <w:rsid w:val="007562DD"/>
    <w:rsid w:val="00756373"/>
    <w:rsid w:val="007563DA"/>
    <w:rsid w:val="007563FE"/>
    <w:rsid w:val="00756409"/>
    <w:rsid w:val="0075645B"/>
    <w:rsid w:val="007564C3"/>
    <w:rsid w:val="00756524"/>
    <w:rsid w:val="007566D8"/>
    <w:rsid w:val="007566E4"/>
    <w:rsid w:val="0075688C"/>
    <w:rsid w:val="007568B4"/>
    <w:rsid w:val="00756902"/>
    <w:rsid w:val="00756914"/>
    <w:rsid w:val="00756A14"/>
    <w:rsid w:val="00756A5B"/>
    <w:rsid w:val="00756A5E"/>
    <w:rsid w:val="00756A76"/>
    <w:rsid w:val="00756B0C"/>
    <w:rsid w:val="00756C00"/>
    <w:rsid w:val="00756EB4"/>
    <w:rsid w:val="00756F21"/>
    <w:rsid w:val="00757044"/>
    <w:rsid w:val="007570BC"/>
    <w:rsid w:val="0075720F"/>
    <w:rsid w:val="00757255"/>
    <w:rsid w:val="0075730C"/>
    <w:rsid w:val="00757592"/>
    <w:rsid w:val="007576FC"/>
    <w:rsid w:val="00757724"/>
    <w:rsid w:val="00757896"/>
    <w:rsid w:val="0075789B"/>
    <w:rsid w:val="007578EB"/>
    <w:rsid w:val="00757B00"/>
    <w:rsid w:val="00757B4E"/>
    <w:rsid w:val="00757B71"/>
    <w:rsid w:val="00757C37"/>
    <w:rsid w:val="00757C85"/>
    <w:rsid w:val="00757CB8"/>
    <w:rsid w:val="00757D4D"/>
    <w:rsid w:val="00757DFB"/>
    <w:rsid w:val="00757E7A"/>
    <w:rsid w:val="00757ED9"/>
    <w:rsid w:val="00757FE3"/>
    <w:rsid w:val="00760050"/>
    <w:rsid w:val="0076010A"/>
    <w:rsid w:val="007603DB"/>
    <w:rsid w:val="00760401"/>
    <w:rsid w:val="00760412"/>
    <w:rsid w:val="0076041E"/>
    <w:rsid w:val="00760610"/>
    <w:rsid w:val="00760741"/>
    <w:rsid w:val="0076096A"/>
    <w:rsid w:val="00760979"/>
    <w:rsid w:val="007609DB"/>
    <w:rsid w:val="00760A43"/>
    <w:rsid w:val="00760AC5"/>
    <w:rsid w:val="00760C99"/>
    <w:rsid w:val="00760CBD"/>
    <w:rsid w:val="00760D6E"/>
    <w:rsid w:val="007610AC"/>
    <w:rsid w:val="007610F4"/>
    <w:rsid w:val="007611D4"/>
    <w:rsid w:val="0076127C"/>
    <w:rsid w:val="007612C8"/>
    <w:rsid w:val="0076146F"/>
    <w:rsid w:val="00761609"/>
    <w:rsid w:val="00761630"/>
    <w:rsid w:val="00761674"/>
    <w:rsid w:val="00761676"/>
    <w:rsid w:val="0076167F"/>
    <w:rsid w:val="00761702"/>
    <w:rsid w:val="00761778"/>
    <w:rsid w:val="0076197E"/>
    <w:rsid w:val="00761A75"/>
    <w:rsid w:val="00761B0C"/>
    <w:rsid w:val="00761C5B"/>
    <w:rsid w:val="00761CAD"/>
    <w:rsid w:val="00761CF0"/>
    <w:rsid w:val="00761DF4"/>
    <w:rsid w:val="00761DFB"/>
    <w:rsid w:val="00761E2A"/>
    <w:rsid w:val="00761E5E"/>
    <w:rsid w:val="00761EB7"/>
    <w:rsid w:val="00762080"/>
    <w:rsid w:val="00762139"/>
    <w:rsid w:val="0076213A"/>
    <w:rsid w:val="00762148"/>
    <w:rsid w:val="007622C2"/>
    <w:rsid w:val="007624AC"/>
    <w:rsid w:val="0076250D"/>
    <w:rsid w:val="0076258A"/>
    <w:rsid w:val="00762669"/>
    <w:rsid w:val="0076268E"/>
    <w:rsid w:val="0076279F"/>
    <w:rsid w:val="007627BF"/>
    <w:rsid w:val="007627C9"/>
    <w:rsid w:val="00762871"/>
    <w:rsid w:val="0076299C"/>
    <w:rsid w:val="00762BE0"/>
    <w:rsid w:val="00762BE5"/>
    <w:rsid w:val="00762C5C"/>
    <w:rsid w:val="00762DE6"/>
    <w:rsid w:val="00762E4F"/>
    <w:rsid w:val="00762EBA"/>
    <w:rsid w:val="00762EE0"/>
    <w:rsid w:val="007630DE"/>
    <w:rsid w:val="00763145"/>
    <w:rsid w:val="00763153"/>
    <w:rsid w:val="007631CB"/>
    <w:rsid w:val="0076324B"/>
    <w:rsid w:val="00763333"/>
    <w:rsid w:val="00763481"/>
    <w:rsid w:val="007634BC"/>
    <w:rsid w:val="00763594"/>
    <w:rsid w:val="007635B3"/>
    <w:rsid w:val="007635BD"/>
    <w:rsid w:val="00763692"/>
    <w:rsid w:val="007637DA"/>
    <w:rsid w:val="0076383A"/>
    <w:rsid w:val="007638B9"/>
    <w:rsid w:val="00763B08"/>
    <w:rsid w:val="00763B2F"/>
    <w:rsid w:val="00763B8F"/>
    <w:rsid w:val="00763CFE"/>
    <w:rsid w:val="00763D57"/>
    <w:rsid w:val="00763D99"/>
    <w:rsid w:val="00763DAD"/>
    <w:rsid w:val="00763F08"/>
    <w:rsid w:val="00763F60"/>
    <w:rsid w:val="007640F1"/>
    <w:rsid w:val="0076416D"/>
    <w:rsid w:val="0076428B"/>
    <w:rsid w:val="00764333"/>
    <w:rsid w:val="007643FE"/>
    <w:rsid w:val="00764432"/>
    <w:rsid w:val="007644CE"/>
    <w:rsid w:val="007645C1"/>
    <w:rsid w:val="007646B2"/>
    <w:rsid w:val="007646C5"/>
    <w:rsid w:val="007646C9"/>
    <w:rsid w:val="007647A9"/>
    <w:rsid w:val="007647C7"/>
    <w:rsid w:val="007649E3"/>
    <w:rsid w:val="00764A0B"/>
    <w:rsid w:val="00764A13"/>
    <w:rsid w:val="00764A33"/>
    <w:rsid w:val="00764B48"/>
    <w:rsid w:val="00764BAF"/>
    <w:rsid w:val="00764C9B"/>
    <w:rsid w:val="00764E07"/>
    <w:rsid w:val="00764E46"/>
    <w:rsid w:val="0076520D"/>
    <w:rsid w:val="00765345"/>
    <w:rsid w:val="007654CE"/>
    <w:rsid w:val="00765530"/>
    <w:rsid w:val="00765569"/>
    <w:rsid w:val="007656CA"/>
    <w:rsid w:val="0076587F"/>
    <w:rsid w:val="00765883"/>
    <w:rsid w:val="007658C3"/>
    <w:rsid w:val="00765998"/>
    <w:rsid w:val="00765A7F"/>
    <w:rsid w:val="00765ABF"/>
    <w:rsid w:val="00765B08"/>
    <w:rsid w:val="00765DF5"/>
    <w:rsid w:val="00765E17"/>
    <w:rsid w:val="00765EF5"/>
    <w:rsid w:val="00765F7C"/>
    <w:rsid w:val="00765FF1"/>
    <w:rsid w:val="00766039"/>
    <w:rsid w:val="00766175"/>
    <w:rsid w:val="007661F4"/>
    <w:rsid w:val="007662EE"/>
    <w:rsid w:val="007662F4"/>
    <w:rsid w:val="007663C7"/>
    <w:rsid w:val="0076657E"/>
    <w:rsid w:val="00766701"/>
    <w:rsid w:val="00766781"/>
    <w:rsid w:val="007668E9"/>
    <w:rsid w:val="00766910"/>
    <w:rsid w:val="00766916"/>
    <w:rsid w:val="007669F3"/>
    <w:rsid w:val="007669F5"/>
    <w:rsid w:val="00766A2D"/>
    <w:rsid w:val="00766BBB"/>
    <w:rsid w:val="00766C71"/>
    <w:rsid w:val="00766E1B"/>
    <w:rsid w:val="00766E23"/>
    <w:rsid w:val="00766E72"/>
    <w:rsid w:val="007671BC"/>
    <w:rsid w:val="00767409"/>
    <w:rsid w:val="0076744A"/>
    <w:rsid w:val="00767674"/>
    <w:rsid w:val="00767753"/>
    <w:rsid w:val="00767803"/>
    <w:rsid w:val="0076781B"/>
    <w:rsid w:val="007678A2"/>
    <w:rsid w:val="007678C0"/>
    <w:rsid w:val="007678C2"/>
    <w:rsid w:val="00767A23"/>
    <w:rsid w:val="00767B5D"/>
    <w:rsid w:val="00767CD2"/>
    <w:rsid w:val="00767D8D"/>
    <w:rsid w:val="00767E79"/>
    <w:rsid w:val="00767F03"/>
    <w:rsid w:val="00767F2C"/>
    <w:rsid w:val="00767F66"/>
    <w:rsid w:val="0077002D"/>
    <w:rsid w:val="0077003D"/>
    <w:rsid w:val="00770044"/>
    <w:rsid w:val="0077004A"/>
    <w:rsid w:val="00770148"/>
    <w:rsid w:val="00770189"/>
    <w:rsid w:val="00770394"/>
    <w:rsid w:val="0077044B"/>
    <w:rsid w:val="00770470"/>
    <w:rsid w:val="007704F3"/>
    <w:rsid w:val="00770540"/>
    <w:rsid w:val="007705E6"/>
    <w:rsid w:val="0077070C"/>
    <w:rsid w:val="00770719"/>
    <w:rsid w:val="00770739"/>
    <w:rsid w:val="007707C5"/>
    <w:rsid w:val="00770803"/>
    <w:rsid w:val="00770841"/>
    <w:rsid w:val="007708C0"/>
    <w:rsid w:val="0077094C"/>
    <w:rsid w:val="007709ED"/>
    <w:rsid w:val="00770A2B"/>
    <w:rsid w:val="00770AC0"/>
    <w:rsid w:val="00770B67"/>
    <w:rsid w:val="00770BF5"/>
    <w:rsid w:val="00770BFD"/>
    <w:rsid w:val="00770D66"/>
    <w:rsid w:val="00770E7C"/>
    <w:rsid w:val="00770FB0"/>
    <w:rsid w:val="00771078"/>
    <w:rsid w:val="00771149"/>
    <w:rsid w:val="0077125A"/>
    <w:rsid w:val="0077127E"/>
    <w:rsid w:val="007712ED"/>
    <w:rsid w:val="00771336"/>
    <w:rsid w:val="00771378"/>
    <w:rsid w:val="00771414"/>
    <w:rsid w:val="00771425"/>
    <w:rsid w:val="0077145A"/>
    <w:rsid w:val="00771465"/>
    <w:rsid w:val="00771478"/>
    <w:rsid w:val="00771732"/>
    <w:rsid w:val="00771876"/>
    <w:rsid w:val="0077199A"/>
    <w:rsid w:val="00771BF4"/>
    <w:rsid w:val="00771E44"/>
    <w:rsid w:val="00771F2E"/>
    <w:rsid w:val="00771F51"/>
    <w:rsid w:val="00771F70"/>
    <w:rsid w:val="00771FB1"/>
    <w:rsid w:val="0077200D"/>
    <w:rsid w:val="00772031"/>
    <w:rsid w:val="00772101"/>
    <w:rsid w:val="007721EA"/>
    <w:rsid w:val="007722C7"/>
    <w:rsid w:val="00772407"/>
    <w:rsid w:val="00772420"/>
    <w:rsid w:val="0077249A"/>
    <w:rsid w:val="007724B3"/>
    <w:rsid w:val="007724B7"/>
    <w:rsid w:val="00772520"/>
    <w:rsid w:val="00772525"/>
    <w:rsid w:val="00772567"/>
    <w:rsid w:val="0077277F"/>
    <w:rsid w:val="0077285E"/>
    <w:rsid w:val="007729A6"/>
    <w:rsid w:val="00772B57"/>
    <w:rsid w:val="00772BE0"/>
    <w:rsid w:val="00772BF5"/>
    <w:rsid w:val="00772C4E"/>
    <w:rsid w:val="00772CEC"/>
    <w:rsid w:val="00772E4B"/>
    <w:rsid w:val="00773089"/>
    <w:rsid w:val="00773221"/>
    <w:rsid w:val="007732A2"/>
    <w:rsid w:val="0077330B"/>
    <w:rsid w:val="00773508"/>
    <w:rsid w:val="00773530"/>
    <w:rsid w:val="007735CF"/>
    <w:rsid w:val="007735D1"/>
    <w:rsid w:val="007737E9"/>
    <w:rsid w:val="00773947"/>
    <w:rsid w:val="00773A3C"/>
    <w:rsid w:val="00773A40"/>
    <w:rsid w:val="00773A54"/>
    <w:rsid w:val="00773C9E"/>
    <w:rsid w:val="00773DF7"/>
    <w:rsid w:val="00773FEF"/>
    <w:rsid w:val="00773FFB"/>
    <w:rsid w:val="00774095"/>
    <w:rsid w:val="00774217"/>
    <w:rsid w:val="0077427C"/>
    <w:rsid w:val="00774316"/>
    <w:rsid w:val="007743B2"/>
    <w:rsid w:val="00774513"/>
    <w:rsid w:val="007745B3"/>
    <w:rsid w:val="00774626"/>
    <w:rsid w:val="00774669"/>
    <w:rsid w:val="00774681"/>
    <w:rsid w:val="0077473E"/>
    <w:rsid w:val="00774817"/>
    <w:rsid w:val="00774C9F"/>
    <w:rsid w:val="00774CA0"/>
    <w:rsid w:val="00774CA8"/>
    <w:rsid w:val="00774D98"/>
    <w:rsid w:val="00774F6A"/>
    <w:rsid w:val="00774F98"/>
    <w:rsid w:val="00774FE8"/>
    <w:rsid w:val="00774FEF"/>
    <w:rsid w:val="00775060"/>
    <w:rsid w:val="0077539C"/>
    <w:rsid w:val="007753D8"/>
    <w:rsid w:val="007757BA"/>
    <w:rsid w:val="007757F3"/>
    <w:rsid w:val="00775828"/>
    <w:rsid w:val="00775853"/>
    <w:rsid w:val="00775871"/>
    <w:rsid w:val="00775B0A"/>
    <w:rsid w:val="00775BB7"/>
    <w:rsid w:val="00775BDD"/>
    <w:rsid w:val="00775D38"/>
    <w:rsid w:val="00775E12"/>
    <w:rsid w:val="00775E30"/>
    <w:rsid w:val="00775FC0"/>
    <w:rsid w:val="00775FCE"/>
    <w:rsid w:val="007761AE"/>
    <w:rsid w:val="007761C9"/>
    <w:rsid w:val="007761CD"/>
    <w:rsid w:val="00776252"/>
    <w:rsid w:val="007762E9"/>
    <w:rsid w:val="00776350"/>
    <w:rsid w:val="007763A5"/>
    <w:rsid w:val="007763D8"/>
    <w:rsid w:val="007763E5"/>
    <w:rsid w:val="0077641A"/>
    <w:rsid w:val="00776439"/>
    <w:rsid w:val="007764DA"/>
    <w:rsid w:val="0077652C"/>
    <w:rsid w:val="00776549"/>
    <w:rsid w:val="00776665"/>
    <w:rsid w:val="007766D0"/>
    <w:rsid w:val="0077671C"/>
    <w:rsid w:val="0077679D"/>
    <w:rsid w:val="00776849"/>
    <w:rsid w:val="007769F5"/>
    <w:rsid w:val="00776A52"/>
    <w:rsid w:val="00776B12"/>
    <w:rsid w:val="00776C00"/>
    <w:rsid w:val="00776C40"/>
    <w:rsid w:val="00776C9F"/>
    <w:rsid w:val="00776D72"/>
    <w:rsid w:val="00776E64"/>
    <w:rsid w:val="00776E6D"/>
    <w:rsid w:val="00776ED8"/>
    <w:rsid w:val="00776F21"/>
    <w:rsid w:val="00776F69"/>
    <w:rsid w:val="00776FFB"/>
    <w:rsid w:val="007770EF"/>
    <w:rsid w:val="007772B5"/>
    <w:rsid w:val="007773F8"/>
    <w:rsid w:val="00777453"/>
    <w:rsid w:val="0077751E"/>
    <w:rsid w:val="007775E2"/>
    <w:rsid w:val="00777690"/>
    <w:rsid w:val="007776B4"/>
    <w:rsid w:val="007777FB"/>
    <w:rsid w:val="007779F7"/>
    <w:rsid w:val="00777AB3"/>
    <w:rsid w:val="00777BAB"/>
    <w:rsid w:val="00777C33"/>
    <w:rsid w:val="00777CA3"/>
    <w:rsid w:val="00777CCA"/>
    <w:rsid w:val="00777CFB"/>
    <w:rsid w:val="00777ED9"/>
    <w:rsid w:val="00777EDF"/>
    <w:rsid w:val="00777FDD"/>
    <w:rsid w:val="007801FA"/>
    <w:rsid w:val="0078023F"/>
    <w:rsid w:val="0078032A"/>
    <w:rsid w:val="00780357"/>
    <w:rsid w:val="007803E7"/>
    <w:rsid w:val="00780555"/>
    <w:rsid w:val="00780566"/>
    <w:rsid w:val="007805F6"/>
    <w:rsid w:val="00780610"/>
    <w:rsid w:val="0078082C"/>
    <w:rsid w:val="007808D8"/>
    <w:rsid w:val="007808F2"/>
    <w:rsid w:val="0078099D"/>
    <w:rsid w:val="007809A2"/>
    <w:rsid w:val="00780A1D"/>
    <w:rsid w:val="00780BB4"/>
    <w:rsid w:val="00780BF7"/>
    <w:rsid w:val="00780C59"/>
    <w:rsid w:val="00780C9B"/>
    <w:rsid w:val="00780D30"/>
    <w:rsid w:val="00780DDC"/>
    <w:rsid w:val="00780E40"/>
    <w:rsid w:val="00780E4F"/>
    <w:rsid w:val="00780E9C"/>
    <w:rsid w:val="00780F65"/>
    <w:rsid w:val="00780FB6"/>
    <w:rsid w:val="0078106D"/>
    <w:rsid w:val="0078112A"/>
    <w:rsid w:val="00781465"/>
    <w:rsid w:val="007814EB"/>
    <w:rsid w:val="00781550"/>
    <w:rsid w:val="00781584"/>
    <w:rsid w:val="0078159E"/>
    <w:rsid w:val="007815D6"/>
    <w:rsid w:val="007816B1"/>
    <w:rsid w:val="007817C9"/>
    <w:rsid w:val="007817CC"/>
    <w:rsid w:val="007817CD"/>
    <w:rsid w:val="00781866"/>
    <w:rsid w:val="00781913"/>
    <w:rsid w:val="00781915"/>
    <w:rsid w:val="00781975"/>
    <w:rsid w:val="00781B90"/>
    <w:rsid w:val="00781CA7"/>
    <w:rsid w:val="00781CFD"/>
    <w:rsid w:val="00781D09"/>
    <w:rsid w:val="00781DDC"/>
    <w:rsid w:val="00781E4F"/>
    <w:rsid w:val="00781E86"/>
    <w:rsid w:val="00781EFA"/>
    <w:rsid w:val="00781FB8"/>
    <w:rsid w:val="00781FBC"/>
    <w:rsid w:val="00782107"/>
    <w:rsid w:val="0078226F"/>
    <w:rsid w:val="007822D8"/>
    <w:rsid w:val="00782333"/>
    <w:rsid w:val="0078239D"/>
    <w:rsid w:val="007823B1"/>
    <w:rsid w:val="007824BA"/>
    <w:rsid w:val="00782551"/>
    <w:rsid w:val="00782563"/>
    <w:rsid w:val="00782576"/>
    <w:rsid w:val="007826C1"/>
    <w:rsid w:val="007826FE"/>
    <w:rsid w:val="007827E3"/>
    <w:rsid w:val="0078285E"/>
    <w:rsid w:val="007828D8"/>
    <w:rsid w:val="007828E4"/>
    <w:rsid w:val="00782A83"/>
    <w:rsid w:val="00782C4E"/>
    <w:rsid w:val="00782C5D"/>
    <w:rsid w:val="00782D26"/>
    <w:rsid w:val="00782D67"/>
    <w:rsid w:val="00782DB4"/>
    <w:rsid w:val="00782E76"/>
    <w:rsid w:val="00782EED"/>
    <w:rsid w:val="00782FEB"/>
    <w:rsid w:val="007830BB"/>
    <w:rsid w:val="0078311F"/>
    <w:rsid w:val="0078315A"/>
    <w:rsid w:val="00783245"/>
    <w:rsid w:val="007832A6"/>
    <w:rsid w:val="0078352E"/>
    <w:rsid w:val="0078362D"/>
    <w:rsid w:val="00783677"/>
    <w:rsid w:val="007836EB"/>
    <w:rsid w:val="00783818"/>
    <w:rsid w:val="00783871"/>
    <w:rsid w:val="007838E8"/>
    <w:rsid w:val="0078394D"/>
    <w:rsid w:val="007839AF"/>
    <w:rsid w:val="00783AF0"/>
    <w:rsid w:val="00783E29"/>
    <w:rsid w:val="00783F1F"/>
    <w:rsid w:val="00783F50"/>
    <w:rsid w:val="00784037"/>
    <w:rsid w:val="00784104"/>
    <w:rsid w:val="0078412A"/>
    <w:rsid w:val="0078416E"/>
    <w:rsid w:val="00784178"/>
    <w:rsid w:val="00784184"/>
    <w:rsid w:val="007842AA"/>
    <w:rsid w:val="00784363"/>
    <w:rsid w:val="007844AD"/>
    <w:rsid w:val="007844B2"/>
    <w:rsid w:val="007845A2"/>
    <w:rsid w:val="00784629"/>
    <w:rsid w:val="00784631"/>
    <w:rsid w:val="007846A8"/>
    <w:rsid w:val="00784711"/>
    <w:rsid w:val="0078471E"/>
    <w:rsid w:val="0078476D"/>
    <w:rsid w:val="00784780"/>
    <w:rsid w:val="00784887"/>
    <w:rsid w:val="007848F0"/>
    <w:rsid w:val="00784A07"/>
    <w:rsid w:val="00784A2B"/>
    <w:rsid w:val="00784A5A"/>
    <w:rsid w:val="00784CFB"/>
    <w:rsid w:val="00784D0E"/>
    <w:rsid w:val="00785346"/>
    <w:rsid w:val="007853BE"/>
    <w:rsid w:val="007853DF"/>
    <w:rsid w:val="0078549B"/>
    <w:rsid w:val="00785540"/>
    <w:rsid w:val="00785586"/>
    <w:rsid w:val="00785669"/>
    <w:rsid w:val="007856AB"/>
    <w:rsid w:val="0078579E"/>
    <w:rsid w:val="007858C3"/>
    <w:rsid w:val="007859C0"/>
    <w:rsid w:val="007859EE"/>
    <w:rsid w:val="00785A11"/>
    <w:rsid w:val="00785A4E"/>
    <w:rsid w:val="00785B51"/>
    <w:rsid w:val="00785B6C"/>
    <w:rsid w:val="00785C0B"/>
    <w:rsid w:val="00785C57"/>
    <w:rsid w:val="00785CC6"/>
    <w:rsid w:val="00785CC7"/>
    <w:rsid w:val="00785D05"/>
    <w:rsid w:val="00785D58"/>
    <w:rsid w:val="00785D8F"/>
    <w:rsid w:val="00785E79"/>
    <w:rsid w:val="00785E7D"/>
    <w:rsid w:val="00785EFA"/>
    <w:rsid w:val="00786003"/>
    <w:rsid w:val="007861E7"/>
    <w:rsid w:val="00786208"/>
    <w:rsid w:val="00786274"/>
    <w:rsid w:val="007862B4"/>
    <w:rsid w:val="00786386"/>
    <w:rsid w:val="00786423"/>
    <w:rsid w:val="007864E7"/>
    <w:rsid w:val="00786621"/>
    <w:rsid w:val="0078671B"/>
    <w:rsid w:val="007867CC"/>
    <w:rsid w:val="00786942"/>
    <w:rsid w:val="00786999"/>
    <w:rsid w:val="00786B57"/>
    <w:rsid w:val="00786BB9"/>
    <w:rsid w:val="00786CBC"/>
    <w:rsid w:val="00786D7C"/>
    <w:rsid w:val="00786F1F"/>
    <w:rsid w:val="00786F34"/>
    <w:rsid w:val="007870B5"/>
    <w:rsid w:val="007870B9"/>
    <w:rsid w:val="0078716A"/>
    <w:rsid w:val="0078716C"/>
    <w:rsid w:val="007871F7"/>
    <w:rsid w:val="0078727E"/>
    <w:rsid w:val="0078740F"/>
    <w:rsid w:val="00787526"/>
    <w:rsid w:val="00787685"/>
    <w:rsid w:val="0078776B"/>
    <w:rsid w:val="007877C7"/>
    <w:rsid w:val="00787866"/>
    <w:rsid w:val="00787A4E"/>
    <w:rsid w:val="00787AD8"/>
    <w:rsid w:val="00787B3C"/>
    <w:rsid w:val="00787CDA"/>
    <w:rsid w:val="00787D42"/>
    <w:rsid w:val="00787D96"/>
    <w:rsid w:val="00787F33"/>
    <w:rsid w:val="00790015"/>
    <w:rsid w:val="00790187"/>
    <w:rsid w:val="0079021E"/>
    <w:rsid w:val="00790262"/>
    <w:rsid w:val="0079029E"/>
    <w:rsid w:val="007902A9"/>
    <w:rsid w:val="007902D0"/>
    <w:rsid w:val="007902F8"/>
    <w:rsid w:val="007903E8"/>
    <w:rsid w:val="0079043D"/>
    <w:rsid w:val="0079043E"/>
    <w:rsid w:val="007904BA"/>
    <w:rsid w:val="007904FC"/>
    <w:rsid w:val="0079051F"/>
    <w:rsid w:val="007905CD"/>
    <w:rsid w:val="007905D0"/>
    <w:rsid w:val="007905D7"/>
    <w:rsid w:val="007906C9"/>
    <w:rsid w:val="007909BD"/>
    <w:rsid w:val="007909E3"/>
    <w:rsid w:val="00790AA2"/>
    <w:rsid w:val="00790B80"/>
    <w:rsid w:val="00790BBD"/>
    <w:rsid w:val="00790EA5"/>
    <w:rsid w:val="00790F76"/>
    <w:rsid w:val="00790FD5"/>
    <w:rsid w:val="007910E1"/>
    <w:rsid w:val="0079111A"/>
    <w:rsid w:val="0079115D"/>
    <w:rsid w:val="00791253"/>
    <w:rsid w:val="007912E3"/>
    <w:rsid w:val="007913B6"/>
    <w:rsid w:val="0079148B"/>
    <w:rsid w:val="007915B9"/>
    <w:rsid w:val="007915F7"/>
    <w:rsid w:val="00791649"/>
    <w:rsid w:val="00791878"/>
    <w:rsid w:val="00791A04"/>
    <w:rsid w:val="00791A19"/>
    <w:rsid w:val="00791C85"/>
    <w:rsid w:val="00791D95"/>
    <w:rsid w:val="00791DC1"/>
    <w:rsid w:val="00791E31"/>
    <w:rsid w:val="00791F50"/>
    <w:rsid w:val="00791F8C"/>
    <w:rsid w:val="00791F90"/>
    <w:rsid w:val="00791FAB"/>
    <w:rsid w:val="0079218E"/>
    <w:rsid w:val="00792190"/>
    <w:rsid w:val="00792499"/>
    <w:rsid w:val="0079254E"/>
    <w:rsid w:val="00792554"/>
    <w:rsid w:val="00792585"/>
    <w:rsid w:val="007926B7"/>
    <w:rsid w:val="007926C0"/>
    <w:rsid w:val="007926F3"/>
    <w:rsid w:val="00792A5B"/>
    <w:rsid w:val="00792B44"/>
    <w:rsid w:val="00792B50"/>
    <w:rsid w:val="00792C2C"/>
    <w:rsid w:val="00792DA5"/>
    <w:rsid w:val="00792F16"/>
    <w:rsid w:val="007931BA"/>
    <w:rsid w:val="00793236"/>
    <w:rsid w:val="00793247"/>
    <w:rsid w:val="00793298"/>
    <w:rsid w:val="007933D3"/>
    <w:rsid w:val="0079342B"/>
    <w:rsid w:val="007934CD"/>
    <w:rsid w:val="0079351B"/>
    <w:rsid w:val="00793526"/>
    <w:rsid w:val="00793607"/>
    <w:rsid w:val="0079364E"/>
    <w:rsid w:val="0079378B"/>
    <w:rsid w:val="00793910"/>
    <w:rsid w:val="007939A6"/>
    <w:rsid w:val="00793AAC"/>
    <w:rsid w:val="00793AF8"/>
    <w:rsid w:val="00793B78"/>
    <w:rsid w:val="00793C06"/>
    <w:rsid w:val="00793C42"/>
    <w:rsid w:val="00793C9D"/>
    <w:rsid w:val="00793CB9"/>
    <w:rsid w:val="00793E64"/>
    <w:rsid w:val="00793E74"/>
    <w:rsid w:val="00793E79"/>
    <w:rsid w:val="00793E8A"/>
    <w:rsid w:val="00793FFE"/>
    <w:rsid w:val="00794069"/>
    <w:rsid w:val="007940BD"/>
    <w:rsid w:val="0079414E"/>
    <w:rsid w:val="007943CE"/>
    <w:rsid w:val="00794412"/>
    <w:rsid w:val="00794445"/>
    <w:rsid w:val="0079456C"/>
    <w:rsid w:val="00794597"/>
    <w:rsid w:val="00794650"/>
    <w:rsid w:val="0079467F"/>
    <w:rsid w:val="007946AB"/>
    <w:rsid w:val="0079470A"/>
    <w:rsid w:val="0079486E"/>
    <w:rsid w:val="00794A70"/>
    <w:rsid w:val="00794BB0"/>
    <w:rsid w:val="00794BE5"/>
    <w:rsid w:val="00794C1B"/>
    <w:rsid w:val="00794CCB"/>
    <w:rsid w:val="00794D8C"/>
    <w:rsid w:val="007950A4"/>
    <w:rsid w:val="00795136"/>
    <w:rsid w:val="0079514D"/>
    <w:rsid w:val="00795187"/>
    <w:rsid w:val="00795379"/>
    <w:rsid w:val="0079538B"/>
    <w:rsid w:val="0079545D"/>
    <w:rsid w:val="00795561"/>
    <w:rsid w:val="0079559F"/>
    <w:rsid w:val="00795652"/>
    <w:rsid w:val="007957D2"/>
    <w:rsid w:val="00795805"/>
    <w:rsid w:val="007958A5"/>
    <w:rsid w:val="00795947"/>
    <w:rsid w:val="0079596D"/>
    <w:rsid w:val="00795A4D"/>
    <w:rsid w:val="00795A73"/>
    <w:rsid w:val="00795AA7"/>
    <w:rsid w:val="00795B78"/>
    <w:rsid w:val="00795C40"/>
    <w:rsid w:val="00795D44"/>
    <w:rsid w:val="00795FAA"/>
    <w:rsid w:val="00795FFA"/>
    <w:rsid w:val="00796281"/>
    <w:rsid w:val="00796429"/>
    <w:rsid w:val="0079643B"/>
    <w:rsid w:val="00796486"/>
    <w:rsid w:val="0079648A"/>
    <w:rsid w:val="00796657"/>
    <w:rsid w:val="007966AF"/>
    <w:rsid w:val="007966FB"/>
    <w:rsid w:val="00796860"/>
    <w:rsid w:val="007968C5"/>
    <w:rsid w:val="007968F7"/>
    <w:rsid w:val="00796AED"/>
    <w:rsid w:val="00796DEA"/>
    <w:rsid w:val="00796EFC"/>
    <w:rsid w:val="00796F81"/>
    <w:rsid w:val="00796F84"/>
    <w:rsid w:val="007970E4"/>
    <w:rsid w:val="007971B1"/>
    <w:rsid w:val="007972AC"/>
    <w:rsid w:val="0079737E"/>
    <w:rsid w:val="00797386"/>
    <w:rsid w:val="007973F0"/>
    <w:rsid w:val="00797430"/>
    <w:rsid w:val="0079744F"/>
    <w:rsid w:val="00797538"/>
    <w:rsid w:val="0079753D"/>
    <w:rsid w:val="0079753E"/>
    <w:rsid w:val="00797671"/>
    <w:rsid w:val="00797742"/>
    <w:rsid w:val="007977F4"/>
    <w:rsid w:val="007979B4"/>
    <w:rsid w:val="007979F7"/>
    <w:rsid w:val="00797B57"/>
    <w:rsid w:val="00797B76"/>
    <w:rsid w:val="00797C66"/>
    <w:rsid w:val="00797CD8"/>
    <w:rsid w:val="00797D48"/>
    <w:rsid w:val="00797D93"/>
    <w:rsid w:val="00797E86"/>
    <w:rsid w:val="00797FDC"/>
    <w:rsid w:val="00797FF7"/>
    <w:rsid w:val="007A0173"/>
    <w:rsid w:val="007A0188"/>
    <w:rsid w:val="007A028D"/>
    <w:rsid w:val="007A0458"/>
    <w:rsid w:val="007A04B8"/>
    <w:rsid w:val="007A056E"/>
    <w:rsid w:val="007A0581"/>
    <w:rsid w:val="007A086B"/>
    <w:rsid w:val="007A08B8"/>
    <w:rsid w:val="007A0974"/>
    <w:rsid w:val="007A0A03"/>
    <w:rsid w:val="007A0A4C"/>
    <w:rsid w:val="007A0BF1"/>
    <w:rsid w:val="007A0C91"/>
    <w:rsid w:val="007A0CC6"/>
    <w:rsid w:val="007A0E3E"/>
    <w:rsid w:val="007A0E54"/>
    <w:rsid w:val="007A0F1E"/>
    <w:rsid w:val="007A0FA3"/>
    <w:rsid w:val="007A1068"/>
    <w:rsid w:val="007A109A"/>
    <w:rsid w:val="007A12C3"/>
    <w:rsid w:val="007A139B"/>
    <w:rsid w:val="007A13F7"/>
    <w:rsid w:val="007A1619"/>
    <w:rsid w:val="007A164B"/>
    <w:rsid w:val="007A1674"/>
    <w:rsid w:val="007A1862"/>
    <w:rsid w:val="007A186A"/>
    <w:rsid w:val="007A1893"/>
    <w:rsid w:val="007A1A17"/>
    <w:rsid w:val="007A1A4F"/>
    <w:rsid w:val="007A1B15"/>
    <w:rsid w:val="007A1CBE"/>
    <w:rsid w:val="007A1EE5"/>
    <w:rsid w:val="007A1EF1"/>
    <w:rsid w:val="007A212B"/>
    <w:rsid w:val="007A215E"/>
    <w:rsid w:val="007A2171"/>
    <w:rsid w:val="007A21D5"/>
    <w:rsid w:val="007A2211"/>
    <w:rsid w:val="007A2272"/>
    <w:rsid w:val="007A228C"/>
    <w:rsid w:val="007A25F8"/>
    <w:rsid w:val="007A26B6"/>
    <w:rsid w:val="007A26F9"/>
    <w:rsid w:val="007A27F9"/>
    <w:rsid w:val="007A299F"/>
    <w:rsid w:val="007A2A3F"/>
    <w:rsid w:val="007A2BA8"/>
    <w:rsid w:val="007A2BF5"/>
    <w:rsid w:val="007A2C04"/>
    <w:rsid w:val="007A2C31"/>
    <w:rsid w:val="007A2C88"/>
    <w:rsid w:val="007A2CA0"/>
    <w:rsid w:val="007A2CAF"/>
    <w:rsid w:val="007A2CD6"/>
    <w:rsid w:val="007A2DBF"/>
    <w:rsid w:val="007A2F73"/>
    <w:rsid w:val="007A2FE2"/>
    <w:rsid w:val="007A319F"/>
    <w:rsid w:val="007A33AE"/>
    <w:rsid w:val="007A33D1"/>
    <w:rsid w:val="007A34D2"/>
    <w:rsid w:val="007A34D5"/>
    <w:rsid w:val="007A34F1"/>
    <w:rsid w:val="007A3586"/>
    <w:rsid w:val="007A37D5"/>
    <w:rsid w:val="007A3864"/>
    <w:rsid w:val="007A3B59"/>
    <w:rsid w:val="007A3B5C"/>
    <w:rsid w:val="007A3B7B"/>
    <w:rsid w:val="007A3D5A"/>
    <w:rsid w:val="007A3DD4"/>
    <w:rsid w:val="007A3FE6"/>
    <w:rsid w:val="007A4017"/>
    <w:rsid w:val="007A40CE"/>
    <w:rsid w:val="007A4134"/>
    <w:rsid w:val="007A4250"/>
    <w:rsid w:val="007A429D"/>
    <w:rsid w:val="007A42B8"/>
    <w:rsid w:val="007A4354"/>
    <w:rsid w:val="007A43F3"/>
    <w:rsid w:val="007A4412"/>
    <w:rsid w:val="007A443F"/>
    <w:rsid w:val="007A444A"/>
    <w:rsid w:val="007A458E"/>
    <w:rsid w:val="007A46FE"/>
    <w:rsid w:val="007A4816"/>
    <w:rsid w:val="007A4860"/>
    <w:rsid w:val="007A4916"/>
    <w:rsid w:val="007A49A8"/>
    <w:rsid w:val="007A4A1A"/>
    <w:rsid w:val="007A4AA3"/>
    <w:rsid w:val="007A4AF1"/>
    <w:rsid w:val="007A4B04"/>
    <w:rsid w:val="007A4C81"/>
    <w:rsid w:val="007A4D4E"/>
    <w:rsid w:val="007A4E29"/>
    <w:rsid w:val="007A4E3F"/>
    <w:rsid w:val="007A4EEE"/>
    <w:rsid w:val="007A4FE6"/>
    <w:rsid w:val="007A5065"/>
    <w:rsid w:val="007A50D6"/>
    <w:rsid w:val="007A5167"/>
    <w:rsid w:val="007A51C6"/>
    <w:rsid w:val="007A533B"/>
    <w:rsid w:val="007A533D"/>
    <w:rsid w:val="007A5385"/>
    <w:rsid w:val="007A544F"/>
    <w:rsid w:val="007A5580"/>
    <w:rsid w:val="007A55CF"/>
    <w:rsid w:val="007A55EC"/>
    <w:rsid w:val="007A564B"/>
    <w:rsid w:val="007A585B"/>
    <w:rsid w:val="007A5931"/>
    <w:rsid w:val="007A595A"/>
    <w:rsid w:val="007A598F"/>
    <w:rsid w:val="007A59B1"/>
    <w:rsid w:val="007A5A05"/>
    <w:rsid w:val="007A5A89"/>
    <w:rsid w:val="007A5AEB"/>
    <w:rsid w:val="007A5B05"/>
    <w:rsid w:val="007A5B0E"/>
    <w:rsid w:val="007A5BCE"/>
    <w:rsid w:val="007A5E17"/>
    <w:rsid w:val="007A5E4E"/>
    <w:rsid w:val="007A5EE6"/>
    <w:rsid w:val="007A6018"/>
    <w:rsid w:val="007A603A"/>
    <w:rsid w:val="007A60F9"/>
    <w:rsid w:val="007A60FF"/>
    <w:rsid w:val="007A61C4"/>
    <w:rsid w:val="007A61F1"/>
    <w:rsid w:val="007A6214"/>
    <w:rsid w:val="007A6365"/>
    <w:rsid w:val="007A638F"/>
    <w:rsid w:val="007A655A"/>
    <w:rsid w:val="007A65B6"/>
    <w:rsid w:val="007A65DB"/>
    <w:rsid w:val="007A6666"/>
    <w:rsid w:val="007A67BA"/>
    <w:rsid w:val="007A67CE"/>
    <w:rsid w:val="007A68B5"/>
    <w:rsid w:val="007A68CF"/>
    <w:rsid w:val="007A68EC"/>
    <w:rsid w:val="007A6A85"/>
    <w:rsid w:val="007A6B45"/>
    <w:rsid w:val="007A6B8C"/>
    <w:rsid w:val="007A6BD6"/>
    <w:rsid w:val="007A6C90"/>
    <w:rsid w:val="007A6C9D"/>
    <w:rsid w:val="007A6D6A"/>
    <w:rsid w:val="007A6D71"/>
    <w:rsid w:val="007A6DF5"/>
    <w:rsid w:val="007A6E02"/>
    <w:rsid w:val="007A6EA7"/>
    <w:rsid w:val="007A6F7A"/>
    <w:rsid w:val="007A6FB2"/>
    <w:rsid w:val="007A700D"/>
    <w:rsid w:val="007A7050"/>
    <w:rsid w:val="007A7060"/>
    <w:rsid w:val="007A70F2"/>
    <w:rsid w:val="007A7133"/>
    <w:rsid w:val="007A715D"/>
    <w:rsid w:val="007A7277"/>
    <w:rsid w:val="007A7292"/>
    <w:rsid w:val="007A7418"/>
    <w:rsid w:val="007A7432"/>
    <w:rsid w:val="007A75DB"/>
    <w:rsid w:val="007A7673"/>
    <w:rsid w:val="007A77AE"/>
    <w:rsid w:val="007A79B3"/>
    <w:rsid w:val="007A7B07"/>
    <w:rsid w:val="007A7B32"/>
    <w:rsid w:val="007A7B74"/>
    <w:rsid w:val="007A7BFF"/>
    <w:rsid w:val="007A7CD7"/>
    <w:rsid w:val="007A7CDD"/>
    <w:rsid w:val="007A7DA6"/>
    <w:rsid w:val="007A7DCE"/>
    <w:rsid w:val="007A7FF7"/>
    <w:rsid w:val="007B00B6"/>
    <w:rsid w:val="007B00C2"/>
    <w:rsid w:val="007B0192"/>
    <w:rsid w:val="007B01EE"/>
    <w:rsid w:val="007B0333"/>
    <w:rsid w:val="007B0542"/>
    <w:rsid w:val="007B05FB"/>
    <w:rsid w:val="007B0699"/>
    <w:rsid w:val="007B06D8"/>
    <w:rsid w:val="007B0846"/>
    <w:rsid w:val="007B08E2"/>
    <w:rsid w:val="007B099B"/>
    <w:rsid w:val="007B09B7"/>
    <w:rsid w:val="007B09D8"/>
    <w:rsid w:val="007B09FF"/>
    <w:rsid w:val="007B0BAD"/>
    <w:rsid w:val="007B0BCD"/>
    <w:rsid w:val="007B0BE4"/>
    <w:rsid w:val="007B0D7B"/>
    <w:rsid w:val="007B0FBA"/>
    <w:rsid w:val="007B0FFA"/>
    <w:rsid w:val="007B1040"/>
    <w:rsid w:val="007B10C4"/>
    <w:rsid w:val="007B111A"/>
    <w:rsid w:val="007B11AF"/>
    <w:rsid w:val="007B1299"/>
    <w:rsid w:val="007B15CF"/>
    <w:rsid w:val="007B162B"/>
    <w:rsid w:val="007B16B7"/>
    <w:rsid w:val="007B16DF"/>
    <w:rsid w:val="007B1795"/>
    <w:rsid w:val="007B1875"/>
    <w:rsid w:val="007B18EF"/>
    <w:rsid w:val="007B19D0"/>
    <w:rsid w:val="007B19E3"/>
    <w:rsid w:val="007B19F4"/>
    <w:rsid w:val="007B1AB1"/>
    <w:rsid w:val="007B1B7D"/>
    <w:rsid w:val="007B1CA6"/>
    <w:rsid w:val="007B1CB5"/>
    <w:rsid w:val="007B1ED6"/>
    <w:rsid w:val="007B1F61"/>
    <w:rsid w:val="007B2006"/>
    <w:rsid w:val="007B224F"/>
    <w:rsid w:val="007B2292"/>
    <w:rsid w:val="007B2402"/>
    <w:rsid w:val="007B2449"/>
    <w:rsid w:val="007B2546"/>
    <w:rsid w:val="007B25F6"/>
    <w:rsid w:val="007B2704"/>
    <w:rsid w:val="007B29A6"/>
    <w:rsid w:val="007B2A68"/>
    <w:rsid w:val="007B2B96"/>
    <w:rsid w:val="007B2C1E"/>
    <w:rsid w:val="007B2D85"/>
    <w:rsid w:val="007B2E0E"/>
    <w:rsid w:val="007B2E5B"/>
    <w:rsid w:val="007B2E83"/>
    <w:rsid w:val="007B2EB4"/>
    <w:rsid w:val="007B2ED6"/>
    <w:rsid w:val="007B2F12"/>
    <w:rsid w:val="007B3036"/>
    <w:rsid w:val="007B32C1"/>
    <w:rsid w:val="007B33C6"/>
    <w:rsid w:val="007B3422"/>
    <w:rsid w:val="007B34CC"/>
    <w:rsid w:val="007B35CE"/>
    <w:rsid w:val="007B3657"/>
    <w:rsid w:val="007B376A"/>
    <w:rsid w:val="007B37ED"/>
    <w:rsid w:val="007B3939"/>
    <w:rsid w:val="007B39FB"/>
    <w:rsid w:val="007B3AD2"/>
    <w:rsid w:val="007B3BD1"/>
    <w:rsid w:val="007B3C12"/>
    <w:rsid w:val="007B3F0A"/>
    <w:rsid w:val="007B3F70"/>
    <w:rsid w:val="007B4010"/>
    <w:rsid w:val="007B401B"/>
    <w:rsid w:val="007B407A"/>
    <w:rsid w:val="007B41E4"/>
    <w:rsid w:val="007B4464"/>
    <w:rsid w:val="007B44DD"/>
    <w:rsid w:val="007B451F"/>
    <w:rsid w:val="007B46BE"/>
    <w:rsid w:val="007B488C"/>
    <w:rsid w:val="007B48A8"/>
    <w:rsid w:val="007B497C"/>
    <w:rsid w:val="007B49DB"/>
    <w:rsid w:val="007B4AE4"/>
    <w:rsid w:val="007B4B6A"/>
    <w:rsid w:val="007B4B6F"/>
    <w:rsid w:val="007B4BD7"/>
    <w:rsid w:val="007B4C75"/>
    <w:rsid w:val="007B4CDD"/>
    <w:rsid w:val="007B4DA3"/>
    <w:rsid w:val="007B4DF7"/>
    <w:rsid w:val="007B4E2B"/>
    <w:rsid w:val="007B4EAD"/>
    <w:rsid w:val="007B4EF1"/>
    <w:rsid w:val="007B4F01"/>
    <w:rsid w:val="007B50B9"/>
    <w:rsid w:val="007B521D"/>
    <w:rsid w:val="007B5220"/>
    <w:rsid w:val="007B5264"/>
    <w:rsid w:val="007B543F"/>
    <w:rsid w:val="007B5532"/>
    <w:rsid w:val="007B55C9"/>
    <w:rsid w:val="007B55D3"/>
    <w:rsid w:val="007B56DF"/>
    <w:rsid w:val="007B5791"/>
    <w:rsid w:val="007B58ED"/>
    <w:rsid w:val="007B59BD"/>
    <w:rsid w:val="007B59E4"/>
    <w:rsid w:val="007B5A0C"/>
    <w:rsid w:val="007B5A36"/>
    <w:rsid w:val="007B5A84"/>
    <w:rsid w:val="007B5AAF"/>
    <w:rsid w:val="007B5BB5"/>
    <w:rsid w:val="007B5CC8"/>
    <w:rsid w:val="007B5E17"/>
    <w:rsid w:val="007B5FA5"/>
    <w:rsid w:val="007B6064"/>
    <w:rsid w:val="007B60C8"/>
    <w:rsid w:val="007B60E6"/>
    <w:rsid w:val="007B62DB"/>
    <w:rsid w:val="007B6583"/>
    <w:rsid w:val="007B6687"/>
    <w:rsid w:val="007B669C"/>
    <w:rsid w:val="007B674A"/>
    <w:rsid w:val="007B6770"/>
    <w:rsid w:val="007B67AA"/>
    <w:rsid w:val="007B687B"/>
    <w:rsid w:val="007B68B4"/>
    <w:rsid w:val="007B699B"/>
    <w:rsid w:val="007B6B2C"/>
    <w:rsid w:val="007B6BFA"/>
    <w:rsid w:val="007B6CB9"/>
    <w:rsid w:val="007B6DAB"/>
    <w:rsid w:val="007B6E40"/>
    <w:rsid w:val="007B6E50"/>
    <w:rsid w:val="007B6E62"/>
    <w:rsid w:val="007B6F02"/>
    <w:rsid w:val="007B6F09"/>
    <w:rsid w:val="007B6F4C"/>
    <w:rsid w:val="007B6FF5"/>
    <w:rsid w:val="007B701B"/>
    <w:rsid w:val="007B70C7"/>
    <w:rsid w:val="007B713E"/>
    <w:rsid w:val="007B7194"/>
    <w:rsid w:val="007B71E3"/>
    <w:rsid w:val="007B7210"/>
    <w:rsid w:val="007B7355"/>
    <w:rsid w:val="007B7427"/>
    <w:rsid w:val="007B745E"/>
    <w:rsid w:val="007B7680"/>
    <w:rsid w:val="007B7747"/>
    <w:rsid w:val="007B78AE"/>
    <w:rsid w:val="007B7978"/>
    <w:rsid w:val="007B79A5"/>
    <w:rsid w:val="007B7B0C"/>
    <w:rsid w:val="007B7B7F"/>
    <w:rsid w:val="007B7C23"/>
    <w:rsid w:val="007B7CD4"/>
    <w:rsid w:val="007B7D1C"/>
    <w:rsid w:val="007B7D3D"/>
    <w:rsid w:val="007B7DE8"/>
    <w:rsid w:val="007B7FB5"/>
    <w:rsid w:val="007C0006"/>
    <w:rsid w:val="007C0062"/>
    <w:rsid w:val="007C00C7"/>
    <w:rsid w:val="007C0173"/>
    <w:rsid w:val="007C019A"/>
    <w:rsid w:val="007C026F"/>
    <w:rsid w:val="007C02E7"/>
    <w:rsid w:val="007C03E0"/>
    <w:rsid w:val="007C03FA"/>
    <w:rsid w:val="007C0727"/>
    <w:rsid w:val="007C0812"/>
    <w:rsid w:val="007C0A05"/>
    <w:rsid w:val="007C0BA3"/>
    <w:rsid w:val="007C0C04"/>
    <w:rsid w:val="007C0C11"/>
    <w:rsid w:val="007C0EED"/>
    <w:rsid w:val="007C0F02"/>
    <w:rsid w:val="007C0F9E"/>
    <w:rsid w:val="007C0FDB"/>
    <w:rsid w:val="007C111D"/>
    <w:rsid w:val="007C1138"/>
    <w:rsid w:val="007C1155"/>
    <w:rsid w:val="007C124B"/>
    <w:rsid w:val="007C1287"/>
    <w:rsid w:val="007C135C"/>
    <w:rsid w:val="007C13CF"/>
    <w:rsid w:val="007C1493"/>
    <w:rsid w:val="007C14B0"/>
    <w:rsid w:val="007C14B1"/>
    <w:rsid w:val="007C1506"/>
    <w:rsid w:val="007C165E"/>
    <w:rsid w:val="007C1662"/>
    <w:rsid w:val="007C16BC"/>
    <w:rsid w:val="007C198A"/>
    <w:rsid w:val="007C1A6F"/>
    <w:rsid w:val="007C1CA6"/>
    <w:rsid w:val="007C1E65"/>
    <w:rsid w:val="007C1EF4"/>
    <w:rsid w:val="007C1EFD"/>
    <w:rsid w:val="007C1F85"/>
    <w:rsid w:val="007C205A"/>
    <w:rsid w:val="007C2140"/>
    <w:rsid w:val="007C2180"/>
    <w:rsid w:val="007C2191"/>
    <w:rsid w:val="007C2200"/>
    <w:rsid w:val="007C2256"/>
    <w:rsid w:val="007C2266"/>
    <w:rsid w:val="007C2268"/>
    <w:rsid w:val="007C22D5"/>
    <w:rsid w:val="007C22D8"/>
    <w:rsid w:val="007C2398"/>
    <w:rsid w:val="007C249E"/>
    <w:rsid w:val="007C2526"/>
    <w:rsid w:val="007C2527"/>
    <w:rsid w:val="007C25B9"/>
    <w:rsid w:val="007C2707"/>
    <w:rsid w:val="007C2805"/>
    <w:rsid w:val="007C282E"/>
    <w:rsid w:val="007C2A5E"/>
    <w:rsid w:val="007C2B18"/>
    <w:rsid w:val="007C2CD6"/>
    <w:rsid w:val="007C2E54"/>
    <w:rsid w:val="007C2EEA"/>
    <w:rsid w:val="007C308C"/>
    <w:rsid w:val="007C30B3"/>
    <w:rsid w:val="007C30D8"/>
    <w:rsid w:val="007C3191"/>
    <w:rsid w:val="007C3225"/>
    <w:rsid w:val="007C339F"/>
    <w:rsid w:val="007C343B"/>
    <w:rsid w:val="007C34DA"/>
    <w:rsid w:val="007C364B"/>
    <w:rsid w:val="007C378E"/>
    <w:rsid w:val="007C3856"/>
    <w:rsid w:val="007C3B66"/>
    <w:rsid w:val="007C3C77"/>
    <w:rsid w:val="007C3C9F"/>
    <w:rsid w:val="007C3DFD"/>
    <w:rsid w:val="007C3F37"/>
    <w:rsid w:val="007C4020"/>
    <w:rsid w:val="007C4030"/>
    <w:rsid w:val="007C406F"/>
    <w:rsid w:val="007C40F9"/>
    <w:rsid w:val="007C4306"/>
    <w:rsid w:val="007C430A"/>
    <w:rsid w:val="007C43E3"/>
    <w:rsid w:val="007C4462"/>
    <w:rsid w:val="007C4510"/>
    <w:rsid w:val="007C45B4"/>
    <w:rsid w:val="007C47CE"/>
    <w:rsid w:val="007C4892"/>
    <w:rsid w:val="007C4917"/>
    <w:rsid w:val="007C4988"/>
    <w:rsid w:val="007C49FD"/>
    <w:rsid w:val="007C4A33"/>
    <w:rsid w:val="007C4A99"/>
    <w:rsid w:val="007C4A9E"/>
    <w:rsid w:val="007C4AC2"/>
    <w:rsid w:val="007C4B92"/>
    <w:rsid w:val="007C4C4A"/>
    <w:rsid w:val="007C4CAB"/>
    <w:rsid w:val="007C4CDF"/>
    <w:rsid w:val="007C4DFD"/>
    <w:rsid w:val="007C4EA5"/>
    <w:rsid w:val="007C4EB4"/>
    <w:rsid w:val="007C4F0F"/>
    <w:rsid w:val="007C4F1E"/>
    <w:rsid w:val="007C5017"/>
    <w:rsid w:val="007C5050"/>
    <w:rsid w:val="007C5141"/>
    <w:rsid w:val="007C5169"/>
    <w:rsid w:val="007C52A3"/>
    <w:rsid w:val="007C539D"/>
    <w:rsid w:val="007C54BD"/>
    <w:rsid w:val="007C54CF"/>
    <w:rsid w:val="007C54F6"/>
    <w:rsid w:val="007C54FD"/>
    <w:rsid w:val="007C5625"/>
    <w:rsid w:val="007C5665"/>
    <w:rsid w:val="007C570A"/>
    <w:rsid w:val="007C5736"/>
    <w:rsid w:val="007C5795"/>
    <w:rsid w:val="007C57D4"/>
    <w:rsid w:val="007C5945"/>
    <w:rsid w:val="007C59BA"/>
    <w:rsid w:val="007C5A75"/>
    <w:rsid w:val="007C5A94"/>
    <w:rsid w:val="007C5AD5"/>
    <w:rsid w:val="007C5ADE"/>
    <w:rsid w:val="007C5C65"/>
    <w:rsid w:val="007C5C94"/>
    <w:rsid w:val="007C5C97"/>
    <w:rsid w:val="007C5D18"/>
    <w:rsid w:val="007C5D4D"/>
    <w:rsid w:val="007C5DB1"/>
    <w:rsid w:val="007C5E45"/>
    <w:rsid w:val="007C5EEC"/>
    <w:rsid w:val="007C5FE9"/>
    <w:rsid w:val="007C6044"/>
    <w:rsid w:val="007C61D0"/>
    <w:rsid w:val="007C61F7"/>
    <w:rsid w:val="007C6482"/>
    <w:rsid w:val="007C64FD"/>
    <w:rsid w:val="007C675E"/>
    <w:rsid w:val="007C67AB"/>
    <w:rsid w:val="007C68BC"/>
    <w:rsid w:val="007C696F"/>
    <w:rsid w:val="007C6B76"/>
    <w:rsid w:val="007C6CEB"/>
    <w:rsid w:val="007C6D59"/>
    <w:rsid w:val="007C6DA9"/>
    <w:rsid w:val="007C6DBB"/>
    <w:rsid w:val="007C6EFE"/>
    <w:rsid w:val="007C6F99"/>
    <w:rsid w:val="007C7023"/>
    <w:rsid w:val="007C704E"/>
    <w:rsid w:val="007C715B"/>
    <w:rsid w:val="007C7173"/>
    <w:rsid w:val="007C724F"/>
    <w:rsid w:val="007C725C"/>
    <w:rsid w:val="007C72CF"/>
    <w:rsid w:val="007C7354"/>
    <w:rsid w:val="007C73AD"/>
    <w:rsid w:val="007C7415"/>
    <w:rsid w:val="007C7681"/>
    <w:rsid w:val="007C789A"/>
    <w:rsid w:val="007C794E"/>
    <w:rsid w:val="007C79C3"/>
    <w:rsid w:val="007C7A50"/>
    <w:rsid w:val="007C7B23"/>
    <w:rsid w:val="007C7B89"/>
    <w:rsid w:val="007C7C83"/>
    <w:rsid w:val="007C7CB4"/>
    <w:rsid w:val="007C7D11"/>
    <w:rsid w:val="007C7D1C"/>
    <w:rsid w:val="007C7D23"/>
    <w:rsid w:val="007C7DCD"/>
    <w:rsid w:val="007C7E52"/>
    <w:rsid w:val="007D0031"/>
    <w:rsid w:val="007D00D6"/>
    <w:rsid w:val="007D01BD"/>
    <w:rsid w:val="007D0220"/>
    <w:rsid w:val="007D027B"/>
    <w:rsid w:val="007D027D"/>
    <w:rsid w:val="007D056F"/>
    <w:rsid w:val="007D08CA"/>
    <w:rsid w:val="007D0910"/>
    <w:rsid w:val="007D09C3"/>
    <w:rsid w:val="007D0B18"/>
    <w:rsid w:val="007D0B40"/>
    <w:rsid w:val="007D0CC6"/>
    <w:rsid w:val="007D0CD8"/>
    <w:rsid w:val="007D0D9D"/>
    <w:rsid w:val="007D0ECE"/>
    <w:rsid w:val="007D0EFB"/>
    <w:rsid w:val="007D0FBC"/>
    <w:rsid w:val="007D1073"/>
    <w:rsid w:val="007D11D0"/>
    <w:rsid w:val="007D1412"/>
    <w:rsid w:val="007D15A9"/>
    <w:rsid w:val="007D1779"/>
    <w:rsid w:val="007D17A7"/>
    <w:rsid w:val="007D1840"/>
    <w:rsid w:val="007D1915"/>
    <w:rsid w:val="007D1935"/>
    <w:rsid w:val="007D1A2C"/>
    <w:rsid w:val="007D1B91"/>
    <w:rsid w:val="007D1BF3"/>
    <w:rsid w:val="007D2168"/>
    <w:rsid w:val="007D21BC"/>
    <w:rsid w:val="007D2352"/>
    <w:rsid w:val="007D2360"/>
    <w:rsid w:val="007D24F6"/>
    <w:rsid w:val="007D258A"/>
    <w:rsid w:val="007D25B4"/>
    <w:rsid w:val="007D25CC"/>
    <w:rsid w:val="007D2609"/>
    <w:rsid w:val="007D26EC"/>
    <w:rsid w:val="007D27BF"/>
    <w:rsid w:val="007D28B0"/>
    <w:rsid w:val="007D2A45"/>
    <w:rsid w:val="007D2CF4"/>
    <w:rsid w:val="007D2D81"/>
    <w:rsid w:val="007D2DC9"/>
    <w:rsid w:val="007D2EAB"/>
    <w:rsid w:val="007D2EEA"/>
    <w:rsid w:val="007D2F57"/>
    <w:rsid w:val="007D30D2"/>
    <w:rsid w:val="007D310E"/>
    <w:rsid w:val="007D3155"/>
    <w:rsid w:val="007D318F"/>
    <w:rsid w:val="007D322D"/>
    <w:rsid w:val="007D32F0"/>
    <w:rsid w:val="007D3355"/>
    <w:rsid w:val="007D3379"/>
    <w:rsid w:val="007D33E9"/>
    <w:rsid w:val="007D33EC"/>
    <w:rsid w:val="007D3498"/>
    <w:rsid w:val="007D3645"/>
    <w:rsid w:val="007D38FE"/>
    <w:rsid w:val="007D391D"/>
    <w:rsid w:val="007D3A14"/>
    <w:rsid w:val="007D3A5A"/>
    <w:rsid w:val="007D3AC5"/>
    <w:rsid w:val="007D3B75"/>
    <w:rsid w:val="007D3B79"/>
    <w:rsid w:val="007D3B7A"/>
    <w:rsid w:val="007D3C72"/>
    <w:rsid w:val="007D3CA4"/>
    <w:rsid w:val="007D3D22"/>
    <w:rsid w:val="007D3D76"/>
    <w:rsid w:val="007D3E19"/>
    <w:rsid w:val="007D3FEF"/>
    <w:rsid w:val="007D4038"/>
    <w:rsid w:val="007D409D"/>
    <w:rsid w:val="007D40E7"/>
    <w:rsid w:val="007D4210"/>
    <w:rsid w:val="007D4246"/>
    <w:rsid w:val="007D429A"/>
    <w:rsid w:val="007D42CD"/>
    <w:rsid w:val="007D4597"/>
    <w:rsid w:val="007D468B"/>
    <w:rsid w:val="007D4760"/>
    <w:rsid w:val="007D47F6"/>
    <w:rsid w:val="007D48CF"/>
    <w:rsid w:val="007D4915"/>
    <w:rsid w:val="007D49F6"/>
    <w:rsid w:val="007D4C61"/>
    <w:rsid w:val="007D4D6E"/>
    <w:rsid w:val="007D4DAF"/>
    <w:rsid w:val="007D4FBD"/>
    <w:rsid w:val="007D4FC7"/>
    <w:rsid w:val="007D510E"/>
    <w:rsid w:val="007D53E7"/>
    <w:rsid w:val="007D553B"/>
    <w:rsid w:val="007D559C"/>
    <w:rsid w:val="007D5696"/>
    <w:rsid w:val="007D576E"/>
    <w:rsid w:val="007D57E4"/>
    <w:rsid w:val="007D5820"/>
    <w:rsid w:val="007D58E9"/>
    <w:rsid w:val="007D59F3"/>
    <w:rsid w:val="007D5A0E"/>
    <w:rsid w:val="007D5B10"/>
    <w:rsid w:val="007D5B18"/>
    <w:rsid w:val="007D5B2F"/>
    <w:rsid w:val="007D5C80"/>
    <w:rsid w:val="007D5DCF"/>
    <w:rsid w:val="007D5E25"/>
    <w:rsid w:val="007D603E"/>
    <w:rsid w:val="007D6108"/>
    <w:rsid w:val="007D624C"/>
    <w:rsid w:val="007D62CE"/>
    <w:rsid w:val="007D64DD"/>
    <w:rsid w:val="007D6618"/>
    <w:rsid w:val="007D6676"/>
    <w:rsid w:val="007D6727"/>
    <w:rsid w:val="007D672F"/>
    <w:rsid w:val="007D6839"/>
    <w:rsid w:val="007D687B"/>
    <w:rsid w:val="007D68ED"/>
    <w:rsid w:val="007D695B"/>
    <w:rsid w:val="007D69AE"/>
    <w:rsid w:val="007D6A2A"/>
    <w:rsid w:val="007D6A44"/>
    <w:rsid w:val="007D6A54"/>
    <w:rsid w:val="007D6AED"/>
    <w:rsid w:val="007D6B1B"/>
    <w:rsid w:val="007D6CBA"/>
    <w:rsid w:val="007D6D56"/>
    <w:rsid w:val="007D6DD2"/>
    <w:rsid w:val="007D6E2C"/>
    <w:rsid w:val="007D7184"/>
    <w:rsid w:val="007D71E5"/>
    <w:rsid w:val="007D738C"/>
    <w:rsid w:val="007D73CF"/>
    <w:rsid w:val="007D7418"/>
    <w:rsid w:val="007D7597"/>
    <w:rsid w:val="007D75C5"/>
    <w:rsid w:val="007D763C"/>
    <w:rsid w:val="007D76A2"/>
    <w:rsid w:val="007D77D7"/>
    <w:rsid w:val="007D79B5"/>
    <w:rsid w:val="007D7C1F"/>
    <w:rsid w:val="007D7CF9"/>
    <w:rsid w:val="007D7D54"/>
    <w:rsid w:val="007D7F22"/>
    <w:rsid w:val="007E005D"/>
    <w:rsid w:val="007E00FA"/>
    <w:rsid w:val="007E01C2"/>
    <w:rsid w:val="007E01C4"/>
    <w:rsid w:val="007E01F2"/>
    <w:rsid w:val="007E0261"/>
    <w:rsid w:val="007E02F9"/>
    <w:rsid w:val="007E043E"/>
    <w:rsid w:val="007E049D"/>
    <w:rsid w:val="007E05C3"/>
    <w:rsid w:val="007E06DB"/>
    <w:rsid w:val="007E0767"/>
    <w:rsid w:val="007E082A"/>
    <w:rsid w:val="007E08BF"/>
    <w:rsid w:val="007E08FE"/>
    <w:rsid w:val="007E0913"/>
    <w:rsid w:val="007E0972"/>
    <w:rsid w:val="007E09AD"/>
    <w:rsid w:val="007E0ABB"/>
    <w:rsid w:val="007E0B8F"/>
    <w:rsid w:val="007E0B9B"/>
    <w:rsid w:val="007E0C0E"/>
    <w:rsid w:val="007E0D2C"/>
    <w:rsid w:val="007E0DF4"/>
    <w:rsid w:val="007E0E63"/>
    <w:rsid w:val="007E0E68"/>
    <w:rsid w:val="007E122F"/>
    <w:rsid w:val="007E132E"/>
    <w:rsid w:val="007E1370"/>
    <w:rsid w:val="007E13F2"/>
    <w:rsid w:val="007E1408"/>
    <w:rsid w:val="007E149A"/>
    <w:rsid w:val="007E14E2"/>
    <w:rsid w:val="007E157A"/>
    <w:rsid w:val="007E169A"/>
    <w:rsid w:val="007E16D9"/>
    <w:rsid w:val="007E16DF"/>
    <w:rsid w:val="007E1791"/>
    <w:rsid w:val="007E18D7"/>
    <w:rsid w:val="007E1912"/>
    <w:rsid w:val="007E1917"/>
    <w:rsid w:val="007E1A42"/>
    <w:rsid w:val="007E1C3C"/>
    <w:rsid w:val="007E1C73"/>
    <w:rsid w:val="007E1DE9"/>
    <w:rsid w:val="007E207D"/>
    <w:rsid w:val="007E2143"/>
    <w:rsid w:val="007E21BF"/>
    <w:rsid w:val="007E21DF"/>
    <w:rsid w:val="007E21F1"/>
    <w:rsid w:val="007E2411"/>
    <w:rsid w:val="007E24D2"/>
    <w:rsid w:val="007E2536"/>
    <w:rsid w:val="007E2711"/>
    <w:rsid w:val="007E273D"/>
    <w:rsid w:val="007E2784"/>
    <w:rsid w:val="007E27E0"/>
    <w:rsid w:val="007E27EF"/>
    <w:rsid w:val="007E2810"/>
    <w:rsid w:val="007E2873"/>
    <w:rsid w:val="007E2889"/>
    <w:rsid w:val="007E29A5"/>
    <w:rsid w:val="007E2A81"/>
    <w:rsid w:val="007E2BA2"/>
    <w:rsid w:val="007E2C4B"/>
    <w:rsid w:val="007E2C6A"/>
    <w:rsid w:val="007E2C8C"/>
    <w:rsid w:val="007E2EA7"/>
    <w:rsid w:val="007E2EDE"/>
    <w:rsid w:val="007E2F6A"/>
    <w:rsid w:val="007E2F8F"/>
    <w:rsid w:val="007E30B1"/>
    <w:rsid w:val="007E3180"/>
    <w:rsid w:val="007E3249"/>
    <w:rsid w:val="007E3296"/>
    <w:rsid w:val="007E32AD"/>
    <w:rsid w:val="007E32E6"/>
    <w:rsid w:val="007E3408"/>
    <w:rsid w:val="007E3494"/>
    <w:rsid w:val="007E3579"/>
    <w:rsid w:val="007E3596"/>
    <w:rsid w:val="007E35AC"/>
    <w:rsid w:val="007E362A"/>
    <w:rsid w:val="007E3746"/>
    <w:rsid w:val="007E3B05"/>
    <w:rsid w:val="007E3B78"/>
    <w:rsid w:val="007E3B97"/>
    <w:rsid w:val="007E3BE2"/>
    <w:rsid w:val="007E3BF6"/>
    <w:rsid w:val="007E3C2E"/>
    <w:rsid w:val="007E3D06"/>
    <w:rsid w:val="007E3F69"/>
    <w:rsid w:val="007E3FE2"/>
    <w:rsid w:val="007E4195"/>
    <w:rsid w:val="007E42CC"/>
    <w:rsid w:val="007E438E"/>
    <w:rsid w:val="007E444A"/>
    <w:rsid w:val="007E44D3"/>
    <w:rsid w:val="007E4574"/>
    <w:rsid w:val="007E464D"/>
    <w:rsid w:val="007E4669"/>
    <w:rsid w:val="007E480A"/>
    <w:rsid w:val="007E4916"/>
    <w:rsid w:val="007E4980"/>
    <w:rsid w:val="007E49AA"/>
    <w:rsid w:val="007E4BA5"/>
    <w:rsid w:val="007E4DB8"/>
    <w:rsid w:val="007E4DFC"/>
    <w:rsid w:val="007E4E39"/>
    <w:rsid w:val="007E4F05"/>
    <w:rsid w:val="007E4F4E"/>
    <w:rsid w:val="007E5151"/>
    <w:rsid w:val="007E5260"/>
    <w:rsid w:val="007E526E"/>
    <w:rsid w:val="007E52A5"/>
    <w:rsid w:val="007E52BD"/>
    <w:rsid w:val="007E53A8"/>
    <w:rsid w:val="007E5422"/>
    <w:rsid w:val="007E5453"/>
    <w:rsid w:val="007E555A"/>
    <w:rsid w:val="007E55C3"/>
    <w:rsid w:val="007E55EB"/>
    <w:rsid w:val="007E566A"/>
    <w:rsid w:val="007E57ED"/>
    <w:rsid w:val="007E5922"/>
    <w:rsid w:val="007E5957"/>
    <w:rsid w:val="007E59D9"/>
    <w:rsid w:val="007E5A31"/>
    <w:rsid w:val="007E5B54"/>
    <w:rsid w:val="007E5C5C"/>
    <w:rsid w:val="007E5EBF"/>
    <w:rsid w:val="007E5EDB"/>
    <w:rsid w:val="007E5EFF"/>
    <w:rsid w:val="007E5FBC"/>
    <w:rsid w:val="007E60C5"/>
    <w:rsid w:val="007E617F"/>
    <w:rsid w:val="007E62AE"/>
    <w:rsid w:val="007E6416"/>
    <w:rsid w:val="007E6464"/>
    <w:rsid w:val="007E64B3"/>
    <w:rsid w:val="007E650C"/>
    <w:rsid w:val="007E6526"/>
    <w:rsid w:val="007E6551"/>
    <w:rsid w:val="007E65AE"/>
    <w:rsid w:val="007E65B2"/>
    <w:rsid w:val="007E6933"/>
    <w:rsid w:val="007E6981"/>
    <w:rsid w:val="007E6AD0"/>
    <w:rsid w:val="007E6BC7"/>
    <w:rsid w:val="007E6D57"/>
    <w:rsid w:val="007E6E0A"/>
    <w:rsid w:val="007E6E91"/>
    <w:rsid w:val="007E6F39"/>
    <w:rsid w:val="007E6FF1"/>
    <w:rsid w:val="007E7199"/>
    <w:rsid w:val="007E71B2"/>
    <w:rsid w:val="007E72AC"/>
    <w:rsid w:val="007E72B0"/>
    <w:rsid w:val="007E734E"/>
    <w:rsid w:val="007E73BF"/>
    <w:rsid w:val="007E7426"/>
    <w:rsid w:val="007E7461"/>
    <w:rsid w:val="007E7587"/>
    <w:rsid w:val="007E76D1"/>
    <w:rsid w:val="007E7775"/>
    <w:rsid w:val="007E7777"/>
    <w:rsid w:val="007E78D5"/>
    <w:rsid w:val="007E793E"/>
    <w:rsid w:val="007E7B30"/>
    <w:rsid w:val="007E7E27"/>
    <w:rsid w:val="007E7E3C"/>
    <w:rsid w:val="007E7EC1"/>
    <w:rsid w:val="007E7EDF"/>
    <w:rsid w:val="007E7FD6"/>
    <w:rsid w:val="007F006D"/>
    <w:rsid w:val="007F0075"/>
    <w:rsid w:val="007F0211"/>
    <w:rsid w:val="007F028E"/>
    <w:rsid w:val="007F02AB"/>
    <w:rsid w:val="007F02C2"/>
    <w:rsid w:val="007F0464"/>
    <w:rsid w:val="007F052A"/>
    <w:rsid w:val="007F0600"/>
    <w:rsid w:val="007F0662"/>
    <w:rsid w:val="007F06E2"/>
    <w:rsid w:val="007F0838"/>
    <w:rsid w:val="007F083F"/>
    <w:rsid w:val="007F0841"/>
    <w:rsid w:val="007F09FA"/>
    <w:rsid w:val="007F0A50"/>
    <w:rsid w:val="007F0BE4"/>
    <w:rsid w:val="007F0C98"/>
    <w:rsid w:val="007F0CEA"/>
    <w:rsid w:val="007F0E03"/>
    <w:rsid w:val="007F0FBC"/>
    <w:rsid w:val="007F10A2"/>
    <w:rsid w:val="007F10E1"/>
    <w:rsid w:val="007F1150"/>
    <w:rsid w:val="007F11B6"/>
    <w:rsid w:val="007F1212"/>
    <w:rsid w:val="007F12C9"/>
    <w:rsid w:val="007F1343"/>
    <w:rsid w:val="007F14E8"/>
    <w:rsid w:val="007F14EA"/>
    <w:rsid w:val="007F14F8"/>
    <w:rsid w:val="007F154E"/>
    <w:rsid w:val="007F15C3"/>
    <w:rsid w:val="007F16BD"/>
    <w:rsid w:val="007F1722"/>
    <w:rsid w:val="007F17CA"/>
    <w:rsid w:val="007F1811"/>
    <w:rsid w:val="007F1D99"/>
    <w:rsid w:val="007F1EDC"/>
    <w:rsid w:val="007F1EF0"/>
    <w:rsid w:val="007F1F3F"/>
    <w:rsid w:val="007F1F57"/>
    <w:rsid w:val="007F2005"/>
    <w:rsid w:val="007F215A"/>
    <w:rsid w:val="007F219C"/>
    <w:rsid w:val="007F2338"/>
    <w:rsid w:val="007F23C5"/>
    <w:rsid w:val="007F247D"/>
    <w:rsid w:val="007F24B0"/>
    <w:rsid w:val="007F2508"/>
    <w:rsid w:val="007F257D"/>
    <w:rsid w:val="007F25CE"/>
    <w:rsid w:val="007F268D"/>
    <w:rsid w:val="007F26A0"/>
    <w:rsid w:val="007F291C"/>
    <w:rsid w:val="007F2B12"/>
    <w:rsid w:val="007F2B44"/>
    <w:rsid w:val="007F2B8F"/>
    <w:rsid w:val="007F2BBA"/>
    <w:rsid w:val="007F2BBC"/>
    <w:rsid w:val="007F2BF6"/>
    <w:rsid w:val="007F2C73"/>
    <w:rsid w:val="007F2CC8"/>
    <w:rsid w:val="007F2CCD"/>
    <w:rsid w:val="007F2D28"/>
    <w:rsid w:val="007F2E24"/>
    <w:rsid w:val="007F2EF2"/>
    <w:rsid w:val="007F2F43"/>
    <w:rsid w:val="007F2F65"/>
    <w:rsid w:val="007F30DD"/>
    <w:rsid w:val="007F30F9"/>
    <w:rsid w:val="007F310C"/>
    <w:rsid w:val="007F3115"/>
    <w:rsid w:val="007F3146"/>
    <w:rsid w:val="007F3148"/>
    <w:rsid w:val="007F32DB"/>
    <w:rsid w:val="007F33E9"/>
    <w:rsid w:val="007F3454"/>
    <w:rsid w:val="007F358F"/>
    <w:rsid w:val="007F3614"/>
    <w:rsid w:val="007F3687"/>
    <w:rsid w:val="007F36FC"/>
    <w:rsid w:val="007F36FF"/>
    <w:rsid w:val="007F3709"/>
    <w:rsid w:val="007F37A1"/>
    <w:rsid w:val="007F387F"/>
    <w:rsid w:val="007F3895"/>
    <w:rsid w:val="007F3A32"/>
    <w:rsid w:val="007F3AD8"/>
    <w:rsid w:val="007F3C1D"/>
    <w:rsid w:val="007F3D82"/>
    <w:rsid w:val="007F3D8A"/>
    <w:rsid w:val="007F3DA1"/>
    <w:rsid w:val="007F3DC9"/>
    <w:rsid w:val="007F3DCF"/>
    <w:rsid w:val="007F40BE"/>
    <w:rsid w:val="007F419D"/>
    <w:rsid w:val="007F41E7"/>
    <w:rsid w:val="007F4208"/>
    <w:rsid w:val="007F42D4"/>
    <w:rsid w:val="007F4327"/>
    <w:rsid w:val="007F438F"/>
    <w:rsid w:val="007F4486"/>
    <w:rsid w:val="007F467F"/>
    <w:rsid w:val="007F4738"/>
    <w:rsid w:val="007F47A2"/>
    <w:rsid w:val="007F4800"/>
    <w:rsid w:val="007F48E0"/>
    <w:rsid w:val="007F4921"/>
    <w:rsid w:val="007F4A1D"/>
    <w:rsid w:val="007F4AE4"/>
    <w:rsid w:val="007F4B04"/>
    <w:rsid w:val="007F4B40"/>
    <w:rsid w:val="007F4C79"/>
    <w:rsid w:val="007F4F64"/>
    <w:rsid w:val="007F4F9F"/>
    <w:rsid w:val="007F5169"/>
    <w:rsid w:val="007F51CE"/>
    <w:rsid w:val="007F5485"/>
    <w:rsid w:val="007F54D1"/>
    <w:rsid w:val="007F55A1"/>
    <w:rsid w:val="007F5624"/>
    <w:rsid w:val="007F575B"/>
    <w:rsid w:val="007F5766"/>
    <w:rsid w:val="007F577D"/>
    <w:rsid w:val="007F5845"/>
    <w:rsid w:val="007F59EC"/>
    <w:rsid w:val="007F5A74"/>
    <w:rsid w:val="007F5B58"/>
    <w:rsid w:val="007F5C22"/>
    <w:rsid w:val="007F5C3B"/>
    <w:rsid w:val="007F5C92"/>
    <w:rsid w:val="007F5E24"/>
    <w:rsid w:val="007F5F19"/>
    <w:rsid w:val="007F5F45"/>
    <w:rsid w:val="007F615D"/>
    <w:rsid w:val="007F618F"/>
    <w:rsid w:val="007F62D0"/>
    <w:rsid w:val="007F6349"/>
    <w:rsid w:val="007F6382"/>
    <w:rsid w:val="007F6399"/>
    <w:rsid w:val="007F63EB"/>
    <w:rsid w:val="007F641B"/>
    <w:rsid w:val="007F64F6"/>
    <w:rsid w:val="007F654A"/>
    <w:rsid w:val="007F667A"/>
    <w:rsid w:val="007F67EB"/>
    <w:rsid w:val="007F6836"/>
    <w:rsid w:val="007F6884"/>
    <w:rsid w:val="007F6B9D"/>
    <w:rsid w:val="007F6BD2"/>
    <w:rsid w:val="007F6D71"/>
    <w:rsid w:val="007F6E18"/>
    <w:rsid w:val="007F6E75"/>
    <w:rsid w:val="007F6EF3"/>
    <w:rsid w:val="007F70AD"/>
    <w:rsid w:val="007F713A"/>
    <w:rsid w:val="007F726C"/>
    <w:rsid w:val="007F7293"/>
    <w:rsid w:val="007F7296"/>
    <w:rsid w:val="007F72F7"/>
    <w:rsid w:val="007F72FA"/>
    <w:rsid w:val="007F7376"/>
    <w:rsid w:val="007F7412"/>
    <w:rsid w:val="007F749B"/>
    <w:rsid w:val="007F74CE"/>
    <w:rsid w:val="007F753E"/>
    <w:rsid w:val="007F76B1"/>
    <w:rsid w:val="007F76B7"/>
    <w:rsid w:val="007F780F"/>
    <w:rsid w:val="007F7862"/>
    <w:rsid w:val="007F78C6"/>
    <w:rsid w:val="007F78FF"/>
    <w:rsid w:val="007F7971"/>
    <w:rsid w:val="007F79F2"/>
    <w:rsid w:val="007F7A7B"/>
    <w:rsid w:val="007F7AF5"/>
    <w:rsid w:val="007F7CD7"/>
    <w:rsid w:val="007F7CEC"/>
    <w:rsid w:val="007F7E1C"/>
    <w:rsid w:val="007F7EA3"/>
    <w:rsid w:val="0080000D"/>
    <w:rsid w:val="008000ED"/>
    <w:rsid w:val="0080015A"/>
    <w:rsid w:val="00800275"/>
    <w:rsid w:val="008002B1"/>
    <w:rsid w:val="008002D8"/>
    <w:rsid w:val="00800496"/>
    <w:rsid w:val="008005FD"/>
    <w:rsid w:val="0080064A"/>
    <w:rsid w:val="0080065C"/>
    <w:rsid w:val="00800675"/>
    <w:rsid w:val="00800688"/>
    <w:rsid w:val="0080096F"/>
    <w:rsid w:val="00800AA9"/>
    <w:rsid w:val="00800B26"/>
    <w:rsid w:val="00800E10"/>
    <w:rsid w:val="00800E1C"/>
    <w:rsid w:val="00800E37"/>
    <w:rsid w:val="00800E69"/>
    <w:rsid w:val="008010E6"/>
    <w:rsid w:val="00801105"/>
    <w:rsid w:val="00801174"/>
    <w:rsid w:val="0080119F"/>
    <w:rsid w:val="00801267"/>
    <w:rsid w:val="0080134F"/>
    <w:rsid w:val="00801388"/>
    <w:rsid w:val="00801473"/>
    <w:rsid w:val="00801520"/>
    <w:rsid w:val="00801593"/>
    <w:rsid w:val="008015A3"/>
    <w:rsid w:val="00801648"/>
    <w:rsid w:val="0080168A"/>
    <w:rsid w:val="008016D2"/>
    <w:rsid w:val="008016D9"/>
    <w:rsid w:val="0080179E"/>
    <w:rsid w:val="00801842"/>
    <w:rsid w:val="008018A6"/>
    <w:rsid w:val="00801A94"/>
    <w:rsid w:val="00801D1B"/>
    <w:rsid w:val="00801DB1"/>
    <w:rsid w:val="00801E08"/>
    <w:rsid w:val="00801E2E"/>
    <w:rsid w:val="00801E30"/>
    <w:rsid w:val="00801E97"/>
    <w:rsid w:val="00801F50"/>
    <w:rsid w:val="008020B9"/>
    <w:rsid w:val="008020D1"/>
    <w:rsid w:val="0080220A"/>
    <w:rsid w:val="008023FE"/>
    <w:rsid w:val="0080240B"/>
    <w:rsid w:val="008024FB"/>
    <w:rsid w:val="00802511"/>
    <w:rsid w:val="008027C8"/>
    <w:rsid w:val="008028A0"/>
    <w:rsid w:val="00802939"/>
    <w:rsid w:val="00802981"/>
    <w:rsid w:val="00802A99"/>
    <w:rsid w:val="00802C10"/>
    <w:rsid w:val="00802D03"/>
    <w:rsid w:val="00802D96"/>
    <w:rsid w:val="00802E1D"/>
    <w:rsid w:val="00802ECD"/>
    <w:rsid w:val="00802F17"/>
    <w:rsid w:val="00802F67"/>
    <w:rsid w:val="00803344"/>
    <w:rsid w:val="008036FE"/>
    <w:rsid w:val="0080371B"/>
    <w:rsid w:val="00803812"/>
    <w:rsid w:val="00803832"/>
    <w:rsid w:val="0080397B"/>
    <w:rsid w:val="0080397D"/>
    <w:rsid w:val="008039A2"/>
    <w:rsid w:val="00803A63"/>
    <w:rsid w:val="00803B73"/>
    <w:rsid w:val="00803D80"/>
    <w:rsid w:val="00803EC8"/>
    <w:rsid w:val="00803EE9"/>
    <w:rsid w:val="00803F34"/>
    <w:rsid w:val="0080407C"/>
    <w:rsid w:val="0080419E"/>
    <w:rsid w:val="008041C6"/>
    <w:rsid w:val="0080427D"/>
    <w:rsid w:val="008042C3"/>
    <w:rsid w:val="0080446C"/>
    <w:rsid w:val="008044E5"/>
    <w:rsid w:val="00804565"/>
    <w:rsid w:val="00804575"/>
    <w:rsid w:val="00804667"/>
    <w:rsid w:val="00804797"/>
    <w:rsid w:val="008048D4"/>
    <w:rsid w:val="008048ED"/>
    <w:rsid w:val="008049F5"/>
    <w:rsid w:val="00804B42"/>
    <w:rsid w:val="00804BAC"/>
    <w:rsid w:val="00804D41"/>
    <w:rsid w:val="00804D90"/>
    <w:rsid w:val="00804E8E"/>
    <w:rsid w:val="00804EA9"/>
    <w:rsid w:val="00804EE9"/>
    <w:rsid w:val="00805245"/>
    <w:rsid w:val="008052D6"/>
    <w:rsid w:val="008052DA"/>
    <w:rsid w:val="00805442"/>
    <w:rsid w:val="0080545F"/>
    <w:rsid w:val="0080549C"/>
    <w:rsid w:val="008054A7"/>
    <w:rsid w:val="008054ED"/>
    <w:rsid w:val="0080551F"/>
    <w:rsid w:val="00805574"/>
    <w:rsid w:val="00805670"/>
    <w:rsid w:val="00805692"/>
    <w:rsid w:val="0080577C"/>
    <w:rsid w:val="0080578C"/>
    <w:rsid w:val="008057B6"/>
    <w:rsid w:val="00805856"/>
    <w:rsid w:val="00805863"/>
    <w:rsid w:val="008058EB"/>
    <w:rsid w:val="00805A13"/>
    <w:rsid w:val="00805BA6"/>
    <w:rsid w:val="00805D9C"/>
    <w:rsid w:val="00805E3D"/>
    <w:rsid w:val="00805E58"/>
    <w:rsid w:val="00805E68"/>
    <w:rsid w:val="00806078"/>
    <w:rsid w:val="008060FE"/>
    <w:rsid w:val="008061C3"/>
    <w:rsid w:val="008061C6"/>
    <w:rsid w:val="008061CB"/>
    <w:rsid w:val="0080631B"/>
    <w:rsid w:val="00806557"/>
    <w:rsid w:val="008065B2"/>
    <w:rsid w:val="00806683"/>
    <w:rsid w:val="008066C0"/>
    <w:rsid w:val="008066ED"/>
    <w:rsid w:val="00806791"/>
    <w:rsid w:val="008067B6"/>
    <w:rsid w:val="0080682B"/>
    <w:rsid w:val="0080693A"/>
    <w:rsid w:val="0080696F"/>
    <w:rsid w:val="008069F8"/>
    <w:rsid w:val="00806B6B"/>
    <w:rsid w:val="00806B7B"/>
    <w:rsid w:val="00806DBA"/>
    <w:rsid w:val="00806FAE"/>
    <w:rsid w:val="00806FE0"/>
    <w:rsid w:val="00806FEA"/>
    <w:rsid w:val="00807056"/>
    <w:rsid w:val="0080706C"/>
    <w:rsid w:val="00807091"/>
    <w:rsid w:val="008070CF"/>
    <w:rsid w:val="008071A4"/>
    <w:rsid w:val="008071AC"/>
    <w:rsid w:val="0080736D"/>
    <w:rsid w:val="008076E5"/>
    <w:rsid w:val="008076FB"/>
    <w:rsid w:val="0080778E"/>
    <w:rsid w:val="008078B3"/>
    <w:rsid w:val="0080792D"/>
    <w:rsid w:val="00807AEE"/>
    <w:rsid w:val="00807B05"/>
    <w:rsid w:val="00807B0C"/>
    <w:rsid w:val="00807B39"/>
    <w:rsid w:val="00807C2C"/>
    <w:rsid w:val="00807E73"/>
    <w:rsid w:val="00807F24"/>
    <w:rsid w:val="008101FD"/>
    <w:rsid w:val="0081020E"/>
    <w:rsid w:val="0081025F"/>
    <w:rsid w:val="008102A2"/>
    <w:rsid w:val="008104C1"/>
    <w:rsid w:val="0081063E"/>
    <w:rsid w:val="0081067A"/>
    <w:rsid w:val="00810789"/>
    <w:rsid w:val="0081092E"/>
    <w:rsid w:val="00810D0B"/>
    <w:rsid w:val="00810F46"/>
    <w:rsid w:val="008111E3"/>
    <w:rsid w:val="00811296"/>
    <w:rsid w:val="008113A1"/>
    <w:rsid w:val="008113C1"/>
    <w:rsid w:val="0081150A"/>
    <w:rsid w:val="0081152C"/>
    <w:rsid w:val="00811532"/>
    <w:rsid w:val="00811568"/>
    <w:rsid w:val="008115F7"/>
    <w:rsid w:val="0081166B"/>
    <w:rsid w:val="00811752"/>
    <w:rsid w:val="0081175E"/>
    <w:rsid w:val="008117B3"/>
    <w:rsid w:val="008117CC"/>
    <w:rsid w:val="00811872"/>
    <w:rsid w:val="00811905"/>
    <w:rsid w:val="0081198B"/>
    <w:rsid w:val="008119E0"/>
    <w:rsid w:val="00811A65"/>
    <w:rsid w:val="00811AE1"/>
    <w:rsid w:val="00811B9F"/>
    <w:rsid w:val="00811BE4"/>
    <w:rsid w:val="00811C6C"/>
    <w:rsid w:val="00811C82"/>
    <w:rsid w:val="00811CDC"/>
    <w:rsid w:val="00811DB6"/>
    <w:rsid w:val="00811E12"/>
    <w:rsid w:val="00811E98"/>
    <w:rsid w:val="00811EC1"/>
    <w:rsid w:val="00811F9D"/>
    <w:rsid w:val="00811FEE"/>
    <w:rsid w:val="0081204A"/>
    <w:rsid w:val="0081218F"/>
    <w:rsid w:val="00812192"/>
    <w:rsid w:val="0081224C"/>
    <w:rsid w:val="00812297"/>
    <w:rsid w:val="008122C0"/>
    <w:rsid w:val="00812338"/>
    <w:rsid w:val="00812555"/>
    <w:rsid w:val="008125B3"/>
    <w:rsid w:val="008125E8"/>
    <w:rsid w:val="00812726"/>
    <w:rsid w:val="00812856"/>
    <w:rsid w:val="0081290D"/>
    <w:rsid w:val="00812973"/>
    <w:rsid w:val="008129BE"/>
    <w:rsid w:val="00812A40"/>
    <w:rsid w:val="00812A99"/>
    <w:rsid w:val="00812B01"/>
    <w:rsid w:val="00812C14"/>
    <w:rsid w:val="00812C30"/>
    <w:rsid w:val="00812C89"/>
    <w:rsid w:val="00812C9C"/>
    <w:rsid w:val="00812E62"/>
    <w:rsid w:val="00812EED"/>
    <w:rsid w:val="00812F22"/>
    <w:rsid w:val="00812F65"/>
    <w:rsid w:val="00812F68"/>
    <w:rsid w:val="0081300A"/>
    <w:rsid w:val="0081300C"/>
    <w:rsid w:val="00813016"/>
    <w:rsid w:val="008132D3"/>
    <w:rsid w:val="00813318"/>
    <w:rsid w:val="0081332B"/>
    <w:rsid w:val="00813362"/>
    <w:rsid w:val="008133B2"/>
    <w:rsid w:val="008133CA"/>
    <w:rsid w:val="00813480"/>
    <w:rsid w:val="008136B0"/>
    <w:rsid w:val="008137AB"/>
    <w:rsid w:val="008138ED"/>
    <w:rsid w:val="008138F7"/>
    <w:rsid w:val="008138FA"/>
    <w:rsid w:val="00813997"/>
    <w:rsid w:val="00813B1D"/>
    <w:rsid w:val="00813BD8"/>
    <w:rsid w:val="00813DD4"/>
    <w:rsid w:val="0081405B"/>
    <w:rsid w:val="008140BE"/>
    <w:rsid w:val="0081410F"/>
    <w:rsid w:val="008141A9"/>
    <w:rsid w:val="0081427D"/>
    <w:rsid w:val="00814325"/>
    <w:rsid w:val="00814359"/>
    <w:rsid w:val="008144B7"/>
    <w:rsid w:val="008145EF"/>
    <w:rsid w:val="0081464C"/>
    <w:rsid w:val="00814674"/>
    <w:rsid w:val="00814715"/>
    <w:rsid w:val="0081475E"/>
    <w:rsid w:val="008147D9"/>
    <w:rsid w:val="008148DF"/>
    <w:rsid w:val="00814972"/>
    <w:rsid w:val="00814A04"/>
    <w:rsid w:val="00814A3F"/>
    <w:rsid w:val="00814A61"/>
    <w:rsid w:val="00814B0A"/>
    <w:rsid w:val="00814CEC"/>
    <w:rsid w:val="00814D38"/>
    <w:rsid w:val="00814D48"/>
    <w:rsid w:val="00814EAB"/>
    <w:rsid w:val="0081515C"/>
    <w:rsid w:val="0081523F"/>
    <w:rsid w:val="00815295"/>
    <w:rsid w:val="008154B9"/>
    <w:rsid w:val="0081551B"/>
    <w:rsid w:val="00815588"/>
    <w:rsid w:val="00815598"/>
    <w:rsid w:val="008156F8"/>
    <w:rsid w:val="00815920"/>
    <w:rsid w:val="00815966"/>
    <w:rsid w:val="00815A0C"/>
    <w:rsid w:val="00815AE3"/>
    <w:rsid w:val="00815B1F"/>
    <w:rsid w:val="00815B4E"/>
    <w:rsid w:val="00815B87"/>
    <w:rsid w:val="00815C5D"/>
    <w:rsid w:val="00815E44"/>
    <w:rsid w:val="00815FA4"/>
    <w:rsid w:val="00816029"/>
    <w:rsid w:val="00816036"/>
    <w:rsid w:val="0081606E"/>
    <w:rsid w:val="008160E4"/>
    <w:rsid w:val="008160F5"/>
    <w:rsid w:val="0081612F"/>
    <w:rsid w:val="00816160"/>
    <w:rsid w:val="00816175"/>
    <w:rsid w:val="0081620B"/>
    <w:rsid w:val="008162C7"/>
    <w:rsid w:val="0081652F"/>
    <w:rsid w:val="008165B7"/>
    <w:rsid w:val="008166D6"/>
    <w:rsid w:val="00816793"/>
    <w:rsid w:val="008167B2"/>
    <w:rsid w:val="008167BB"/>
    <w:rsid w:val="008167D2"/>
    <w:rsid w:val="008167D8"/>
    <w:rsid w:val="0081686B"/>
    <w:rsid w:val="00816875"/>
    <w:rsid w:val="0081688A"/>
    <w:rsid w:val="008168F3"/>
    <w:rsid w:val="00816B48"/>
    <w:rsid w:val="00816BDB"/>
    <w:rsid w:val="00816DFF"/>
    <w:rsid w:val="00816F49"/>
    <w:rsid w:val="00816F7F"/>
    <w:rsid w:val="00816FF2"/>
    <w:rsid w:val="008170A1"/>
    <w:rsid w:val="00817231"/>
    <w:rsid w:val="0081728D"/>
    <w:rsid w:val="008172EF"/>
    <w:rsid w:val="00817321"/>
    <w:rsid w:val="00817371"/>
    <w:rsid w:val="0081743F"/>
    <w:rsid w:val="00817576"/>
    <w:rsid w:val="008175C5"/>
    <w:rsid w:val="008175FF"/>
    <w:rsid w:val="008176ED"/>
    <w:rsid w:val="008176FF"/>
    <w:rsid w:val="008178A0"/>
    <w:rsid w:val="00817914"/>
    <w:rsid w:val="00817943"/>
    <w:rsid w:val="00817AD9"/>
    <w:rsid w:val="00817B5E"/>
    <w:rsid w:val="00817B78"/>
    <w:rsid w:val="00817CCE"/>
    <w:rsid w:val="00817D07"/>
    <w:rsid w:val="00817DB4"/>
    <w:rsid w:val="00817E7D"/>
    <w:rsid w:val="00817F41"/>
    <w:rsid w:val="00820038"/>
    <w:rsid w:val="00820096"/>
    <w:rsid w:val="008200AD"/>
    <w:rsid w:val="00820190"/>
    <w:rsid w:val="008201FC"/>
    <w:rsid w:val="0082033F"/>
    <w:rsid w:val="00820340"/>
    <w:rsid w:val="00820375"/>
    <w:rsid w:val="008204A7"/>
    <w:rsid w:val="008205C1"/>
    <w:rsid w:val="008206AE"/>
    <w:rsid w:val="0082082C"/>
    <w:rsid w:val="008208C6"/>
    <w:rsid w:val="00820C93"/>
    <w:rsid w:val="00820CC7"/>
    <w:rsid w:val="00820D1A"/>
    <w:rsid w:val="00820D86"/>
    <w:rsid w:val="00820DB0"/>
    <w:rsid w:val="00820EFE"/>
    <w:rsid w:val="00820FD7"/>
    <w:rsid w:val="008210C4"/>
    <w:rsid w:val="008210F3"/>
    <w:rsid w:val="00821141"/>
    <w:rsid w:val="008212BE"/>
    <w:rsid w:val="008212CB"/>
    <w:rsid w:val="00821448"/>
    <w:rsid w:val="00821449"/>
    <w:rsid w:val="0082156A"/>
    <w:rsid w:val="0082156F"/>
    <w:rsid w:val="00821691"/>
    <w:rsid w:val="00821722"/>
    <w:rsid w:val="008218ED"/>
    <w:rsid w:val="00821929"/>
    <w:rsid w:val="00821996"/>
    <w:rsid w:val="00821A7A"/>
    <w:rsid w:val="00821BE4"/>
    <w:rsid w:val="00821C8D"/>
    <w:rsid w:val="00821CD4"/>
    <w:rsid w:val="00821CE1"/>
    <w:rsid w:val="00821DEE"/>
    <w:rsid w:val="00821E4B"/>
    <w:rsid w:val="00821E9A"/>
    <w:rsid w:val="00821F39"/>
    <w:rsid w:val="00821F78"/>
    <w:rsid w:val="00822016"/>
    <w:rsid w:val="0082203D"/>
    <w:rsid w:val="0082206A"/>
    <w:rsid w:val="0082210C"/>
    <w:rsid w:val="008221BE"/>
    <w:rsid w:val="008221C9"/>
    <w:rsid w:val="00822291"/>
    <w:rsid w:val="008222A7"/>
    <w:rsid w:val="008222E7"/>
    <w:rsid w:val="00822366"/>
    <w:rsid w:val="008223AE"/>
    <w:rsid w:val="008223F5"/>
    <w:rsid w:val="00822602"/>
    <w:rsid w:val="0082265C"/>
    <w:rsid w:val="0082272B"/>
    <w:rsid w:val="0082283D"/>
    <w:rsid w:val="00822840"/>
    <w:rsid w:val="00822907"/>
    <w:rsid w:val="00822927"/>
    <w:rsid w:val="0082294E"/>
    <w:rsid w:val="008229D8"/>
    <w:rsid w:val="00822AC5"/>
    <w:rsid w:val="00822AD0"/>
    <w:rsid w:val="00822B6F"/>
    <w:rsid w:val="00822BE0"/>
    <w:rsid w:val="00822C0A"/>
    <w:rsid w:val="00822C46"/>
    <w:rsid w:val="00822CB6"/>
    <w:rsid w:val="00822CCA"/>
    <w:rsid w:val="00822E61"/>
    <w:rsid w:val="00822E78"/>
    <w:rsid w:val="00822F11"/>
    <w:rsid w:val="00822FD6"/>
    <w:rsid w:val="00822FE1"/>
    <w:rsid w:val="00823036"/>
    <w:rsid w:val="00823136"/>
    <w:rsid w:val="008233D5"/>
    <w:rsid w:val="00823483"/>
    <w:rsid w:val="008234D0"/>
    <w:rsid w:val="008236F7"/>
    <w:rsid w:val="0082373D"/>
    <w:rsid w:val="008238BF"/>
    <w:rsid w:val="00823A7E"/>
    <w:rsid w:val="00823B50"/>
    <w:rsid w:val="00823BD0"/>
    <w:rsid w:val="00823BEF"/>
    <w:rsid w:val="00823C17"/>
    <w:rsid w:val="00823F75"/>
    <w:rsid w:val="0082405D"/>
    <w:rsid w:val="008240CF"/>
    <w:rsid w:val="0082410D"/>
    <w:rsid w:val="00824377"/>
    <w:rsid w:val="0082437C"/>
    <w:rsid w:val="0082441D"/>
    <w:rsid w:val="008244C8"/>
    <w:rsid w:val="00824513"/>
    <w:rsid w:val="0082464D"/>
    <w:rsid w:val="00824700"/>
    <w:rsid w:val="0082476F"/>
    <w:rsid w:val="008247BC"/>
    <w:rsid w:val="00824842"/>
    <w:rsid w:val="00824A45"/>
    <w:rsid w:val="00824ACB"/>
    <w:rsid w:val="00824B52"/>
    <w:rsid w:val="00824CC4"/>
    <w:rsid w:val="00824EFB"/>
    <w:rsid w:val="00824F1B"/>
    <w:rsid w:val="00824F80"/>
    <w:rsid w:val="008253E9"/>
    <w:rsid w:val="00825418"/>
    <w:rsid w:val="00825454"/>
    <w:rsid w:val="008257A6"/>
    <w:rsid w:val="00825814"/>
    <w:rsid w:val="00825822"/>
    <w:rsid w:val="00825914"/>
    <w:rsid w:val="008259A8"/>
    <w:rsid w:val="00825A10"/>
    <w:rsid w:val="00825A76"/>
    <w:rsid w:val="00825AA1"/>
    <w:rsid w:val="00825B01"/>
    <w:rsid w:val="00825B57"/>
    <w:rsid w:val="00825BC2"/>
    <w:rsid w:val="00825D73"/>
    <w:rsid w:val="00825F12"/>
    <w:rsid w:val="00825F20"/>
    <w:rsid w:val="00825F48"/>
    <w:rsid w:val="00826196"/>
    <w:rsid w:val="00826358"/>
    <w:rsid w:val="00826385"/>
    <w:rsid w:val="00826498"/>
    <w:rsid w:val="008264A6"/>
    <w:rsid w:val="008264BC"/>
    <w:rsid w:val="008264C3"/>
    <w:rsid w:val="008264D5"/>
    <w:rsid w:val="0082663B"/>
    <w:rsid w:val="00826711"/>
    <w:rsid w:val="008267E1"/>
    <w:rsid w:val="008268E1"/>
    <w:rsid w:val="0082697A"/>
    <w:rsid w:val="00826A7A"/>
    <w:rsid w:val="00826A89"/>
    <w:rsid w:val="00826AB6"/>
    <w:rsid w:val="00826BF5"/>
    <w:rsid w:val="00826C68"/>
    <w:rsid w:val="00826C6F"/>
    <w:rsid w:val="00826CEB"/>
    <w:rsid w:val="00826DFA"/>
    <w:rsid w:val="00826E16"/>
    <w:rsid w:val="00826EE7"/>
    <w:rsid w:val="00826FB4"/>
    <w:rsid w:val="00827026"/>
    <w:rsid w:val="008270C8"/>
    <w:rsid w:val="00827208"/>
    <w:rsid w:val="00827253"/>
    <w:rsid w:val="008275EB"/>
    <w:rsid w:val="008275EC"/>
    <w:rsid w:val="0082764B"/>
    <w:rsid w:val="00827713"/>
    <w:rsid w:val="0082784E"/>
    <w:rsid w:val="008278CA"/>
    <w:rsid w:val="008279D4"/>
    <w:rsid w:val="008279DD"/>
    <w:rsid w:val="00827B14"/>
    <w:rsid w:val="00827D17"/>
    <w:rsid w:val="00827D92"/>
    <w:rsid w:val="00827DDC"/>
    <w:rsid w:val="00827EAD"/>
    <w:rsid w:val="00827EDB"/>
    <w:rsid w:val="00827F92"/>
    <w:rsid w:val="00830226"/>
    <w:rsid w:val="0083045C"/>
    <w:rsid w:val="00830511"/>
    <w:rsid w:val="0083055C"/>
    <w:rsid w:val="008305A7"/>
    <w:rsid w:val="008305BD"/>
    <w:rsid w:val="0083064D"/>
    <w:rsid w:val="008308AE"/>
    <w:rsid w:val="0083096D"/>
    <w:rsid w:val="00830A0F"/>
    <w:rsid w:val="00830A52"/>
    <w:rsid w:val="00830A8F"/>
    <w:rsid w:val="00830AAC"/>
    <w:rsid w:val="00830AE2"/>
    <w:rsid w:val="00830B4B"/>
    <w:rsid w:val="00830BED"/>
    <w:rsid w:val="00830C59"/>
    <w:rsid w:val="00830CE0"/>
    <w:rsid w:val="00830DC2"/>
    <w:rsid w:val="00830E7E"/>
    <w:rsid w:val="00830E90"/>
    <w:rsid w:val="00830FB8"/>
    <w:rsid w:val="008310F2"/>
    <w:rsid w:val="00831192"/>
    <w:rsid w:val="008311A4"/>
    <w:rsid w:val="008311D0"/>
    <w:rsid w:val="00831265"/>
    <w:rsid w:val="00831279"/>
    <w:rsid w:val="008312CC"/>
    <w:rsid w:val="008314D2"/>
    <w:rsid w:val="00831506"/>
    <w:rsid w:val="0083150A"/>
    <w:rsid w:val="0083162A"/>
    <w:rsid w:val="0083162F"/>
    <w:rsid w:val="0083168B"/>
    <w:rsid w:val="00831731"/>
    <w:rsid w:val="00831735"/>
    <w:rsid w:val="008317D7"/>
    <w:rsid w:val="008317DA"/>
    <w:rsid w:val="00831872"/>
    <w:rsid w:val="00831884"/>
    <w:rsid w:val="008318C3"/>
    <w:rsid w:val="00831908"/>
    <w:rsid w:val="008319DC"/>
    <w:rsid w:val="00831A1D"/>
    <w:rsid w:val="00831A59"/>
    <w:rsid w:val="00831A82"/>
    <w:rsid w:val="00831B54"/>
    <w:rsid w:val="00831BFD"/>
    <w:rsid w:val="00831C2E"/>
    <w:rsid w:val="00831C90"/>
    <w:rsid w:val="00831CDC"/>
    <w:rsid w:val="00831E0E"/>
    <w:rsid w:val="00831ECB"/>
    <w:rsid w:val="00831F14"/>
    <w:rsid w:val="00832051"/>
    <w:rsid w:val="00832065"/>
    <w:rsid w:val="008320E0"/>
    <w:rsid w:val="0083214F"/>
    <w:rsid w:val="008321FF"/>
    <w:rsid w:val="00832273"/>
    <w:rsid w:val="0083245F"/>
    <w:rsid w:val="008324C1"/>
    <w:rsid w:val="008325C7"/>
    <w:rsid w:val="0083279E"/>
    <w:rsid w:val="008327B5"/>
    <w:rsid w:val="008327B7"/>
    <w:rsid w:val="008327D2"/>
    <w:rsid w:val="0083280C"/>
    <w:rsid w:val="0083291F"/>
    <w:rsid w:val="00832929"/>
    <w:rsid w:val="00832D40"/>
    <w:rsid w:val="00832EBA"/>
    <w:rsid w:val="008330F2"/>
    <w:rsid w:val="0083314A"/>
    <w:rsid w:val="0083323F"/>
    <w:rsid w:val="008332E8"/>
    <w:rsid w:val="008333DE"/>
    <w:rsid w:val="00833404"/>
    <w:rsid w:val="00833409"/>
    <w:rsid w:val="0083347B"/>
    <w:rsid w:val="0083347F"/>
    <w:rsid w:val="0083348A"/>
    <w:rsid w:val="0083351C"/>
    <w:rsid w:val="00833581"/>
    <w:rsid w:val="008335FF"/>
    <w:rsid w:val="008336F3"/>
    <w:rsid w:val="008337C2"/>
    <w:rsid w:val="0083382C"/>
    <w:rsid w:val="008338A3"/>
    <w:rsid w:val="00833A28"/>
    <w:rsid w:val="00833B6E"/>
    <w:rsid w:val="00833C65"/>
    <w:rsid w:val="00833D59"/>
    <w:rsid w:val="00833D60"/>
    <w:rsid w:val="00833D94"/>
    <w:rsid w:val="00833E05"/>
    <w:rsid w:val="00833F04"/>
    <w:rsid w:val="00833F92"/>
    <w:rsid w:val="0083405B"/>
    <w:rsid w:val="008340FB"/>
    <w:rsid w:val="0083419E"/>
    <w:rsid w:val="00834219"/>
    <w:rsid w:val="00834321"/>
    <w:rsid w:val="008344E1"/>
    <w:rsid w:val="008344E7"/>
    <w:rsid w:val="00834523"/>
    <w:rsid w:val="0083455F"/>
    <w:rsid w:val="008345AD"/>
    <w:rsid w:val="00834607"/>
    <w:rsid w:val="008346FA"/>
    <w:rsid w:val="008347FD"/>
    <w:rsid w:val="0083487A"/>
    <w:rsid w:val="0083489A"/>
    <w:rsid w:val="00834B01"/>
    <w:rsid w:val="00834B2F"/>
    <w:rsid w:val="00834C09"/>
    <w:rsid w:val="00834C8F"/>
    <w:rsid w:val="00834C9B"/>
    <w:rsid w:val="00834D11"/>
    <w:rsid w:val="00834D36"/>
    <w:rsid w:val="00834FBD"/>
    <w:rsid w:val="008350D0"/>
    <w:rsid w:val="00835193"/>
    <w:rsid w:val="008351FA"/>
    <w:rsid w:val="00835238"/>
    <w:rsid w:val="008352EE"/>
    <w:rsid w:val="008353AC"/>
    <w:rsid w:val="00835581"/>
    <w:rsid w:val="00835696"/>
    <w:rsid w:val="008356CA"/>
    <w:rsid w:val="008357A5"/>
    <w:rsid w:val="00835811"/>
    <w:rsid w:val="00835880"/>
    <w:rsid w:val="0083595B"/>
    <w:rsid w:val="008359D1"/>
    <w:rsid w:val="008359FE"/>
    <w:rsid w:val="00835A14"/>
    <w:rsid w:val="00835A19"/>
    <w:rsid w:val="00835B1A"/>
    <w:rsid w:val="00835B90"/>
    <w:rsid w:val="00835C0C"/>
    <w:rsid w:val="00835C77"/>
    <w:rsid w:val="00835D5F"/>
    <w:rsid w:val="00835E4D"/>
    <w:rsid w:val="00835F71"/>
    <w:rsid w:val="008360B7"/>
    <w:rsid w:val="00836214"/>
    <w:rsid w:val="00836260"/>
    <w:rsid w:val="008362C0"/>
    <w:rsid w:val="0083655A"/>
    <w:rsid w:val="008366FB"/>
    <w:rsid w:val="00836749"/>
    <w:rsid w:val="00836955"/>
    <w:rsid w:val="00836BD8"/>
    <w:rsid w:val="00836CB4"/>
    <w:rsid w:val="00836CF7"/>
    <w:rsid w:val="00836D3B"/>
    <w:rsid w:val="00836DC4"/>
    <w:rsid w:val="00836DE8"/>
    <w:rsid w:val="00836EB9"/>
    <w:rsid w:val="00836EF5"/>
    <w:rsid w:val="00836F8C"/>
    <w:rsid w:val="00836FC7"/>
    <w:rsid w:val="00836FDA"/>
    <w:rsid w:val="00837193"/>
    <w:rsid w:val="00837200"/>
    <w:rsid w:val="00837211"/>
    <w:rsid w:val="008374CD"/>
    <w:rsid w:val="00837557"/>
    <w:rsid w:val="0083768B"/>
    <w:rsid w:val="00837733"/>
    <w:rsid w:val="008377D2"/>
    <w:rsid w:val="0083784C"/>
    <w:rsid w:val="008378B6"/>
    <w:rsid w:val="00837A63"/>
    <w:rsid w:val="00837AE9"/>
    <w:rsid w:val="00837B14"/>
    <w:rsid w:val="00837C51"/>
    <w:rsid w:val="00837CA7"/>
    <w:rsid w:val="00837CC0"/>
    <w:rsid w:val="00837FB9"/>
    <w:rsid w:val="00837FD4"/>
    <w:rsid w:val="008400B9"/>
    <w:rsid w:val="0084018D"/>
    <w:rsid w:val="0084031B"/>
    <w:rsid w:val="0084031D"/>
    <w:rsid w:val="00840390"/>
    <w:rsid w:val="008403C9"/>
    <w:rsid w:val="008404BD"/>
    <w:rsid w:val="00840529"/>
    <w:rsid w:val="00840635"/>
    <w:rsid w:val="008407B0"/>
    <w:rsid w:val="008408F8"/>
    <w:rsid w:val="0084095D"/>
    <w:rsid w:val="00840D1B"/>
    <w:rsid w:val="00840D5D"/>
    <w:rsid w:val="00840D80"/>
    <w:rsid w:val="00840DBC"/>
    <w:rsid w:val="00840FAE"/>
    <w:rsid w:val="00841034"/>
    <w:rsid w:val="008411D4"/>
    <w:rsid w:val="008411DF"/>
    <w:rsid w:val="0084126F"/>
    <w:rsid w:val="008412B6"/>
    <w:rsid w:val="008413D9"/>
    <w:rsid w:val="008413F5"/>
    <w:rsid w:val="00841409"/>
    <w:rsid w:val="008414FF"/>
    <w:rsid w:val="008416C2"/>
    <w:rsid w:val="00841869"/>
    <w:rsid w:val="008418E4"/>
    <w:rsid w:val="00841A54"/>
    <w:rsid w:val="00841AAD"/>
    <w:rsid w:val="00841C8B"/>
    <w:rsid w:val="00841DB1"/>
    <w:rsid w:val="00841EC9"/>
    <w:rsid w:val="00841F97"/>
    <w:rsid w:val="00841FE3"/>
    <w:rsid w:val="0084211C"/>
    <w:rsid w:val="008422F9"/>
    <w:rsid w:val="008423AA"/>
    <w:rsid w:val="008423C4"/>
    <w:rsid w:val="00842431"/>
    <w:rsid w:val="00842535"/>
    <w:rsid w:val="00842561"/>
    <w:rsid w:val="0084258E"/>
    <w:rsid w:val="008425E8"/>
    <w:rsid w:val="0084261C"/>
    <w:rsid w:val="00842683"/>
    <w:rsid w:val="008428CC"/>
    <w:rsid w:val="008429AC"/>
    <w:rsid w:val="00842A5F"/>
    <w:rsid w:val="00842B30"/>
    <w:rsid w:val="00842B57"/>
    <w:rsid w:val="00842B69"/>
    <w:rsid w:val="00842BB9"/>
    <w:rsid w:val="00842BBB"/>
    <w:rsid w:val="00842C26"/>
    <w:rsid w:val="00842D3A"/>
    <w:rsid w:val="00842E31"/>
    <w:rsid w:val="00842EEF"/>
    <w:rsid w:val="00843085"/>
    <w:rsid w:val="00843193"/>
    <w:rsid w:val="0084321E"/>
    <w:rsid w:val="008433C4"/>
    <w:rsid w:val="00843410"/>
    <w:rsid w:val="008434F2"/>
    <w:rsid w:val="008435EE"/>
    <w:rsid w:val="00843776"/>
    <w:rsid w:val="00843795"/>
    <w:rsid w:val="008438C9"/>
    <w:rsid w:val="00843976"/>
    <w:rsid w:val="008439F3"/>
    <w:rsid w:val="00843B0E"/>
    <w:rsid w:val="00843B74"/>
    <w:rsid w:val="00843C10"/>
    <w:rsid w:val="00843CEE"/>
    <w:rsid w:val="00843E44"/>
    <w:rsid w:val="00843EF7"/>
    <w:rsid w:val="00843F11"/>
    <w:rsid w:val="00844028"/>
    <w:rsid w:val="0084416A"/>
    <w:rsid w:val="0084425E"/>
    <w:rsid w:val="008444AF"/>
    <w:rsid w:val="008444FE"/>
    <w:rsid w:val="0084472E"/>
    <w:rsid w:val="00844734"/>
    <w:rsid w:val="00844739"/>
    <w:rsid w:val="00844742"/>
    <w:rsid w:val="008447B1"/>
    <w:rsid w:val="008447FB"/>
    <w:rsid w:val="0084485C"/>
    <w:rsid w:val="00844892"/>
    <w:rsid w:val="00844A4D"/>
    <w:rsid w:val="00844A6B"/>
    <w:rsid w:val="00844AB3"/>
    <w:rsid w:val="00844AF5"/>
    <w:rsid w:val="00844C01"/>
    <w:rsid w:val="00844C0C"/>
    <w:rsid w:val="00844C25"/>
    <w:rsid w:val="00844C2F"/>
    <w:rsid w:val="00844E0B"/>
    <w:rsid w:val="00844F05"/>
    <w:rsid w:val="00844FBB"/>
    <w:rsid w:val="008451D6"/>
    <w:rsid w:val="008451FB"/>
    <w:rsid w:val="00845272"/>
    <w:rsid w:val="00845279"/>
    <w:rsid w:val="008452DD"/>
    <w:rsid w:val="00845466"/>
    <w:rsid w:val="00845817"/>
    <w:rsid w:val="0084583A"/>
    <w:rsid w:val="00845995"/>
    <w:rsid w:val="008459F0"/>
    <w:rsid w:val="00845A04"/>
    <w:rsid w:val="00845A81"/>
    <w:rsid w:val="00845C53"/>
    <w:rsid w:val="00845CA6"/>
    <w:rsid w:val="00845CD2"/>
    <w:rsid w:val="00845E23"/>
    <w:rsid w:val="00845EBE"/>
    <w:rsid w:val="00845F77"/>
    <w:rsid w:val="00845F83"/>
    <w:rsid w:val="0084611F"/>
    <w:rsid w:val="0084628B"/>
    <w:rsid w:val="008462C0"/>
    <w:rsid w:val="008462E3"/>
    <w:rsid w:val="008463A6"/>
    <w:rsid w:val="0084642C"/>
    <w:rsid w:val="00846642"/>
    <w:rsid w:val="008467A2"/>
    <w:rsid w:val="008467C0"/>
    <w:rsid w:val="008469BB"/>
    <w:rsid w:val="00846CD1"/>
    <w:rsid w:val="00846D7B"/>
    <w:rsid w:val="00846DAA"/>
    <w:rsid w:val="00846DC8"/>
    <w:rsid w:val="00846E3E"/>
    <w:rsid w:val="00846E4C"/>
    <w:rsid w:val="00846E81"/>
    <w:rsid w:val="00846FB7"/>
    <w:rsid w:val="0084707E"/>
    <w:rsid w:val="008470D7"/>
    <w:rsid w:val="008470F1"/>
    <w:rsid w:val="0084718E"/>
    <w:rsid w:val="008471BA"/>
    <w:rsid w:val="0084720F"/>
    <w:rsid w:val="00847337"/>
    <w:rsid w:val="00847552"/>
    <w:rsid w:val="00847793"/>
    <w:rsid w:val="00847914"/>
    <w:rsid w:val="00847A6A"/>
    <w:rsid w:val="00847B64"/>
    <w:rsid w:val="00847B8D"/>
    <w:rsid w:val="00847BC6"/>
    <w:rsid w:val="00847BCA"/>
    <w:rsid w:val="00847D52"/>
    <w:rsid w:val="00847D72"/>
    <w:rsid w:val="00847E54"/>
    <w:rsid w:val="00847E60"/>
    <w:rsid w:val="00847EEE"/>
    <w:rsid w:val="00847FA6"/>
    <w:rsid w:val="00847FDE"/>
    <w:rsid w:val="00847FDF"/>
    <w:rsid w:val="00847FF1"/>
    <w:rsid w:val="00850297"/>
    <w:rsid w:val="0085035B"/>
    <w:rsid w:val="0085041A"/>
    <w:rsid w:val="00850515"/>
    <w:rsid w:val="00850516"/>
    <w:rsid w:val="00850526"/>
    <w:rsid w:val="00850556"/>
    <w:rsid w:val="00850564"/>
    <w:rsid w:val="008505D0"/>
    <w:rsid w:val="0085064A"/>
    <w:rsid w:val="00850692"/>
    <w:rsid w:val="00850757"/>
    <w:rsid w:val="00850791"/>
    <w:rsid w:val="00850832"/>
    <w:rsid w:val="00850839"/>
    <w:rsid w:val="00850987"/>
    <w:rsid w:val="008509D3"/>
    <w:rsid w:val="00850A26"/>
    <w:rsid w:val="00850AEB"/>
    <w:rsid w:val="00850B80"/>
    <w:rsid w:val="00850C70"/>
    <w:rsid w:val="00850CA2"/>
    <w:rsid w:val="00850D93"/>
    <w:rsid w:val="00850DBA"/>
    <w:rsid w:val="00850DC1"/>
    <w:rsid w:val="00850F74"/>
    <w:rsid w:val="00850F8B"/>
    <w:rsid w:val="0085103C"/>
    <w:rsid w:val="008510F3"/>
    <w:rsid w:val="00851163"/>
    <w:rsid w:val="00851179"/>
    <w:rsid w:val="0085117E"/>
    <w:rsid w:val="008511CB"/>
    <w:rsid w:val="00851204"/>
    <w:rsid w:val="008512E4"/>
    <w:rsid w:val="0085130C"/>
    <w:rsid w:val="00851379"/>
    <w:rsid w:val="0085144C"/>
    <w:rsid w:val="00851475"/>
    <w:rsid w:val="0085149B"/>
    <w:rsid w:val="008515DD"/>
    <w:rsid w:val="008516E6"/>
    <w:rsid w:val="0085174C"/>
    <w:rsid w:val="00851758"/>
    <w:rsid w:val="008517EF"/>
    <w:rsid w:val="008518E4"/>
    <w:rsid w:val="008519A1"/>
    <w:rsid w:val="00851BD7"/>
    <w:rsid w:val="00851C09"/>
    <w:rsid w:val="00851CD1"/>
    <w:rsid w:val="00851CF8"/>
    <w:rsid w:val="00851D00"/>
    <w:rsid w:val="00851E0C"/>
    <w:rsid w:val="00851E1F"/>
    <w:rsid w:val="00851E4D"/>
    <w:rsid w:val="00851F66"/>
    <w:rsid w:val="00852144"/>
    <w:rsid w:val="008521AA"/>
    <w:rsid w:val="00852310"/>
    <w:rsid w:val="00852313"/>
    <w:rsid w:val="00852353"/>
    <w:rsid w:val="00852395"/>
    <w:rsid w:val="00852700"/>
    <w:rsid w:val="00852759"/>
    <w:rsid w:val="008528FB"/>
    <w:rsid w:val="008529A4"/>
    <w:rsid w:val="00852A74"/>
    <w:rsid w:val="00852B4E"/>
    <w:rsid w:val="00852B67"/>
    <w:rsid w:val="00852C52"/>
    <w:rsid w:val="00852C7D"/>
    <w:rsid w:val="00852C8C"/>
    <w:rsid w:val="00852D33"/>
    <w:rsid w:val="00852D36"/>
    <w:rsid w:val="00852DCF"/>
    <w:rsid w:val="00852E5E"/>
    <w:rsid w:val="00853036"/>
    <w:rsid w:val="00853114"/>
    <w:rsid w:val="008532DD"/>
    <w:rsid w:val="008532F3"/>
    <w:rsid w:val="00853327"/>
    <w:rsid w:val="00853389"/>
    <w:rsid w:val="0085344A"/>
    <w:rsid w:val="0085347C"/>
    <w:rsid w:val="00853484"/>
    <w:rsid w:val="00853627"/>
    <w:rsid w:val="0085367F"/>
    <w:rsid w:val="00853719"/>
    <w:rsid w:val="00853773"/>
    <w:rsid w:val="00853777"/>
    <w:rsid w:val="008537C6"/>
    <w:rsid w:val="00853811"/>
    <w:rsid w:val="00853828"/>
    <w:rsid w:val="00853C20"/>
    <w:rsid w:val="00853C42"/>
    <w:rsid w:val="00853D28"/>
    <w:rsid w:val="00853D7E"/>
    <w:rsid w:val="00853EDF"/>
    <w:rsid w:val="00853EE2"/>
    <w:rsid w:val="00853F1E"/>
    <w:rsid w:val="00854152"/>
    <w:rsid w:val="00854159"/>
    <w:rsid w:val="00854176"/>
    <w:rsid w:val="008541B1"/>
    <w:rsid w:val="0085447D"/>
    <w:rsid w:val="008544D9"/>
    <w:rsid w:val="0085460F"/>
    <w:rsid w:val="0085473B"/>
    <w:rsid w:val="00854898"/>
    <w:rsid w:val="0085491B"/>
    <w:rsid w:val="00854930"/>
    <w:rsid w:val="00854BC5"/>
    <w:rsid w:val="00854D63"/>
    <w:rsid w:val="00854D88"/>
    <w:rsid w:val="00854E0E"/>
    <w:rsid w:val="00854EEB"/>
    <w:rsid w:val="00854F1F"/>
    <w:rsid w:val="0085502F"/>
    <w:rsid w:val="00855097"/>
    <w:rsid w:val="008550B7"/>
    <w:rsid w:val="0085513E"/>
    <w:rsid w:val="00855170"/>
    <w:rsid w:val="008551FF"/>
    <w:rsid w:val="00855267"/>
    <w:rsid w:val="008553AD"/>
    <w:rsid w:val="00855446"/>
    <w:rsid w:val="00855474"/>
    <w:rsid w:val="008554BF"/>
    <w:rsid w:val="00855534"/>
    <w:rsid w:val="008555E1"/>
    <w:rsid w:val="00855648"/>
    <w:rsid w:val="008556A7"/>
    <w:rsid w:val="008556EB"/>
    <w:rsid w:val="00855733"/>
    <w:rsid w:val="0085574A"/>
    <w:rsid w:val="0085582B"/>
    <w:rsid w:val="00855869"/>
    <w:rsid w:val="00855951"/>
    <w:rsid w:val="008559A9"/>
    <w:rsid w:val="008559C5"/>
    <w:rsid w:val="00855ADB"/>
    <w:rsid w:val="00855BA2"/>
    <w:rsid w:val="00855C8C"/>
    <w:rsid w:val="00855DE8"/>
    <w:rsid w:val="00855E3D"/>
    <w:rsid w:val="00855E5F"/>
    <w:rsid w:val="00855F1E"/>
    <w:rsid w:val="00856049"/>
    <w:rsid w:val="00856134"/>
    <w:rsid w:val="00856162"/>
    <w:rsid w:val="00856191"/>
    <w:rsid w:val="00856252"/>
    <w:rsid w:val="008562C1"/>
    <w:rsid w:val="008562F4"/>
    <w:rsid w:val="00856699"/>
    <w:rsid w:val="00856870"/>
    <w:rsid w:val="00856AEC"/>
    <w:rsid w:val="00856AFA"/>
    <w:rsid w:val="00856B02"/>
    <w:rsid w:val="00856B32"/>
    <w:rsid w:val="00856BC5"/>
    <w:rsid w:val="00856BD0"/>
    <w:rsid w:val="00856BEE"/>
    <w:rsid w:val="00856C85"/>
    <w:rsid w:val="00856E1E"/>
    <w:rsid w:val="00856F5E"/>
    <w:rsid w:val="00856F77"/>
    <w:rsid w:val="00856FC7"/>
    <w:rsid w:val="008570B4"/>
    <w:rsid w:val="008573F7"/>
    <w:rsid w:val="00857432"/>
    <w:rsid w:val="00857518"/>
    <w:rsid w:val="0085756A"/>
    <w:rsid w:val="008575AF"/>
    <w:rsid w:val="008575D9"/>
    <w:rsid w:val="00857612"/>
    <w:rsid w:val="00857689"/>
    <w:rsid w:val="008576F9"/>
    <w:rsid w:val="00857934"/>
    <w:rsid w:val="008579B4"/>
    <w:rsid w:val="00857A82"/>
    <w:rsid w:val="00857AAB"/>
    <w:rsid w:val="00857B70"/>
    <w:rsid w:val="00857C03"/>
    <w:rsid w:val="00857D8C"/>
    <w:rsid w:val="00857DAA"/>
    <w:rsid w:val="00857E0F"/>
    <w:rsid w:val="00857FBE"/>
    <w:rsid w:val="008600A3"/>
    <w:rsid w:val="00860312"/>
    <w:rsid w:val="008603B2"/>
    <w:rsid w:val="008603C9"/>
    <w:rsid w:val="008603F7"/>
    <w:rsid w:val="008604CC"/>
    <w:rsid w:val="0086059B"/>
    <w:rsid w:val="008605BC"/>
    <w:rsid w:val="00860681"/>
    <w:rsid w:val="00860685"/>
    <w:rsid w:val="00860752"/>
    <w:rsid w:val="00860783"/>
    <w:rsid w:val="0086086B"/>
    <w:rsid w:val="008609A8"/>
    <w:rsid w:val="00860AC4"/>
    <w:rsid w:val="00860AE9"/>
    <w:rsid w:val="00860B48"/>
    <w:rsid w:val="00860BAE"/>
    <w:rsid w:val="00860D01"/>
    <w:rsid w:val="00860D6D"/>
    <w:rsid w:val="00860D7B"/>
    <w:rsid w:val="00860D85"/>
    <w:rsid w:val="00860E93"/>
    <w:rsid w:val="00860ED1"/>
    <w:rsid w:val="00860F04"/>
    <w:rsid w:val="00860F10"/>
    <w:rsid w:val="00860F11"/>
    <w:rsid w:val="00860FBF"/>
    <w:rsid w:val="00861021"/>
    <w:rsid w:val="00861145"/>
    <w:rsid w:val="008611A7"/>
    <w:rsid w:val="00861251"/>
    <w:rsid w:val="008613ED"/>
    <w:rsid w:val="008614AA"/>
    <w:rsid w:val="0086157F"/>
    <w:rsid w:val="008615F8"/>
    <w:rsid w:val="0086180A"/>
    <w:rsid w:val="0086181A"/>
    <w:rsid w:val="0086183F"/>
    <w:rsid w:val="008618CA"/>
    <w:rsid w:val="00861952"/>
    <w:rsid w:val="00861A17"/>
    <w:rsid w:val="00861ABA"/>
    <w:rsid w:val="00861CCF"/>
    <w:rsid w:val="00861D73"/>
    <w:rsid w:val="00861D76"/>
    <w:rsid w:val="00861ECD"/>
    <w:rsid w:val="0086204C"/>
    <w:rsid w:val="0086205E"/>
    <w:rsid w:val="00862086"/>
    <w:rsid w:val="008622F7"/>
    <w:rsid w:val="00862483"/>
    <w:rsid w:val="008624FF"/>
    <w:rsid w:val="00862566"/>
    <w:rsid w:val="008626BD"/>
    <w:rsid w:val="00862733"/>
    <w:rsid w:val="0086279D"/>
    <w:rsid w:val="00862909"/>
    <w:rsid w:val="00862997"/>
    <w:rsid w:val="008629B1"/>
    <w:rsid w:val="008629F0"/>
    <w:rsid w:val="00862A44"/>
    <w:rsid w:val="00862BA0"/>
    <w:rsid w:val="00862BA1"/>
    <w:rsid w:val="00862C99"/>
    <w:rsid w:val="00862CB7"/>
    <w:rsid w:val="00862D64"/>
    <w:rsid w:val="00862D7D"/>
    <w:rsid w:val="00862DAB"/>
    <w:rsid w:val="00862E22"/>
    <w:rsid w:val="00862E93"/>
    <w:rsid w:val="00862EC0"/>
    <w:rsid w:val="00862F15"/>
    <w:rsid w:val="00862F77"/>
    <w:rsid w:val="00862FAB"/>
    <w:rsid w:val="00863002"/>
    <w:rsid w:val="0086310D"/>
    <w:rsid w:val="00863193"/>
    <w:rsid w:val="008631A6"/>
    <w:rsid w:val="00863216"/>
    <w:rsid w:val="0086324E"/>
    <w:rsid w:val="0086325C"/>
    <w:rsid w:val="0086336F"/>
    <w:rsid w:val="00863414"/>
    <w:rsid w:val="0086349D"/>
    <w:rsid w:val="00863553"/>
    <w:rsid w:val="00863587"/>
    <w:rsid w:val="008635A0"/>
    <w:rsid w:val="008635CA"/>
    <w:rsid w:val="0086369D"/>
    <w:rsid w:val="00863750"/>
    <w:rsid w:val="0086379D"/>
    <w:rsid w:val="0086383B"/>
    <w:rsid w:val="00863847"/>
    <w:rsid w:val="00863890"/>
    <w:rsid w:val="00863918"/>
    <w:rsid w:val="00863AA5"/>
    <w:rsid w:val="00863C5A"/>
    <w:rsid w:val="00863D73"/>
    <w:rsid w:val="00863E79"/>
    <w:rsid w:val="00863EA7"/>
    <w:rsid w:val="00863F47"/>
    <w:rsid w:val="00863FE4"/>
    <w:rsid w:val="008641D4"/>
    <w:rsid w:val="008641E7"/>
    <w:rsid w:val="008641F8"/>
    <w:rsid w:val="0086422A"/>
    <w:rsid w:val="00864324"/>
    <w:rsid w:val="0086433D"/>
    <w:rsid w:val="00864387"/>
    <w:rsid w:val="0086439A"/>
    <w:rsid w:val="0086442B"/>
    <w:rsid w:val="0086459F"/>
    <w:rsid w:val="008647D7"/>
    <w:rsid w:val="0086498F"/>
    <w:rsid w:val="008649AE"/>
    <w:rsid w:val="00864AB0"/>
    <w:rsid w:val="00864B68"/>
    <w:rsid w:val="00864B8B"/>
    <w:rsid w:val="00864CAE"/>
    <w:rsid w:val="00864D85"/>
    <w:rsid w:val="00864E75"/>
    <w:rsid w:val="00864EBD"/>
    <w:rsid w:val="00864F12"/>
    <w:rsid w:val="00864F15"/>
    <w:rsid w:val="00864FA8"/>
    <w:rsid w:val="00865020"/>
    <w:rsid w:val="0086504D"/>
    <w:rsid w:val="0086506F"/>
    <w:rsid w:val="00865147"/>
    <w:rsid w:val="0086514D"/>
    <w:rsid w:val="00865237"/>
    <w:rsid w:val="0086529A"/>
    <w:rsid w:val="008653F7"/>
    <w:rsid w:val="0086542F"/>
    <w:rsid w:val="008654F0"/>
    <w:rsid w:val="00865521"/>
    <w:rsid w:val="00865640"/>
    <w:rsid w:val="0086576B"/>
    <w:rsid w:val="0086585A"/>
    <w:rsid w:val="00865874"/>
    <w:rsid w:val="008658BE"/>
    <w:rsid w:val="008658C0"/>
    <w:rsid w:val="0086590D"/>
    <w:rsid w:val="00865A49"/>
    <w:rsid w:val="00865A56"/>
    <w:rsid w:val="00865B99"/>
    <w:rsid w:val="00865BEB"/>
    <w:rsid w:val="00865C4C"/>
    <w:rsid w:val="00865D60"/>
    <w:rsid w:val="00865D6F"/>
    <w:rsid w:val="00865DF9"/>
    <w:rsid w:val="00865E33"/>
    <w:rsid w:val="00865EBA"/>
    <w:rsid w:val="00865ED9"/>
    <w:rsid w:val="00865FA3"/>
    <w:rsid w:val="008660DF"/>
    <w:rsid w:val="008660ED"/>
    <w:rsid w:val="008661B3"/>
    <w:rsid w:val="0086623A"/>
    <w:rsid w:val="00866255"/>
    <w:rsid w:val="008662E2"/>
    <w:rsid w:val="0086634F"/>
    <w:rsid w:val="0086638A"/>
    <w:rsid w:val="0086647D"/>
    <w:rsid w:val="008664DD"/>
    <w:rsid w:val="008665EE"/>
    <w:rsid w:val="0086682B"/>
    <w:rsid w:val="008668A8"/>
    <w:rsid w:val="008669AD"/>
    <w:rsid w:val="008669CD"/>
    <w:rsid w:val="008669D2"/>
    <w:rsid w:val="00866AFD"/>
    <w:rsid w:val="00866B36"/>
    <w:rsid w:val="00866BA7"/>
    <w:rsid w:val="00866BF9"/>
    <w:rsid w:val="00866C73"/>
    <w:rsid w:val="00866D2F"/>
    <w:rsid w:val="00866DD1"/>
    <w:rsid w:val="00866EFC"/>
    <w:rsid w:val="0086700E"/>
    <w:rsid w:val="00867027"/>
    <w:rsid w:val="00867040"/>
    <w:rsid w:val="008671C7"/>
    <w:rsid w:val="008672E8"/>
    <w:rsid w:val="008675BF"/>
    <w:rsid w:val="0086760F"/>
    <w:rsid w:val="0086769A"/>
    <w:rsid w:val="00867A35"/>
    <w:rsid w:val="00867B27"/>
    <w:rsid w:val="00867BA6"/>
    <w:rsid w:val="00867C49"/>
    <w:rsid w:val="00867E7E"/>
    <w:rsid w:val="00867E88"/>
    <w:rsid w:val="00867EBA"/>
    <w:rsid w:val="00867F0A"/>
    <w:rsid w:val="00867F2F"/>
    <w:rsid w:val="00867F7B"/>
    <w:rsid w:val="00867F82"/>
    <w:rsid w:val="00867FB9"/>
    <w:rsid w:val="00867FC8"/>
    <w:rsid w:val="00867FF3"/>
    <w:rsid w:val="0087017F"/>
    <w:rsid w:val="008702B2"/>
    <w:rsid w:val="008702DF"/>
    <w:rsid w:val="00870323"/>
    <w:rsid w:val="00870483"/>
    <w:rsid w:val="00870688"/>
    <w:rsid w:val="008707B9"/>
    <w:rsid w:val="008707FC"/>
    <w:rsid w:val="00870911"/>
    <w:rsid w:val="00870920"/>
    <w:rsid w:val="00870948"/>
    <w:rsid w:val="0087094F"/>
    <w:rsid w:val="00870C24"/>
    <w:rsid w:val="00870C8F"/>
    <w:rsid w:val="00870D3B"/>
    <w:rsid w:val="00870DB4"/>
    <w:rsid w:val="00870E00"/>
    <w:rsid w:val="00870EA8"/>
    <w:rsid w:val="00870F75"/>
    <w:rsid w:val="0087106B"/>
    <w:rsid w:val="00871074"/>
    <w:rsid w:val="008714BF"/>
    <w:rsid w:val="008714E1"/>
    <w:rsid w:val="0087165A"/>
    <w:rsid w:val="008717E6"/>
    <w:rsid w:val="0087184E"/>
    <w:rsid w:val="0087186D"/>
    <w:rsid w:val="00871905"/>
    <w:rsid w:val="008719EE"/>
    <w:rsid w:val="00871A81"/>
    <w:rsid w:val="00871CED"/>
    <w:rsid w:val="00871DE2"/>
    <w:rsid w:val="00871E55"/>
    <w:rsid w:val="00871F66"/>
    <w:rsid w:val="00872184"/>
    <w:rsid w:val="00872199"/>
    <w:rsid w:val="008721C8"/>
    <w:rsid w:val="00872260"/>
    <w:rsid w:val="00872269"/>
    <w:rsid w:val="008722C2"/>
    <w:rsid w:val="008723DD"/>
    <w:rsid w:val="008724C8"/>
    <w:rsid w:val="00872594"/>
    <w:rsid w:val="00872667"/>
    <w:rsid w:val="00872669"/>
    <w:rsid w:val="00872696"/>
    <w:rsid w:val="00872712"/>
    <w:rsid w:val="00872722"/>
    <w:rsid w:val="008727F6"/>
    <w:rsid w:val="00872849"/>
    <w:rsid w:val="00872CD0"/>
    <w:rsid w:val="00872CD3"/>
    <w:rsid w:val="00872D64"/>
    <w:rsid w:val="00872DF0"/>
    <w:rsid w:val="00872E49"/>
    <w:rsid w:val="00872F12"/>
    <w:rsid w:val="00873018"/>
    <w:rsid w:val="008730A0"/>
    <w:rsid w:val="00873154"/>
    <w:rsid w:val="00873167"/>
    <w:rsid w:val="0087324A"/>
    <w:rsid w:val="00873381"/>
    <w:rsid w:val="0087360F"/>
    <w:rsid w:val="008737B2"/>
    <w:rsid w:val="008737F2"/>
    <w:rsid w:val="008738C7"/>
    <w:rsid w:val="00873A1E"/>
    <w:rsid w:val="00873A67"/>
    <w:rsid w:val="00873A97"/>
    <w:rsid w:val="00873CAA"/>
    <w:rsid w:val="00873E81"/>
    <w:rsid w:val="00873EC4"/>
    <w:rsid w:val="00873F40"/>
    <w:rsid w:val="00873F6C"/>
    <w:rsid w:val="008741DD"/>
    <w:rsid w:val="0087428C"/>
    <w:rsid w:val="008742C7"/>
    <w:rsid w:val="008743F9"/>
    <w:rsid w:val="0087442E"/>
    <w:rsid w:val="00874446"/>
    <w:rsid w:val="00874460"/>
    <w:rsid w:val="008744DF"/>
    <w:rsid w:val="0087457F"/>
    <w:rsid w:val="008745D4"/>
    <w:rsid w:val="0087478B"/>
    <w:rsid w:val="0087479C"/>
    <w:rsid w:val="00874807"/>
    <w:rsid w:val="0087495D"/>
    <w:rsid w:val="00874A31"/>
    <w:rsid w:val="00874DA0"/>
    <w:rsid w:val="00874DF9"/>
    <w:rsid w:val="00874DFC"/>
    <w:rsid w:val="00874E48"/>
    <w:rsid w:val="00874F4C"/>
    <w:rsid w:val="00874F6A"/>
    <w:rsid w:val="00874F95"/>
    <w:rsid w:val="00875068"/>
    <w:rsid w:val="008750EF"/>
    <w:rsid w:val="0087513B"/>
    <w:rsid w:val="00875198"/>
    <w:rsid w:val="008751FB"/>
    <w:rsid w:val="0087523B"/>
    <w:rsid w:val="008752B0"/>
    <w:rsid w:val="008753E6"/>
    <w:rsid w:val="0087547E"/>
    <w:rsid w:val="00875618"/>
    <w:rsid w:val="0087568B"/>
    <w:rsid w:val="0087574D"/>
    <w:rsid w:val="00875833"/>
    <w:rsid w:val="008758CA"/>
    <w:rsid w:val="00875954"/>
    <w:rsid w:val="0087598B"/>
    <w:rsid w:val="008759BA"/>
    <w:rsid w:val="00875AF5"/>
    <w:rsid w:val="00875B6E"/>
    <w:rsid w:val="00875C0C"/>
    <w:rsid w:val="00875C59"/>
    <w:rsid w:val="00875CE2"/>
    <w:rsid w:val="00875D30"/>
    <w:rsid w:val="00875D99"/>
    <w:rsid w:val="00875E2F"/>
    <w:rsid w:val="00875F7D"/>
    <w:rsid w:val="00875FFF"/>
    <w:rsid w:val="00876106"/>
    <w:rsid w:val="00876358"/>
    <w:rsid w:val="00876389"/>
    <w:rsid w:val="008763A2"/>
    <w:rsid w:val="0087642D"/>
    <w:rsid w:val="00876619"/>
    <w:rsid w:val="00876648"/>
    <w:rsid w:val="0087665D"/>
    <w:rsid w:val="0087692B"/>
    <w:rsid w:val="00876A11"/>
    <w:rsid w:val="00876A94"/>
    <w:rsid w:val="00876B32"/>
    <w:rsid w:val="00876B70"/>
    <w:rsid w:val="00876B9C"/>
    <w:rsid w:val="00876CAE"/>
    <w:rsid w:val="00876CDB"/>
    <w:rsid w:val="00876D59"/>
    <w:rsid w:val="00876D5D"/>
    <w:rsid w:val="00876DB9"/>
    <w:rsid w:val="00876E7A"/>
    <w:rsid w:val="00877053"/>
    <w:rsid w:val="00877137"/>
    <w:rsid w:val="008771FB"/>
    <w:rsid w:val="00877285"/>
    <w:rsid w:val="008772E8"/>
    <w:rsid w:val="008772ED"/>
    <w:rsid w:val="0087748D"/>
    <w:rsid w:val="008775EF"/>
    <w:rsid w:val="00877645"/>
    <w:rsid w:val="0087771F"/>
    <w:rsid w:val="008777DF"/>
    <w:rsid w:val="008778F4"/>
    <w:rsid w:val="008779DC"/>
    <w:rsid w:val="00877A00"/>
    <w:rsid w:val="00877AA4"/>
    <w:rsid w:val="00877ABA"/>
    <w:rsid w:val="00877AD1"/>
    <w:rsid w:val="00877ADF"/>
    <w:rsid w:val="00877C8A"/>
    <w:rsid w:val="00877FE0"/>
    <w:rsid w:val="00880081"/>
    <w:rsid w:val="00880144"/>
    <w:rsid w:val="008801E8"/>
    <w:rsid w:val="0088032D"/>
    <w:rsid w:val="008803A8"/>
    <w:rsid w:val="00880400"/>
    <w:rsid w:val="0088041E"/>
    <w:rsid w:val="00880620"/>
    <w:rsid w:val="00880637"/>
    <w:rsid w:val="00880766"/>
    <w:rsid w:val="008807A8"/>
    <w:rsid w:val="00880811"/>
    <w:rsid w:val="00880824"/>
    <w:rsid w:val="0088082A"/>
    <w:rsid w:val="008809EB"/>
    <w:rsid w:val="008809F6"/>
    <w:rsid w:val="00880AB4"/>
    <w:rsid w:val="00880C7F"/>
    <w:rsid w:val="00880CA1"/>
    <w:rsid w:val="00880DF5"/>
    <w:rsid w:val="00880EC4"/>
    <w:rsid w:val="00880F1B"/>
    <w:rsid w:val="00881011"/>
    <w:rsid w:val="00881012"/>
    <w:rsid w:val="0088105D"/>
    <w:rsid w:val="008810DC"/>
    <w:rsid w:val="008812ED"/>
    <w:rsid w:val="00881410"/>
    <w:rsid w:val="0088145F"/>
    <w:rsid w:val="008814A3"/>
    <w:rsid w:val="008815F5"/>
    <w:rsid w:val="0088163A"/>
    <w:rsid w:val="00881735"/>
    <w:rsid w:val="00881746"/>
    <w:rsid w:val="0088175C"/>
    <w:rsid w:val="008817D9"/>
    <w:rsid w:val="0088181F"/>
    <w:rsid w:val="008818B5"/>
    <w:rsid w:val="0088191C"/>
    <w:rsid w:val="0088197A"/>
    <w:rsid w:val="008819B6"/>
    <w:rsid w:val="00881A97"/>
    <w:rsid w:val="00881ABB"/>
    <w:rsid w:val="00881F1E"/>
    <w:rsid w:val="00881F90"/>
    <w:rsid w:val="00882012"/>
    <w:rsid w:val="008820D3"/>
    <w:rsid w:val="008820F1"/>
    <w:rsid w:val="0088228B"/>
    <w:rsid w:val="00882391"/>
    <w:rsid w:val="00882438"/>
    <w:rsid w:val="0088248B"/>
    <w:rsid w:val="0088248E"/>
    <w:rsid w:val="00882493"/>
    <w:rsid w:val="008824B1"/>
    <w:rsid w:val="008824D5"/>
    <w:rsid w:val="00882577"/>
    <w:rsid w:val="0088261B"/>
    <w:rsid w:val="00882652"/>
    <w:rsid w:val="0088272B"/>
    <w:rsid w:val="0088291A"/>
    <w:rsid w:val="00882B05"/>
    <w:rsid w:val="00882B6E"/>
    <w:rsid w:val="00882C4C"/>
    <w:rsid w:val="00882CA8"/>
    <w:rsid w:val="00882D2B"/>
    <w:rsid w:val="00882EA7"/>
    <w:rsid w:val="00882ED5"/>
    <w:rsid w:val="00882F14"/>
    <w:rsid w:val="008830C0"/>
    <w:rsid w:val="008830FC"/>
    <w:rsid w:val="0088336D"/>
    <w:rsid w:val="008833AA"/>
    <w:rsid w:val="008833D4"/>
    <w:rsid w:val="0088351C"/>
    <w:rsid w:val="008835F4"/>
    <w:rsid w:val="00883649"/>
    <w:rsid w:val="00883720"/>
    <w:rsid w:val="008837D5"/>
    <w:rsid w:val="00883846"/>
    <w:rsid w:val="00883901"/>
    <w:rsid w:val="0088395C"/>
    <w:rsid w:val="00883B52"/>
    <w:rsid w:val="00883B56"/>
    <w:rsid w:val="00883BB7"/>
    <w:rsid w:val="00883C12"/>
    <w:rsid w:val="00883E8A"/>
    <w:rsid w:val="00884042"/>
    <w:rsid w:val="008840F5"/>
    <w:rsid w:val="00884331"/>
    <w:rsid w:val="00884370"/>
    <w:rsid w:val="00884548"/>
    <w:rsid w:val="0088459E"/>
    <w:rsid w:val="008845F3"/>
    <w:rsid w:val="00884614"/>
    <w:rsid w:val="00884648"/>
    <w:rsid w:val="008846FE"/>
    <w:rsid w:val="00884772"/>
    <w:rsid w:val="0088483D"/>
    <w:rsid w:val="00884855"/>
    <w:rsid w:val="0088490B"/>
    <w:rsid w:val="00884917"/>
    <w:rsid w:val="008849D0"/>
    <w:rsid w:val="00884ADA"/>
    <w:rsid w:val="00884BA7"/>
    <w:rsid w:val="00884CCC"/>
    <w:rsid w:val="00884F2A"/>
    <w:rsid w:val="00884F68"/>
    <w:rsid w:val="0088508C"/>
    <w:rsid w:val="008852C3"/>
    <w:rsid w:val="0088536D"/>
    <w:rsid w:val="0088563B"/>
    <w:rsid w:val="00885674"/>
    <w:rsid w:val="00885705"/>
    <w:rsid w:val="0088575C"/>
    <w:rsid w:val="00885775"/>
    <w:rsid w:val="0088596F"/>
    <w:rsid w:val="00885972"/>
    <w:rsid w:val="008859C2"/>
    <w:rsid w:val="00885C7D"/>
    <w:rsid w:val="00885CC4"/>
    <w:rsid w:val="00885CF9"/>
    <w:rsid w:val="00885D9F"/>
    <w:rsid w:val="00885E53"/>
    <w:rsid w:val="00885F04"/>
    <w:rsid w:val="00885F11"/>
    <w:rsid w:val="00885FF7"/>
    <w:rsid w:val="0088600C"/>
    <w:rsid w:val="00886020"/>
    <w:rsid w:val="0088617F"/>
    <w:rsid w:val="00886196"/>
    <w:rsid w:val="00886249"/>
    <w:rsid w:val="00886537"/>
    <w:rsid w:val="00886545"/>
    <w:rsid w:val="008865D8"/>
    <w:rsid w:val="008866A2"/>
    <w:rsid w:val="008868F5"/>
    <w:rsid w:val="00886924"/>
    <w:rsid w:val="00886934"/>
    <w:rsid w:val="008869D0"/>
    <w:rsid w:val="00886A01"/>
    <w:rsid w:val="00886B4C"/>
    <w:rsid w:val="00886BE0"/>
    <w:rsid w:val="00886C16"/>
    <w:rsid w:val="00886C30"/>
    <w:rsid w:val="00886CC2"/>
    <w:rsid w:val="00886CF8"/>
    <w:rsid w:val="00886E08"/>
    <w:rsid w:val="00886FF0"/>
    <w:rsid w:val="0088700D"/>
    <w:rsid w:val="00887041"/>
    <w:rsid w:val="0088715C"/>
    <w:rsid w:val="00887199"/>
    <w:rsid w:val="00887329"/>
    <w:rsid w:val="0088732C"/>
    <w:rsid w:val="00887338"/>
    <w:rsid w:val="0088744D"/>
    <w:rsid w:val="00887502"/>
    <w:rsid w:val="00887585"/>
    <w:rsid w:val="008875D3"/>
    <w:rsid w:val="008875E0"/>
    <w:rsid w:val="00887696"/>
    <w:rsid w:val="008876A4"/>
    <w:rsid w:val="0088794C"/>
    <w:rsid w:val="00887B0D"/>
    <w:rsid w:val="00887C68"/>
    <w:rsid w:val="00887CA1"/>
    <w:rsid w:val="00887E17"/>
    <w:rsid w:val="00887F59"/>
    <w:rsid w:val="008901B8"/>
    <w:rsid w:val="008901BF"/>
    <w:rsid w:val="00890362"/>
    <w:rsid w:val="00890605"/>
    <w:rsid w:val="0089060D"/>
    <w:rsid w:val="008906C5"/>
    <w:rsid w:val="0089086A"/>
    <w:rsid w:val="008908C3"/>
    <w:rsid w:val="0089090C"/>
    <w:rsid w:val="00890921"/>
    <w:rsid w:val="00890AE8"/>
    <w:rsid w:val="00890AFD"/>
    <w:rsid w:val="00890B79"/>
    <w:rsid w:val="00890C1B"/>
    <w:rsid w:val="00890C22"/>
    <w:rsid w:val="00890D2D"/>
    <w:rsid w:val="00890D88"/>
    <w:rsid w:val="00890DBC"/>
    <w:rsid w:val="00890EB7"/>
    <w:rsid w:val="00890F77"/>
    <w:rsid w:val="00890FAD"/>
    <w:rsid w:val="00890FEF"/>
    <w:rsid w:val="00891151"/>
    <w:rsid w:val="0089116A"/>
    <w:rsid w:val="008911BF"/>
    <w:rsid w:val="008912B5"/>
    <w:rsid w:val="00891341"/>
    <w:rsid w:val="0089134A"/>
    <w:rsid w:val="008913E3"/>
    <w:rsid w:val="008916FE"/>
    <w:rsid w:val="0089184C"/>
    <w:rsid w:val="008918C4"/>
    <w:rsid w:val="00891901"/>
    <w:rsid w:val="00891A63"/>
    <w:rsid w:val="00891A82"/>
    <w:rsid w:val="00891AB0"/>
    <w:rsid w:val="00891D10"/>
    <w:rsid w:val="00891E18"/>
    <w:rsid w:val="0089203E"/>
    <w:rsid w:val="00892044"/>
    <w:rsid w:val="008920A1"/>
    <w:rsid w:val="00892104"/>
    <w:rsid w:val="0089216B"/>
    <w:rsid w:val="008921E3"/>
    <w:rsid w:val="0089231D"/>
    <w:rsid w:val="0089234C"/>
    <w:rsid w:val="008923DA"/>
    <w:rsid w:val="00892493"/>
    <w:rsid w:val="008924EC"/>
    <w:rsid w:val="00892582"/>
    <w:rsid w:val="008925D1"/>
    <w:rsid w:val="008925EA"/>
    <w:rsid w:val="008926D8"/>
    <w:rsid w:val="00892733"/>
    <w:rsid w:val="00892787"/>
    <w:rsid w:val="008927D8"/>
    <w:rsid w:val="00892807"/>
    <w:rsid w:val="00892943"/>
    <w:rsid w:val="00892A49"/>
    <w:rsid w:val="00892AE2"/>
    <w:rsid w:val="00892BA5"/>
    <w:rsid w:val="00892C63"/>
    <w:rsid w:val="00892D33"/>
    <w:rsid w:val="00892D4D"/>
    <w:rsid w:val="0089302A"/>
    <w:rsid w:val="00893078"/>
    <w:rsid w:val="008930AF"/>
    <w:rsid w:val="00893186"/>
    <w:rsid w:val="008931A6"/>
    <w:rsid w:val="008931C3"/>
    <w:rsid w:val="008931EB"/>
    <w:rsid w:val="0089320C"/>
    <w:rsid w:val="008932D0"/>
    <w:rsid w:val="00893344"/>
    <w:rsid w:val="00893356"/>
    <w:rsid w:val="008933AE"/>
    <w:rsid w:val="008933B1"/>
    <w:rsid w:val="008933EE"/>
    <w:rsid w:val="00893422"/>
    <w:rsid w:val="00893424"/>
    <w:rsid w:val="008935A9"/>
    <w:rsid w:val="0089361C"/>
    <w:rsid w:val="00893635"/>
    <w:rsid w:val="00893646"/>
    <w:rsid w:val="00893666"/>
    <w:rsid w:val="00893721"/>
    <w:rsid w:val="0089375E"/>
    <w:rsid w:val="00893798"/>
    <w:rsid w:val="00893898"/>
    <w:rsid w:val="008938D3"/>
    <w:rsid w:val="008938F7"/>
    <w:rsid w:val="00893A53"/>
    <w:rsid w:val="00893AAE"/>
    <w:rsid w:val="00893AD3"/>
    <w:rsid w:val="00893B2D"/>
    <w:rsid w:val="00893B32"/>
    <w:rsid w:val="00893B34"/>
    <w:rsid w:val="00893B7B"/>
    <w:rsid w:val="00893BB0"/>
    <w:rsid w:val="00893C6E"/>
    <w:rsid w:val="00893D57"/>
    <w:rsid w:val="00893DE1"/>
    <w:rsid w:val="00893E5A"/>
    <w:rsid w:val="00893EB3"/>
    <w:rsid w:val="00893FA0"/>
    <w:rsid w:val="00894172"/>
    <w:rsid w:val="0089420B"/>
    <w:rsid w:val="00894226"/>
    <w:rsid w:val="008942B6"/>
    <w:rsid w:val="0089430D"/>
    <w:rsid w:val="00894333"/>
    <w:rsid w:val="008943A4"/>
    <w:rsid w:val="008943C3"/>
    <w:rsid w:val="008945A5"/>
    <w:rsid w:val="008945B8"/>
    <w:rsid w:val="00894611"/>
    <w:rsid w:val="00894727"/>
    <w:rsid w:val="00894925"/>
    <w:rsid w:val="00894A8E"/>
    <w:rsid w:val="00894B74"/>
    <w:rsid w:val="00894B98"/>
    <w:rsid w:val="00894C10"/>
    <w:rsid w:val="00894C3B"/>
    <w:rsid w:val="00894DAD"/>
    <w:rsid w:val="00894DB1"/>
    <w:rsid w:val="00894DD3"/>
    <w:rsid w:val="00894DF6"/>
    <w:rsid w:val="00894E6C"/>
    <w:rsid w:val="00894EE0"/>
    <w:rsid w:val="00894FA0"/>
    <w:rsid w:val="00895037"/>
    <w:rsid w:val="0089506C"/>
    <w:rsid w:val="008950CA"/>
    <w:rsid w:val="00895271"/>
    <w:rsid w:val="00895305"/>
    <w:rsid w:val="0089531B"/>
    <w:rsid w:val="00895348"/>
    <w:rsid w:val="00895381"/>
    <w:rsid w:val="0089547A"/>
    <w:rsid w:val="00895633"/>
    <w:rsid w:val="00895653"/>
    <w:rsid w:val="00895662"/>
    <w:rsid w:val="00895691"/>
    <w:rsid w:val="008956DC"/>
    <w:rsid w:val="00895720"/>
    <w:rsid w:val="0089572E"/>
    <w:rsid w:val="0089580C"/>
    <w:rsid w:val="00895AEE"/>
    <w:rsid w:val="00895BB1"/>
    <w:rsid w:val="00895D95"/>
    <w:rsid w:val="00895E65"/>
    <w:rsid w:val="00895EDF"/>
    <w:rsid w:val="00895F8C"/>
    <w:rsid w:val="008961B1"/>
    <w:rsid w:val="008961F7"/>
    <w:rsid w:val="0089629A"/>
    <w:rsid w:val="00896478"/>
    <w:rsid w:val="00896495"/>
    <w:rsid w:val="00896533"/>
    <w:rsid w:val="00896559"/>
    <w:rsid w:val="00896675"/>
    <w:rsid w:val="008966E1"/>
    <w:rsid w:val="00896754"/>
    <w:rsid w:val="008967FD"/>
    <w:rsid w:val="0089682C"/>
    <w:rsid w:val="008968FD"/>
    <w:rsid w:val="0089699E"/>
    <w:rsid w:val="00896A01"/>
    <w:rsid w:val="00896A67"/>
    <w:rsid w:val="00896AB2"/>
    <w:rsid w:val="00896ADF"/>
    <w:rsid w:val="00896B99"/>
    <w:rsid w:val="00896D1B"/>
    <w:rsid w:val="00896D5A"/>
    <w:rsid w:val="00896D83"/>
    <w:rsid w:val="00896D84"/>
    <w:rsid w:val="00896DC5"/>
    <w:rsid w:val="00896DDE"/>
    <w:rsid w:val="00896E09"/>
    <w:rsid w:val="00896E34"/>
    <w:rsid w:val="00896E5E"/>
    <w:rsid w:val="00896EF2"/>
    <w:rsid w:val="00896FB1"/>
    <w:rsid w:val="0089701C"/>
    <w:rsid w:val="00897070"/>
    <w:rsid w:val="008970C8"/>
    <w:rsid w:val="008970EE"/>
    <w:rsid w:val="0089739D"/>
    <w:rsid w:val="008973C2"/>
    <w:rsid w:val="00897437"/>
    <w:rsid w:val="00897466"/>
    <w:rsid w:val="008974A2"/>
    <w:rsid w:val="00897528"/>
    <w:rsid w:val="00897590"/>
    <w:rsid w:val="008975D4"/>
    <w:rsid w:val="008975FA"/>
    <w:rsid w:val="008976A6"/>
    <w:rsid w:val="008977B2"/>
    <w:rsid w:val="008979A8"/>
    <w:rsid w:val="00897A28"/>
    <w:rsid w:val="00897AA8"/>
    <w:rsid w:val="00897AD5"/>
    <w:rsid w:val="00897C43"/>
    <w:rsid w:val="00897C7F"/>
    <w:rsid w:val="00897E20"/>
    <w:rsid w:val="00897E24"/>
    <w:rsid w:val="00897EB5"/>
    <w:rsid w:val="00897F89"/>
    <w:rsid w:val="008A00FD"/>
    <w:rsid w:val="008A01DB"/>
    <w:rsid w:val="008A035E"/>
    <w:rsid w:val="008A042B"/>
    <w:rsid w:val="008A0452"/>
    <w:rsid w:val="008A04ED"/>
    <w:rsid w:val="008A0533"/>
    <w:rsid w:val="008A05EB"/>
    <w:rsid w:val="008A0679"/>
    <w:rsid w:val="008A06C2"/>
    <w:rsid w:val="008A0860"/>
    <w:rsid w:val="008A095A"/>
    <w:rsid w:val="008A0A07"/>
    <w:rsid w:val="008A0B54"/>
    <w:rsid w:val="008A0B8C"/>
    <w:rsid w:val="008A0D02"/>
    <w:rsid w:val="008A0E23"/>
    <w:rsid w:val="008A0E73"/>
    <w:rsid w:val="008A0FDA"/>
    <w:rsid w:val="008A1152"/>
    <w:rsid w:val="008A115A"/>
    <w:rsid w:val="008A1160"/>
    <w:rsid w:val="008A11A7"/>
    <w:rsid w:val="008A132E"/>
    <w:rsid w:val="008A1330"/>
    <w:rsid w:val="008A13AE"/>
    <w:rsid w:val="008A1461"/>
    <w:rsid w:val="008A154C"/>
    <w:rsid w:val="008A157E"/>
    <w:rsid w:val="008A17A3"/>
    <w:rsid w:val="008A1A53"/>
    <w:rsid w:val="008A1C18"/>
    <w:rsid w:val="008A1C61"/>
    <w:rsid w:val="008A1CA4"/>
    <w:rsid w:val="008A1CB4"/>
    <w:rsid w:val="008A1E28"/>
    <w:rsid w:val="008A1F1A"/>
    <w:rsid w:val="008A205D"/>
    <w:rsid w:val="008A20EE"/>
    <w:rsid w:val="008A20F9"/>
    <w:rsid w:val="008A21C1"/>
    <w:rsid w:val="008A2326"/>
    <w:rsid w:val="008A2329"/>
    <w:rsid w:val="008A252D"/>
    <w:rsid w:val="008A2657"/>
    <w:rsid w:val="008A2820"/>
    <w:rsid w:val="008A2A9D"/>
    <w:rsid w:val="008A2AD2"/>
    <w:rsid w:val="008A2B0C"/>
    <w:rsid w:val="008A2B91"/>
    <w:rsid w:val="008A2C5F"/>
    <w:rsid w:val="008A2CD3"/>
    <w:rsid w:val="008A2D20"/>
    <w:rsid w:val="008A2D52"/>
    <w:rsid w:val="008A2EFB"/>
    <w:rsid w:val="008A3067"/>
    <w:rsid w:val="008A314F"/>
    <w:rsid w:val="008A3196"/>
    <w:rsid w:val="008A31D3"/>
    <w:rsid w:val="008A3227"/>
    <w:rsid w:val="008A3240"/>
    <w:rsid w:val="008A3268"/>
    <w:rsid w:val="008A32D2"/>
    <w:rsid w:val="008A3324"/>
    <w:rsid w:val="008A3418"/>
    <w:rsid w:val="008A34C9"/>
    <w:rsid w:val="008A3558"/>
    <w:rsid w:val="008A357D"/>
    <w:rsid w:val="008A35D7"/>
    <w:rsid w:val="008A3601"/>
    <w:rsid w:val="008A3772"/>
    <w:rsid w:val="008A3778"/>
    <w:rsid w:val="008A385A"/>
    <w:rsid w:val="008A39E6"/>
    <w:rsid w:val="008A3A7D"/>
    <w:rsid w:val="008A3BE6"/>
    <w:rsid w:val="008A3C49"/>
    <w:rsid w:val="008A3CD0"/>
    <w:rsid w:val="008A3E83"/>
    <w:rsid w:val="008A3FA3"/>
    <w:rsid w:val="008A405E"/>
    <w:rsid w:val="008A4112"/>
    <w:rsid w:val="008A4180"/>
    <w:rsid w:val="008A41A1"/>
    <w:rsid w:val="008A41F4"/>
    <w:rsid w:val="008A4205"/>
    <w:rsid w:val="008A4308"/>
    <w:rsid w:val="008A430F"/>
    <w:rsid w:val="008A4382"/>
    <w:rsid w:val="008A43E3"/>
    <w:rsid w:val="008A4435"/>
    <w:rsid w:val="008A45DD"/>
    <w:rsid w:val="008A45FE"/>
    <w:rsid w:val="008A46BF"/>
    <w:rsid w:val="008A471D"/>
    <w:rsid w:val="008A481C"/>
    <w:rsid w:val="008A4843"/>
    <w:rsid w:val="008A49F9"/>
    <w:rsid w:val="008A4AF2"/>
    <w:rsid w:val="008A4B9D"/>
    <w:rsid w:val="008A4BC9"/>
    <w:rsid w:val="008A4D7B"/>
    <w:rsid w:val="008A5028"/>
    <w:rsid w:val="008A5194"/>
    <w:rsid w:val="008A525D"/>
    <w:rsid w:val="008A52B9"/>
    <w:rsid w:val="008A53BF"/>
    <w:rsid w:val="008A53F3"/>
    <w:rsid w:val="008A5623"/>
    <w:rsid w:val="008A56D1"/>
    <w:rsid w:val="008A56DB"/>
    <w:rsid w:val="008A5789"/>
    <w:rsid w:val="008A583C"/>
    <w:rsid w:val="008A5A53"/>
    <w:rsid w:val="008A5AF9"/>
    <w:rsid w:val="008A5B08"/>
    <w:rsid w:val="008A5C4A"/>
    <w:rsid w:val="008A5D64"/>
    <w:rsid w:val="008A5DA7"/>
    <w:rsid w:val="008A5E82"/>
    <w:rsid w:val="008A5F50"/>
    <w:rsid w:val="008A5F7F"/>
    <w:rsid w:val="008A5FEE"/>
    <w:rsid w:val="008A6050"/>
    <w:rsid w:val="008A60DA"/>
    <w:rsid w:val="008A611E"/>
    <w:rsid w:val="008A61C2"/>
    <w:rsid w:val="008A61EC"/>
    <w:rsid w:val="008A6388"/>
    <w:rsid w:val="008A63A7"/>
    <w:rsid w:val="008A64B5"/>
    <w:rsid w:val="008A64B9"/>
    <w:rsid w:val="008A64CB"/>
    <w:rsid w:val="008A64F4"/>
    <w:rsid w:val="008A6785"/>
    <w:rsid w:val="008A67E8"/>
    <w:rsid w:val="008A696F"/>
    <w:rsid w:val="008A6B9E"/>
    <w:rsid w:val="008A6C74"/>
    <w:rsid w:val="008A6DF6"/>
    <w:rsid w:val="008A6E80"/>
    <w:rsid w:val="008A6EFC"/>
    <w:rsid w:val="008A6F8D"/>
    <w:rsid w:val="008A710B"/>
    <w:rsid w:val="008A72D3"/>
    <w:rsid w:val="008A7347"/>
    <w:rsid w:val="008A734B"/>
    <w:rsid w:val="008A7386"/>
    <w:rsid w:val="008A74AA"/>
    <w:rsid w:val="008A7602"/>
    <w:rsid w:val="008A7760"/>
    <w:rsid w:val="008A77BA"/>
    <w:rsid w:val="008A7959"/>
    <w:rsid w:val="008A7AB1"/>
    <w:rsid w:val="008A7BAF"/>
    <w:rsid w:val="008A7BDB"/>
    <w:rsid w:val="008A7C41"/>
    <w:rsid w:val="008A7D1E"/>
    <w:rsid w:val="008A7D40"/>
    <w:rsid w:val="008A7E3F"/>
    <w:rsid w:val="008A7E82"/>
    <w:rsid w:val="008B001D"/>
    <w:rsid w:val="008B0038"/>
    <w:rsid w:val="008B00F8"/>
    <w:rsid w:val="008B02F4"/>
    <w:rsid w:val="008B0576"/>
    <w:rsid w:val="008B05FD"/>
    <w:rsid w:val="008B063E"/>
    <w:rsid w:val="008B072F"/>
    <w:rsid w:val="008B085B"/>
    <w:rsid w:val="008B08E9"/>
    <w:rsid w:val="008B0925"/>
    <w:rsid w:val="008B096A"/>
    <w:rsid w:val="008B0A62"/>
    <w:rsid w:val="008B0B49"/>
    <w:rsid w:val="008B0DBC"/>
    <w:rsid w:val="008B0EB9"/>
    <w:rsid w:val="008B0F61"/>
    <w:rsid w:val="008B100C"/>
    <w:rsid w:val="008B1091"/>
    <w:rsid w:val="008B10F1"/>
    <w:rsid w:val="008B110D"/>
    <w:rsid w:val="008B1159"/>
    <w:rsid w:val="008B13A3"/>
    <w:rsid w:val="008B1486"/>
    <w:rsid w:val="008B1537"/>
    <w:rsid w:val="008B1584"/>
    <w:rsid w:val="008B17CD"/>
    <w:rsid w:val="008B18A9"/>
    <w:rsid w:val="008B196D"/>
    <w:rsid w:val="008B19C3"/>
    <w:rsid w:val="008B1A20"/>
    <w:rsid w:val="008B1AF9"/>
    <w:rsid w:val="008B1C21"/>
    <w:rsid w:val="008B1CB9"/>
    <w:rsid w:val="008B1CD7"/>
    <w:rsid w:val="008B1D73"/>
    <w:rsid w:val="008B1E67"/>
    <w:rsid w:val="008B1EFF"/>
    <w:rsid w:val="008B1F22"/>
    <w:rsid w:val="008B2061"/>
    <w:rsid w:val="008B206E"/>
    <w:rsid w:val="008B21A3"/>
    <w:rsid w:val="008B22E1"/>
    <w:rsid w:val="008B22EF"/>
    <w:rsid w:val="008B2327"/>
    <w:rsid w:val="008B2362"/>
    <w:rsid w:val="008B2504"/>
    <w:rsid w:val="008B2518"/>
    <w:rsid w:val="008B2608"/>
    <w:rsid w:val="008B266E"/>
    <w:rsid w:val="008B26D6"/>
    <w:rsid w:val="008B2776"/>
    <w:rsid w:val="008B2B6A"/>
    <w:rsid w:val="008B2BCB"/>
    <w:rsid w:val="008B2C40"/>
    <w:rsid w:val="008B2C6B"/>
    <w:rsid w:val="008B2CB5"/>
    <w:rsid w:val="008B2F18"/>
    <w:rsid w:val="008B2FAB"/>
    <w:rsid w:val="008B3064"/>
    <w:rsid w:val="008B315A"/>
    <w:rsid w:val="008B32D0"/>
    <w:rsid w:val="008B33B8"/>
    <w:rsid w:val="008B345C"/>
    <w:rsid w:val="008B3483"/>
    <w:rsid w:val="008B3534"/>
    <w:rsid w:val="008B37DF"/>
    <w:rsid w:val="008B38B2"/>
    <w:rsid w:val="008B39A0"/>
    <w:rsid w:val="008B39DA"/>
    <w:rsid w:val="008B3AA9"/>
    <w:rsid w:val="008B3B3A"/>
    <w:rsid w:val="008B3BFE"/>
    <w:rsid w:val="008B3C2F"/>
    <w:rsid w:val="008B3C38"/>
    <w:rsid w:val="008B3CF7"/>
    <w:rsid w:val="008B3D0C"/>
    <w:rsid w:val="008B3E35"/>
    <w:rsid w:val="008B3EAE"/>
    <w:rsid w:val="008B3F1E"/>
    <w:rsid w:val="008B402C"/>
    <w:rsid w:val="008B4090"/>
    <w:rsid w:val="008B40AB"/>
    <w:rsid w:val="008B40D1"/>
    <w:rsid w:val="008B41EF"/>
    <w:rsid w:val="008B431A"/>
    <w:rsid w:val="008B4449"/>
    <w:rsid w:val="008B45A5"/>
    <w:rsid w:val="008B4697"/>
    <w:rsid w:val="008B46DA"/>
    <w:rsid w:val="008B474D"/>
    <w:rsid w:val="008B474E"/>
    <w:rsid w:val="008B483F"/>
    <w:rsid w:val="008B48A1"/>
    <w:rsid w:val="008B48BF"/>
    <w:rsid w:val="008B4AC6"/>
    <w:rsid w:val="008B4BFB"/>
    <w:rsid w:val="008B4C7E"/>
    <w:rsid w:val="008B4CB9"/>
    <w:rsid w:val="008B4D21"/>
    <w:rsid w:val="008B4D3E"/>
    <w:rsid w:val="008B4DBB"/>
    <w:rsid w:val="008B4DC8"/>
    <w:rsid w:val="008B4DD8"/>
    <w:rsid w:val="008B4ED1"/>
    <w:rsid w:val="008B4F03"/>
    <w:rsid w:val="008B4F06"/>
    <w:rsid w:val="008B4F71"/>
    <w:rsid w:val="008B4F9F"/>
    <w:rsid w:val="008B5067"/>
    <w:rsid w:val="008B50DF"/>
    <w:rsid w:val="008B51AD"/>
    <w:rsid w:val="008B537E"/>
    <w:rsid w:val="008B5455"/>
    <w:rsid w:val="008B548F"/>
    <w:rsid w:val="008B54B9"/>
    <w:rsid w:val="008B5542"/>
    <w:rsid w:val="008B5685"/>
    <w:rsid w:val="008B56B0"/>
    <w:rsid w:val="008B5794"/>
    <w:rsid w:val="008B5795"/>
    <w:rsid w:val="008B57B1"/>
    <w:rsid w:val="008B582B"/>
    <w:rsid w:val="008B58B8"/>
    <w:rsid w:val="008B596D"/>
    <w:rsid w:val="008B5A3B"/>
    <w:rsid w:val="008B5A98"/>
    <w:rsid w:val="008B5B20"/>
    <w:rsid w:val="008B5B27"/>
    <w:rsid w:val="008B5B7F"/>
    <w:rsid w:val="008B5BE2"/>
    <w:rsid w:val="008B5C64"/>
    <w:rsid w:val="008B5DE8"/>
    <w:rsid w:val="008B5DEE"/>
    <w:rsid w:val="008B5DF7"/>
    <w:rsid w:val="008B5ED5"/>
    <w:rsid w:val="008B5F13"/>
    <w:rsid w:val="008B5FCB"/>
    <w:rsid w:val="008B5FD4"/>
    <w:rsid w:val="008B5FD5"/>
    <w:rsid w:val="008B6082"/>
    <w:rsid w:val="008B6151"/>
    <w:rsid w:val="008B6154"/>
    <w:rsid w:val="008B6244"/>
    <w:rsid w:val="008B62DC"/>
    <w:rsid w:val="008B642A"/>
    <w:rsid w:val="008B6438"/>
    <w:rsid w:val="008B6543"/>
    <w:rsid w:val="008B654A"/>
    <w:rsid w:val="008B656E"/>
    <w:rsid w:val="008B65E3"/>
    <w:rsid w:val="008B65EF"/>
    <w:rsid w:val="008B6602"/>
    <w:rsid w:val="008B663A"/>
    <w:rsid w:val="008B66DC"/>
    <w:rsid w:val="008B6791"/>
    <w:rsid w:val="008B6870"/>
    <w:rsid w:val="008B68E1"/>
    <w:rsid w:val="008B6AB6"/>
    <w:rsid w:val="008B6B86"/>
    <w:rsid w:val="008B6C3D"/>
    <w:rsid w:val="008B6CBB"/>
    <w:rsid w:val="008B6D75"/>
    <w:rsid w:val="008B6D99"/>
    <w:rsid w:val="008B705D"/>
    <w:rsid w:val="008B70DF"/>
    <w:rsid w:val="008B71FA"/>
    <w:rsid w:val="008B7446"/>
    <w:rsid w:val="008B747F"/>
    <w:rsid w:val="008B7683"/>
    <w:rsid w:val="008B7839"/>
    <w:rsid w:val="008B785B"/>
    <w:rsid w:val="008B7914"/>
    <w:rsid w:val="008B7A1F"/>
    <w:rsid w:val="008B7C93"/>
    <w:rsid w:val="008B7D7B"/>
    <w:rsid w:val="008B7DAC"/>
    <w:rsid w:val="008B7E74"/>
    <w:rsid w:val="008B7E9B"/>
    <w:rsid w:val="008B7F34"/>
    <w:rsid w:val="008C0044"/>
    <w:rsid w:val="008C00A2"/>
    <w:rsid w:val="008C0105"/>
    <w:rsid w:val="008C0136"/>
    <w:rsid w:val="008C0144"/>
    <w:rsid w:val="008C0190"/>
    <w:rsid w:val="008C0236"/>
    <w:rsid w:val="008C02BF"/>
    <w:rsid w:val="008C0421"/>
    <w:rsid w:val="008C0494"/>
    <w:rsid w:val="008C04EA"/>
    <w:rsid w:val="008C0521"/>
    <w:rsid w:val="008C05F6"/>
    <w:rsid w:val="008C061A"/>
    <w:rsid w:val="008C0661"/>
    <w:rsid w:val="008C06CF"/>
    <w:rsid w:val="008C078F"/>
    <w:rsid w:val="008C0838"/>
    <w:rsid w:val="008C0985"/>
    <w:rsid w:val="008C0990"/>
    <w:rsid w:val="008C0B63"/>
    <w:rsid w:val="008C0C63"/>
    <w:rsid w:val="008C0C91"/>
    <w:rsid w:val="008C0D5D"/>
    <w:rsid w:val="008C0E3C"/>
    <w:rsid w:val="008C0E7B"/>
    <w:rsid w:val="008C0F63"/>
    <w:rsid w:val="008C10D8"/>
    <w:rsid w:val="008C10DB"/>
    <w:rsid w:val="008C10DF"/>
    <w:rsid w:val="008C10F5"/>
    <w:rsid w:val="008C1113"/>
    <w:rsid w:val="008C1132"/>
    <w:rsid w:val="008C119B"/>
    <w:rsid w:val="008C136B"/>
    <w:rsid w:val="008C142A"/>
    <w:rsid w:val="008C14CF"/>
    <w:rsid w:val="008C1852"/>
    <w:rsid w:val="008C193E"/>
    <w:rsid w:val="008C19B1"/>
    <w:rsid w:val="008C1A4B"/>
    <w:rsid w:val="008C1AA8"/>
    <w:rsid w:val="008C1AC6"/>
    <w:rsid w:val="008C1D29"/>
    <w:rsid w:val="008C1E13"/>
    <w:rsid w:val="008C1EAF"/>
    <w:rsid w:val="008C1FC7"/>
    <w:rsid w:val="008C211E"/>
    <w:rsid w:val="008C2191"/>
    <w:rsid w:val="008C227B"/>
    <w:rsid w:val="008C22B9"/>
    <w:rsid w:val="008C22FE"/>
    <w:rsid w:val="008C233E"/>
    <w:rsid w:val="008C23C7"/>
    <w:rsid w:val="008C241F"/>
    <w:rsid w:val="008C2598"/>
    <w:rsid w:val="008C2674"/>
    <w:rsid w:val="008C2766"/>
    <w:rsid w:val="008C27B7"/>
    <w:rsid w:val="008C288D"/>
    <w:rsid w:val="008C28D5"/>
    <w:rsid w:val="008C29A7"/>
    <w:rsid w:val="008C2B0C"/>
    <w:rsid w:val="008C2BF3"/>
    <w:rsid w:val="008C2C53"/>
    <w:rsid w:val="008C2CDB"/>
    <w:rsid w:val="008C2E3D"/>
    <w:rsid w:val="008C2E55"/>
    <w:rsid w:val="008C2EA8"/>
    <w:rsid w:val="008C2EE3"/>
    <w:rsid w:val="008C2F89"/>
    <w:rsid w:val="008C3255"/>
    <w:rsid w:val="008C34BB"/>
    <w:rsid w:val="008C35BA"/>
    <w:rsid w:val="008C3636"/>
    <w:rsid w:val="008C365B"/>
    <w:rsid w:val="008C36F0"/>
    <w:rsid w:val="008C387D"/>
    <w:rsid w:val="008C3A44"/>
    <w:rsid w:val="008C3CB3"/>
    <w:rsid w:val="008C3D68"/>
    <w:rsid w:val="008C3D82"/>
    <w:rsid w:val="008C3DFF"/>
    <w:rsid w:val="008C3E3F"/>
    <w:rsid w:val="008C3F3C"/>
    <w:rsid w:val="008C3FE6"/>
    <w:rsid w:val="008C40C7"/>
    <w:rsid w:val="008C412B"/>
    <w:rsid w:val="008C4176"/>
    <w:rsid w:val="008C43EC"/>
    <w:rsid w:val="008C45B6"/>
    <w:rsid w:val="008C464C"/>
    <w:rsid w:val="008C467B"/>
    <w:rsid w:val="008C476B"/>
    <w:rsid w:val="008C478E"/>
    <w:rsid w:val="008C4792"/>
    <w:rsid w:val="008C47D1"/>
    <w:rsid w:val="008C482E"/>
    <w:rsid w:val="008C483E"/>
    <w:rsid w:val="008C4977"/>
    <w:rsid w:val="008C49D5"/>
    <w:rsid w:val="008C4BF2"/>
    <w:rsid w:val="008C4C37"/>
    <w:rsid w:val="008C4C52"/>
    <w:rsid w:val="008C4D3B"/>
    <w:rsid w:val="008C4DC1"/>
    <w:rsid w:val="008C50E0"/>
    <w:rsid w:val="008C5111"/>
    <w:rsid w:val="008C51FF"/>
    <w:rsid w:val="008C526C"/>
    <w:rsid w:val="008C52E6"/>
    <w:rsid w:val="008C5360"/>
    <w:rsid w:val="008C5373"/>
    <w:rsid w:val="008C5464"/>
    <w:rsid w:val="008C54DA"/>
    <w:rsid w:val="008C5509"/>
    <w:rsid w:val="008C582E"/>
    <w:rsid w:val="008C5959"/>
    <w:rsid w:val="008C59E4"/>
    <w:rsid w:val="008C5A37"/>
    <w:rsid w:val="008C5AF3"/>
    <w:rsid w:val="008C5D30"/>
    <w:rsid w:val="008C5DA9"/>
    <w:rsid w:val="008C5E1E"/>
    <w:rsid w:val="008C5EE3"/>
    <w:rsid w:val="008C5F06"/>
    <w:rsid w:val="008C61A2"/>
    <w:rsid w:val="008C6314"/>
    <w:rsid w:val="008C6344"/>
    <w:rsid w:val="008C6412"/>
    <w:rsid w:val="008C644B"/>
    <w:rsid w:val="008C647E"/>
    <w:rsid w:val="008C651D"/>
    <w:rsid w:val="008C662D"/>
    <w:rsid w:val="008C67A8"/>
    <w:rsid w:val="008C68E5"/>
    <w:rsid w:val="008C694A"/>
    <w:rsid w:val="008C699C"/>
    <w:rsid w:val="008C69B4"/>
    <w:rsid w:val="008C69C3"/>
    <w:rsid w:val="008C6A28"/>
    <w:rsid w:val="008C6ABF"/>
    <w:rsid w:val="008C6B85"/>
    <w:rsid w:val="008C6B9E"/>
    <w:rsid w:val="008C6C80"/>
    <w:rsid w:val="008C6D21"/>
    <w:rsid w:val="008C6D83"/>
    <w:rsid w:val="008C6DE8"/>
    <w:rsid w:val="008C6EF1"/>
    <w:rsid w:val="008C6EF6"/>
    <w:rsid w:val="008C6F15"/>
    <w:rsid w:val="008C703F"/>
    <w:rsid w:val="008C7088"/>
    <w:rsid w:val="008C712A"/>
    <w:rsid w:val="008C726F"/>
    <w:rsid w:val="008C7373"/>
    <w:rsid w:val="008C759A"/>
    <w:rsid w:val="008C75AF"/>
    <w:rsid w:val="008C75C2"/>
    <w:rsid w:val="008C76D4"/>
    <w:rsid w:val="008C76E0"/>
    <w:rsid w:val="008C7853"/>
    <w:rsid w:val="008C7939"/>
    <w:rsid w:val="008C7AAF"/>
    <w:rsid w:val="008C7BF4"/>
    <w:rsid w:val="008C7C05"/>
    <w:rsid w:val="008C7D47"/>
    <w:rsid w:val="008C7E22"/>
    <w:rsid w:val="008C7E8A"/>
    <w:rsid w:val="008C7F9A"/>
    <w:rsid w:val="008C7FA0"/>
    <w:rsid w:val="008C7FA7"/>
    <w:rsid w:val="008C7FC9"/>
    <w:rsid w:val="008D00E6"/>
    <w:rsid w:val="008D0158"/>
    <w:rsid w:val="008D0246"/>
    <w:rsid w:val="008D02EC"/>
    <w:rsid w:val="008D03C8"/>
    <w:rsid w:val="008D049C"/>
    <w:rsid w:val="008D0580"/>
    <w:rsid w:val="008D05A6"/>
    <w:rsid w:val="008D06CD"/>
    <w:rsid w:val="008D08AD"/>
    <w:rsid w:val="008D08BE"/>
    <w:rsid w:val="008D08D7"/>
    <w:rsid w:val="008D09A6"/>
    <w:rsid w:val="008D0AAE"/>
    <w:rsid w:val="008D0B0A"/>
    <w:rsid w:val="008D0BF4"/>
    <w:rsid w:val="008D0C02"/>
    <w:rsid w:val="008D0C03"/>
    <w:rsid w:val="008D0CA7"/>
    <w:rsid w:val="008D0D08"/>
    <w:rsid w:val="008D0DB5"/>
    <w:rsid w:val="008D0DC5"/>
    <w:rsid w:val="008D0EB3"/>
    <w:rsid w:val="008D0EE1"/>
    <w:rsid w:val="008D100C"/>
    <w:rsid w:val="008D1063"/>
    <w:rsid w:val="008D1102"/>
    <w:rsid w:val="008D1257"/>
    <w:rsid w:val="008D12AE"/>
    <w:rsid w:val="008D1378"/>
    <w:rsid w:val="008D1479"/>
    <w:rsid w:val="008D1642"/>
    <w:rsid w:val="008D166E"/>
    <w:rsid w:val="008D16AC"/>
    <w:rsid w:val="008D180B"/>
    <w:rsid w:val="008D185B"/>
    <w:rsid w:val="008D1962"/>
    <w:rsid w:val="008D1A4E"/>
    <w:rsid w:val="008D1A6A"/>
    <w:rsid w:val="008D1A86"/>
    <w:rsid w:val="008D1A8A"/>
    <w:rsid w:val="008D1BFA"/>
    <w:rsid w:val="008D227B"/>
    <w:rsid w:val="008D22F9"/>
    <w:rsid w:val="008D22FC"/>
    <w:rsid w:val="008D236A"/>
    <w:rsid w:val="008D2405"/>
    <w:rsid w:val="008D25A5"/>
    <w:rsid w:val="008D2639"/>
    <w:rsid w:val="008D27E8"/>
    <w:rsid w:val="008D2805"/>
    <w:rsid w:val="008D2809"/>
    <w:rsid w:val="008D2A2F"/>
    <w:rsid w:val="008D2A34"/>
    <w:rsid w:val="008D2AD8"/>
    <w:rsid w:val="008D2C5D"/>
    <w:rsid w:val="008D2D6D"/>
    <w:rsid w:val="008D2DE4"/>
    <w:rsid w:val="008D2E41"/>
    <w:rsid w:val="008D2F3C"/>
    <w:rsid w:val="008D2F5D"/>
    <w:rsid w:val="008D3058"/>
    <w:rsid w:val="008D31CF"/>
    <w:rsid w:val="008D357B"/>
    <w:rsid w:val="008D3619"/>
    <w:rsid w:val="008D361C"/>
    <w:rsid w:val="008D38B5"/>
    <w:rsid w:val="008D3907"/>
    <w:rsid w:val="008D3925"/>
    <w:rsid w:val="008D3960"/>
    <w:rsid w:val="008D3A97"/>
    <w:rsid w:val="008D3AC3"/>
    <w:rsid w:val="008D3B4D"/>
    <w:rsid w:val="008D3C68"/>
    <w:rsid w:val="008D3D81"/>
    <w:rsid w:val="008D3E1C"/>
    <w:rsid w:val="008D3E24"/>
    <w:rsid w:val="008D3F35"/>
    <w:rsid w:val="008D4088"/>
    <w:rsid w:val="008D40C2"/>
    <w:rsid w:val="008D41A0"/>
    <w:rsid w:val="008D4243"/>
    <w:rsid w:val="008D4413"/>
    <w:rsid w:val="008D4436"/>
    <w:rsid w:val="008D445D"/>
    <w:rsid w:val="008D44C0"/>
    <w:rsid w:val="008D4573"/>
    <w:rsid w:val="008D45E7"/>
    <w:rsid w:val="008D4633"/>
    <w:rsid w:val="008D47AC"/>
    <w:rsid w:val="008D47AD"/>
    <w:rsid w:val="008D47D6"/>
    <w:rsid w:val="008D4881"/>
    <w:rsid w:val="008D4B0C"/>
    <w:rsid w:val="008D4C03"/>
    <w:rsid w:val="008D4C4D"/>
    <w:rsid w:val="008D4E55"/>
    <w:rsid w:val="008D4E5D"/>
    <w:rsid w:val="008D4E84"/>
    <w:rsid w:val="008D4F80"/>
    <w:rsid w:val="008D5091"/>
    <w:rsid w:val="008D50E0"/>
    <w:rsid w:val="008D515A"/>
    <w:rsid w:val="008D51F6"/>
    <w:rsid w:val="008D5201"/>
    <w:rsid w:val="008D53F3"/>
    <w:rsid w:val="008D5524"/>
    <w:rsid w:val="008D56C3"/>
    <w:rsid w:val="008D5862"/>
    <w:rsid w:val="008D588F"/>
    <w:rsid w:val="008D5952"/>
    <w:rsid w:val="008D5956"/>
    <w:rsid w:val="008D5962"/>
    <w:rsid w:val="008D5A18"/>
    <w:rsid w:val="008D5BB5"/>
    <w:rsid w:val="008D5C64"/>
    <w:rsid w:val="008D5D0A"/>
    <w:rsid w:val="008D5D80"/>
    <w:rsid w:val="008D5D95"/>
    <w:rsid w:val="008D5DE7"/>
    <w:rsid w:val="008D5EE3"/>
    <w:rsid w:val="008D5F04"/>
    <w:rsid w:val="008D607D"/>
    <w:rsid w:val="008D60C7"/>
    <w:rsid w:val="008D611E"/>
    <w:rsid w:val="008D6287"/>
    <w:rsid w:val="008D6363"/>
    <w:rsid w:val="008D656C"/>
    <w:rsid w:val="008D690A"/>
    <w:rsid w:val="008D691F"/>
    <w:rsid w:val="008D69AB"/>
    <w:rsid w:val="008D69E7"/>
    <w:rsid w:val="008D6A39"/>
    <w:rsid w:val="008D6AD6"/>
    <w:rsid w:val="008D6B08"/>
    <w:rsid w:val="008D6B0A"/>
    <w:rsid w:val="008D6B76"/>
    <w:rsid w:val="008D6B9D"/>
    <w:rsid w:val="008D6DD0"/>
    <w:rsid w:val="008D6EA7"/>
    <w:rsid w:val="008D6F24"/>
    <w:rsid w:val="008D6F2D"/>
    <w:rsid w:val="008D6FF2"/>
    <w:rsid w:val="008D700E"/>
    <w:rsid w:val="008D7053"/>
    <w:rsid w:val="008D705F"/>
    <w:rsid w:val="008D7132"/>
    <w:rsid w:val="008D7251"/>
    <w:rsid w:val="008D7304"/>
    <w:rsid w:val="008D73F3"/>
    <w:rsid w:val="008D74DA"/>
    <w:rsid w:val="008D74E8"/>
    <w:rsid w:val="008D74E9"/>
    <w:rsid w:val="008D7589"/>
    <w:rsid w:val="008D75A5"/>
    <w:rsid w:val="008D7605"/>
    <w:rsid w:val="008D7655"/>
    <w:rsid w:val="008D768F"/>
    <w:rsid w:val="008D7695"/>
    <w:rsid w:val="008D7759"/>
    <w:rsid w:val="008D776A"/>
    <w:rsid w:val="008D783C"/>
    <w:rsid w:val="008D7886"/>
    <w:rsid w:val="008D78E1"/>
    <w:rsid w:val="008D79BC"/>
    <w:rsid w:val="008D7BE9"/>
    <w:rsid w:val="008D7C27"/>
    <w:rsid w:val="008D7C2C"/>
    <w:rsid w:val="008D7D6B"/>
    <w:rsid w:val="008D7E2A"/>
    <w:rsid w:val="008D7EDF"/>
    <w:rsid w:val="008D7F85"/>
    <w:rsid w:val="008D7FB0"/>
    <w:rsid w:val="008E0002"/>
    <w:rsid w:val="008E0025"/>
    <w:rsid w:val="008E01BB"/>
    <w:rsid w:val="008E01CB"/>
    <w:rsid w:val="008E0315"/>
    <w:rsid w:val="008E04DC"/>
    <w:rsid w:val="008E056F"/>
    <w:rsid w:val="008E0574"/>
    <w:rsid w:val="008E05E4"/>
    <w:rsid w:val="008E06CA"/>
    <w:rsid w:val="008E080B"/>
    <w:rsid w:val="008E0965"/>
    <w:rsid w:val="008E0A26"/>
    <w:rsid w:val="008E0C29"/>
    <w:rsid w:val="008E0C55"/>
    <w:rsid w:val="008E0CDD"/>
    <w:rsid w:val="008E0D26"/>
    <w:rsid w:val="008E0D46"/>
    <w:rsid w:val="008E0D48"/>
    <w:rsid w:val="008E0E01"/>
    <w:rsid w:val="008E0E1B"/>
    <w:rsid w:val="008E0E71"/>
    <w:rsid w:val="008E0EC0"/>
    <w:rsid w:val="008E0FC6"/>
    <w:rsid w:val="008E1152"/>
    <w:rsid w:val="008E11D2"/>
    <w:rsid w:val="008E1260"/>
    <w:rsid w:val="008E1477"/>
    <w:rsid w:val="008E1553"/>
    <w:rsid w:val="008E1589"/>
    <w:rsid w:val="008E1597"/>
    <w:rsid w:val="008E15F8"/>
    <w:rsid w:val="008E1605"/>
    <w:rsid w:val="008E1623"/>
    <w:rsid w:val="008E1628"/>
    <w:rsid w:val="008E169A"/>
    <w:rsid w:val="008E170D"/>
    <w:rsid w:val="008E1755"/>
    <w:rsid w:val="008E18C7"/>
    <w:rsid w:val="008E1AEC"/>
    <w:rsid w:val="008E1C51"/>
    <w:rsid w:val="008E1F33"/>
    <w:rsid w:val="008E1F8D"/>
    <w:rsid w:val="008E2077"/>
    <w:rsid w:val="008E20B4"/>
    <w:rsid w:val="008E2107"/>
    <w:rsid w:val="008E218D"/>
    <w:rsid w:val="008E2335"/>
    <w:rsid w:val="008E2354"/>
    <w:rsid w:val="008E240E"/>
    <w:rsid w:val="008E248B"/>
    <w:rsid w:val="008E25B8"/>
    <w:rsid w:val="008E25E4"/>
    <w:rsid w:val="008E26AD"/>
    <w:rsid w:val="008E2818"/>
    <w:rsid w:val="008E28B9"/>
    <w:rsid w:val="008E28F6"/>
    <w:rsid w:val="008E2A32"/>
    <w:rsid w:val="008E2A69"/>
    <w:rsid w:val="008E2B0D"/>
    <w:rsid w:val="008E2B50"/>
    <w:rsid w:val="008E2BD3"/>
    <w:rsid w:val="008E2C1E"/>
    <w:rsid w:val="008E2CE6"/>
    <w:rsid w:val="008E2D5F"/>
    <w:rsid w:val="008E2DB8"/>
    <w:rsid w:val="008E2DCC"/>
    <w:rsid w:val="008E2EC0"/>
    <w:rsid w:val="008E2F69"/>
    <w:rsid w:val="008E3037"/>
    <w:rsid w:val="008E3081"/>
    <w:rsid w:val="008E30A0"/>
    <w:rsid w:val="008E311A"/>
    <w:rsid w:val="008E3165"/>
    <w:rsid w:val="008E31FC"/>
    <w:rsid w:val="008E3278"/>
    <w:rsid w:val="008E3338"/>
    <w:rsid w:val="008E33A9"/>
    <w:rsid w:val="008E36DA"/>
    <w:rsid w:val="008E3732"/>
    <w:rsid w:val="008E379D"/>
    <w:rsid w:val="008E37AF"/>
    <w:rsid w:val="008E3AA4"/>
    <w:rsid w:val="008E3AE4"/>
    <w:rsid w:val="008E3B1F"/>
    <w:rsid w:val="008E3CC9"/>
    <w:rsid w:val="008E3D6D"/>
    <w:rsid w:val="008E3D84"/>
    <w:rsid w:val="008E3DE6"/>
    <w:rsid w:val="008E3F6E"/>
    <w:rsid w:val="008E3FA9"/>
    <w:rsid w:val="008E400B"/>
    <w:rsid w:val="008E407E"/>
    <w:rsid w:val="008E40D4"/>
    <w:rsid w:val="008E40EE"/>
    <w:rsid w:val="008E4142"/>
    <w:rsid w:val="008E4150"/>
    <w:rsid w:val="008E41F7"/>
    <w:rsid w:val="008E4383"/>
    <w:rsid w:val="008E46EB"/>
    <w:rsid w:val="008E47B5"/>
    <w:rsid w:val="008E47E6"/>
    <w:rsid w:val="008E4800"/>
    <w:rsid w:val="008E482D"/>
    <w:rsid w:val="008E48B2"/>
    <w:rsid w:val="008E48F4"/>
    <w:rsid w:val="008E49DD"/>
    <w:rsid w:val="008E4A31"/>
    <w:rsid w:val="008E4A52"/>
    <w:rsid w:val="008E4B1C"/>
    <w:rsid w:val="008E4B85"/>
    <w:rsid w:val="008E4B8B"/>
    <w:rsid w:val="008E4C6A"/>
    <w:rsid w:val="008E4C8B"/>
    <w:rsid w:val="008E4DBF"/>
    <w:rsid w:val="008E4E92"/>
    <w:rsid w:val="008E4F10"/>
    <w:rsid w:val="008E4F24"/>
    <w:rsid w:val="008E4FCA"/>
    <w:rsid w:val="008E5053"/>
    <w:rsid w:val="008E514B"/>
    <w:rsid w:val="008E516A"/>
    <w:rsid w:val="008E51DB"/>
    <w:rsid w:val="008E52A2"/>
    <w:rsid w:val="008E52B9"/>
    <w:rsid w:val="008E52F5"/>
    <w:rsid w:val="008E535F"/>
    <w:rsid w:val="008E53EE"/>
    <w:rsid w:val="008E56AF"/>
    <w:rsid w:val="008E57F9"/>
    <w:rsid w:val="008E5A38"/>
    <w:rsid w:val="008E5A61"/>
    <w:rsid w:val="008E5A6A"/>
    <w:rsid w:val="008E5AF2"/>
    <w:rsid w:val="008E5B8C"/>
    <w:rsid w:val="008E5BDA"/>
    <w:rsid w:val="008E5C51"/>
    <w:rsid w:val="008E5E93"/>
    <w:rsid w:val="008E5F41"/>
    <w:rsid w:val="008E5F89"/>
    <w:rsid w:val="008E5FC1"/>
    <w:rsid w:val="008E6156"/>
    <w:rsid w:val="008E617B"/>
    <w:rsid w:val="008E62A0"/>
    <w:rsid w:val="008E62CF"/>
    <w:rsid w:val="008E6375"/>
    <w:rsid w:val="008E63ED"/>
    <w:rsid w:val="008E6411"/>
    <w:rsid w:val="008E6430"/>
    <w:rsid w:val="008E652F"/>
    <w:rsid w:val="008E65FE"/>
    <w:rsid w:val="008E662E"/>
    <w:rsid w:val="008E66B6"/>
    <w:rsid w:val="008E67E0"/>
    <w:rsid w:val="008E692E"/>
    <w:rsid w:val="008E6A27"/>
    <w:rsid w:val="008E6A64"/>
    <w:rsid w:val="008E6A85"/>
    <w:rsid w:val="008E6C44"/>
    <w:rsid w:val="008E6C85"/>
    <w:rsid w:val="008E6D0C"/>
    <w:rsid w:val="008E6DBC"/>
    <w:rsid w:val="008E6E52"/>
    <w:rsid w:val="008E6F3B"/>
    <w:rsid w:val="008E7088"/>
    <w:rsid w:val="008E716A"/>
    <w:rsid w:val="008E719D"/>
    <w:rsid w:val="008E71D2"/>
    <w:rsid w:val="008E71F7"/>
    <w:rsid w:val="008E7277"/>
    <w:rsid w:val="008E7291"/>
    <w:rsid w:val="008E7300"/>
    <w:rsid w:val="008E7365"/>
    <w:rsid w:val="008E74BC"/>
    <w:rsid w:val="008E74FD"/>
    <w:rsid w:val="008E75A6"/>
    <w:rsid w:val="008E75AB"/>
    <w:rsid w:val="008E7815"/>
    <w:rsid w:val="008E796F"/>
    <w:rsid w:val="008E7B9C"/>
    <w:rsid w:val="008E7C61"/>
    <w:rsid w:val="008E7C6E"/>
    <w:rsid w:val="008E7D77"/>
    <w:rsid w:val="008E7F68"/>
    <w:rsid w:val="008E7FB4"/>
    <w:rsid w:val="008E7FB8"/>
    <w:rsid w:val="008E7FBC"/>
    <w:rsid w:val="008F0199"/>
    <w:rsid w:val="008F01D1"/>
    <w:rsid w:val="008F02B8"/>
    <w:rsid w:val="008F02E4"/>
    <w:rsid w:val="008F0359"/>
    <w:rsid w:val="008F03E1"/>
    <w:rsid w:val="008F05FB"/>
    <w:rsid w:val="008F0602"/>
    <w:rsid w:val="008F06F1"/>
    <w:rsid w:val="008F07FD"/>
    <w:rsid w:val="008F0806"/>
    <w:rsid w:val="008F089F"/>
    <w:rsid w:val="008F0A9C"/>
    <w:rsid w:val="008F0B63"/>
    <w:rsid w:val="008F0BBF"/>
    <w:rsid w:val="008F0C01"/>
    <w:rsid w:val="008F0C9A"/>
    <w:rsid w:val="008F0DD4"/>
    <w:rsid w:val="008F0E3C"/>
    <w:rsid w:val="008F0F5C"/>
    <w:rsid w:val="008F1071"/>
    <w:rsid w:val="008F1104"/>
    <w:rsid w:val="008F1354"/>
    <w:rsid w:val="008F144D"/>
    <w:rsid w:val="008F155B"/>
    <w:rsid w:val="008F1652"/>
    <w:rsid w:val="008F165F"/>
    <w:rsid w:val="008F17F7"/>
    <w:rsid w:val="008F1889"/>
    <w:rsid w:val="008F19F3"/>
    <w:rsid w:val="008F1A6E"/>
    <w:rsid w:val="008F1AE0"/>
    <w:rsid w:val="008F1B22"/>
    <w:rsid w:val="008F1BA1"/>
    <w:rsid w:val="008F1BAC"/>
    <w:rsid w:val="008F1BB2"/>
    <w:rsid w:val="008F1CAE"/>
    <w:rsid w:val="008F1D03"/>
    <w:rsid w:val="008F1DB5"/>
    <w:rsid w:val="008F1F50"/>
    <w:rsid w:val="008F2121"/>
    <w:rsid w:val="008F2191"/>
    <w:rsid w:val="008F2232"/>
    <w:rsid w:val="008F233B"/>
    <w:rsid w:val="008F2447"/>
    <w:rsid w:val="008F2498"/>
    <w:rsid w:val="008F2601"/>
    <w:rsid w:val="008F2626"/>
    <w:rsid w:val="008F26A8"/>
    <w:rsid w:val="008F272B"/>
    <w:rsid w:val="008F2882"/>
    <w:rsid w:val="008F28B9"/>
    <w:rsid w:val="008F2936"/>
    <w:rsid w:val="008F29BA"/>
    <w:rsid w:val="008F29D3"/>
    <w:rsid w:val="008F2A01"/>
    <w:rsid w:val="008F2A48"/>
    <w:rsid w:val="008F2BC8"/>
    <w:rsid w:val="008F2C14"/>
    <w:rsid w:val="008F2C8B"/>
    <w:rsid w:val="008F2DB7"/>
    <w:rsid w:val="008F2ED7"/>
    <w:rsid w:val="008F2F17"/>
    <w:rsid w:val="008F2F21"/>
    <w:rsid w:val="008F324B"/>
    <w:rsid w:val="008F32D5"/>
    <w:rsid w:val="008F3334"/>
    <w:rsid w:val="008F33A1"/>
    <w:rsid w:val="008F35B5"/>
    <w:rsid w:val="008F3649"/>
    <w:rsid w:val="008F3655"/>
    <w:rsid w:val="008F37A0"/>
    <w:rsid w:val="008F37D7"/>
    <w:rsid w:val="008F3867"/>
    <w:rsid w:val="008F38DD"/>
    <w:rsid w:val="008F3909"/>
    <w:rsid w:val="008F3A8F"/>
    <w:rsid w:val="008F3B22"/>
    <w:rsid w:val="008F3B62"/>
    <w:rsid w:val="008F3B96"/>
    <w:rsid w:val="008F3EB5"/>
    <w:rsid w:val="008F4099"/>
    <w:rsid w:val="008F40A9"/>
    <w:rsid w:val="008F40CB"/>
    <w:rsid w:val="008F40ED"/>
    <w:rsid w:val="008F4179"/>
    <w:rsid w:val="008F417B"/>
    <w:rsid w:val="008F41A0"/>
    <w:rsid w:val="008F42BB"/>
    <w:rsid w:val="008F4325"/>
    <w:rsid w:val="008F4548"/>
    <w:rsid w:val="008F465E"/>
    <w:rsid w:val="008F4668"/>
    <w:rsid w:val="008F467E"/>
    <w:rsid w:val="008F46B8"/>
    <w:rsid w:val="008F46D6"/>
    <w:rsid w:val="008F47E5"/>
    <w:rsid w:val="008F4815"/>
    <w:rsid w:val="008F481E"/>
    <w:rsid w:val="008F4939"/>
    <w:rsid w:val="008F49D3"/>
    <w:rsid w:val="008F4A9E"/>
    <w:rsid w:val="008F4AE1"/>
    <w:rsid w:val="008F4B3A"/>
    <w:rsid w:val="008F4B86"/>
    <w:rsid w:val="008F4BB1"/>
    <w:rsid w:val="008F4C5A"/>
    <w:rsid w:val="008F4C70"/>
    <w:rsid w:val="008F4C83"/>
    <w:rsid w:val="008F4CA2"/>
    <w:rsid w:val="008F4E2B"/>
    <w:rsid w:val="008F4EAD"/>
    <w:rsid w:val="008F51BC"/>
    <w:rsid w:val="008F51F5"/>
    <w:rsid w:val="008F5342"/>
    <w:rsid w:val="008F539B"/>
    <w:rsid w:val="008F5419"/>
    <w:rsid w:val="008F54B7"/>
    <w:rsid w:val="008F5541"/>
    <w:rsid w:val="008F5547"/>
    <w:rsid w:val="008F55AC"/>
    <w:rsid w:val="008F5643"/>
    <w:rsid w:val="008F5665"/>
    <w:rsid w:val="008F5B47"/>
    <w:rsid w:val="008F5C97"/>
    <w:rsid w:val="008F5D3A"/>
    <w:rsid w:val="008F5D3E"/>
    <w:rsid w:val="008F5DD8"/>
    <w:rsid w:val="008F601C"/>
    <w:rsid w:val="008F6117"/>
    <w:rsid w:val="008F6168"/>
    <w:rsid w:val="008F61B5"/>
    <w:rsid w:val="008F6610"/>
    <w:rsid w:val="008F667E"/>
    <w:rsid w:val="008F6770"/>
    <w:rsid w:val="008F67C4"/>
    <w:rsid w:val="008F6999"/>
    <w:rsid w:val="008F6A0F"/>
    <w:rsid w:val="008F6A17"/>
    <w:rsid w:val="008F6D0F"/>
    <w:rsid w:val="008F6D15"/>
    <w:rsid w:val="008F6D2C"/>
    <w:rsid w:val="008F6E19"/>
    <w:rsid w:val="008F6EF2"/>
    <w:rsid w:val="008F6F63"/>
    <w:rsid w:val="008F70B4"/>
    <w:rsid w:val="008F70CD"/>
    <w:rsid w:val="008F7106"/>
    <w:rsid w:val="008F7190"/>
    <w:rsid w:val="008F71D1"/>
    <w:rsid w:val="008F71EC"/>
    <w:rsid w:val="008F7224"/>
    <w:rsid w:val="008F7231"/>
    <w:rsid w:val="008F72DB"/>
    <w:rsid w:val="008F73F7"/>
    <w:rsid w:val="008F7405"/>
    <w:rsid w:val="008F745C"/>
    <w:rsid w:val="008F7464"/>
    <w:rsid w:val="008F7489"/>
    <w:rsid w:val="008F764B"/>
    <w:rsid w:val="008F765D"/>
    <w:rsid w:val="008F76EF"/>
    <w:rsid w:val="008F7769"/>
    <w:rsid w:val="008F7930"/>
    <w:rsid w:val="008F7997"/>
    <w:rsid w:val="008F7A59"/>
    <w:rsid w:val="008F7B65"/>
    <w:rsid w:val="008F7BF6"/>
    <w:rsid w:val="008F7C9D"/>
    <w:rsid w:val="008F7D9A"/>
    <w:rsid w:val="008F7DE4"/>
    <w:rsid w:val="008F7E7E"/>
    <w:rsid w:val="008F7F44"/>
    <w:rsid w:val="00900093"/>
    <w:rsid w:val="009001AA"/>
    <w:rsid w:val="009001FE"/>
    <w:rsid w:val="0090020F"/>
    <w:rsid w:val="00900211"/>
    <w:rsid w:val="009002F5"/>
    <w:rsid w:val="0090043B"/>
    <w:rsid w:val="00900482"/>
    <w:rsid w:val="009004FE"/>
    <w:rsid w:val="00900929"/>
    <w:rsid w:val="009009B7"/>
    <w:rsid w:val="00900AEF"/>
    <w:rsid w:val="00900C54"/>
    <w:rsid w:val="00900CFD"/>
    <w:rsid w:val="00900E15"/>
    <w:rsid w:val="00900E69"/>
    <w:rsid w:val="00900EB9"/>
    <w:rsid w:val="00900F2A"/>
    <w:rsid w:val="00900FF9"/>
    <w:rsid w:val="00901006"/>
    <w:rsid w:val="00901067"/>
    <w:rsid w:val="00901229"/>
    <w:rsid w:val="0090129E"/>
    <w:rsid w:val="009012E8"/>
    <w:rsid w:val="0090130F"/>
    <w:rsid w:val="009013F3"/>
    <w:rsid w:val="00901442"/>
    <w:rsid w:val="00901594"/>
    <w:rsid w:val="00901606"/>
    <w:rsid w:val="00901696"/>
    <w:rsid w:val="00901772"/>
    <w:rsid w:val="009017B3"/>
    <w:rsid w:val="0090186C"/>
    <w:rsid w:val="0090188A"/>
    <w:rsid w:val="00901961"/>
    <w:rsid w:val="00901991"/>
    <w:rsid w:val="009019A8"/>
    <w:rsid w:val="009019D4"/>
    <w:rsid w:val="00901A0C"/>
    <w:rsid w:val="00901A86"/>
    <w:rsid w:val="00901AC6"/>
    <w:rsid w:val="00901BAB"/>
    <w:rsid w:val="00901C07"/>
    <w:rsid w:val="00901C1D"/>
    <w:rsid w:val="00901D69"/>
    <w:rsid w:val="00901E7D"/>
    <w:rsid w:val="00901EAD"/>
    <w:rsid w:val="00902145"/>
    <w:rsid w:val="009021D0"/>
    <w:rsid w:val="0090223F"/>
    <w:rsid w:val="0090229F"/>
    <w:rsid w:val="00902305"/>
    <w:rsid w:val="0090237E"/>
    <w:rsid w:val="00902471"/>
    <w:rsid w:val="00902506"/>
    <w:rsid w:val="0090253E"/>
    <w:rsid w:val="00902625"/>
    <w:rsid w:val="009027AE"/>
    <w:rsid w:val="00902840"/>
    <w:rsid w:val="009028F3"/>
    <w:rsid w:val="00902AB5"/>
    <w:rsid w:val="00902CAD"/>
    <w:rsid w:val="00902E09"/>
    <w:rsid w:val="00902E91"/>
    <w:rsid w:val="00902FF4"/>
    <w:rsid w:val="009030B3"/>
    <w:rsid w:val="009031F5"/>
    <w:rsid w:val="0090328F"/>
    <w:rsid w:val="0090358A"/>
    <w:rsid w:val="00903599"/>
    <w:rsid w:val="009036D7"/>
    <w:rsid w:val="0090376A"/>
    <w:rsid w:val="00903770"/>
    <w:rsid w:val="0090377D"/>
    <w:rsid w:val="009037F2"/>
    <w:rsid w:val="00903831"/>
    <w:rsid w:val="00903835"/>
    <w:rsid w:val="009038E3"/>
    <w:rsid w:val="00903911"/>
    <w:rsid w:val="009039A8"/>
    <w:rsid w:val="00903A1F"/>
    <w:rsid w:val="00903B4F"/>
    <w:rsid w:val="00903DA4"/>
    <w:rsid w:val="00903EF5"/>
    <w:rsid w:val="00903FA4"/>
    <w:rsid w:val="009040A5"/>
    <w:rsid w:val="0090414A"/>
    <w:rsid w:val="009041B6"/>
    <w:rsid w:val="009045E5"/>
    <w:rsid w:val="009046D9"/>
    <w:rsid w:val="00904743"/>
    <w:rsid w:val="009047C9"/>
    <w:rsid w:val="009047CE"/>
    <w:rsid w:val="00904894"/>
    <w:rsid w:val="00904AB1"/>
    <w:rsid w:val="00904C15"/>
    <w:rsid w:val="00904C87"/>
    <w:rsid w:val="00904C96"/>
    <w:rsid w:val="00904D52"/>
    <w:rsid w:val="00904F2C"/>
    <w:rsid w:val="0090506B"/>
    <w:rsid w:val="00905181"/>
    <w:rsid w:val="009051AE"/>
    <w:rsid w:val="00905206"/>
    <w:rsid w:val="0090529F"/>
    <w:rsid w:val="009052EC"/>
    <w:rsid w:val="00905468"/>
    <w:rsid w:val="00905605"/>
    <w:rsid w:val="009056EC"/>
    <w:rsid w:val="00905858"/>
    <w:rsid w:val="009059AD"/>
    <w:rsid w:val="00905B9C"/>
    <w:rsid w:val="00905BF7"/>
    <w:rsid w:val="00905CFA"/>
    <w:rsid w:val="00905D39"/>
    <w:rsid w:val="00905D46"/>
    <w:rsid w:val="00905DD8"/>
    <w:rsid w:val="00905EBE"/>
    <w:rsid w:val="00905EC4"/>
    <w:rsid w:val="00905FC5"/>
    <w:rsid w:val="00905FEA"/>
    <w:rsid w:val="00906002"/>
    <w:rsid w:val="00906133"/>
    <w:rsid w:val="009061F0"/>
    <w:rsid w:val="009062A6"/>
    <w:rsid w:val="0090632D"/>
    <w:rsid w:val="00906559"/>
    <w:rsid w:val="00906587"/>
    <w:rsid w:val="00906615"/>
    <w:rsid w:val="00906650"/>
    <w:rsid w:val="00906692"/>
    <w:rsid w:val="0090671B"/>
    <w:rsid w:val="0090685B"/>
    <w:rsid w:val="009068FC"/>
    <w:rsid w:val="009069CE"/>
    <w:rsid w:val="00906A95"/>
    <w:rsid w:val="00906ABD"/>
    <w:rsid w:val="00906AD4"/>
    <w:rsid w:val="00906B07"/>
    <w:rsid w:val="00906B68"/>
    <w:rsid w:val="00906D6F"/>
    <w:rsid w:val="00906DE7"/>
    <w:rsid w:val="00906E13"/>
    <w:rsid w:val="00906E3A"/>
    <w:rsid w:val="00906E61"/>
    <w:rsid w:val="00906E80"/>
    <w:rsid w:val="00906F53"/>
    <w:rsid w:val="00906FB2"/>
    <w:rsid w:val="00906FBA"/>
    <w:rsid w:val="00907050"/>
    <w:rsid w:val="00907102"/>
    <w:rsid w:val="00907155"/>
    <w:rsid w:val="009071F9"/>
    <w:rsid w:val="009073C4"/>
    <w:rsid w:val="009074C4"/>
    <w:rsid w:val="00907532"/>
    <w:rsid w:val="009075C8"/>
    <w:rsid w:val="00907641"/>
    <w:rsid w:val="009076FE"/>
    <w:rsid w:val="00907760"/>
    <w:rsid w:val="00907813"/>
    <w:rsid w:val="00907829"/>
    <w:rsid w:val="009078CC"/>
    <w:rsid w:val="0090796E"/>
    <w:rsid w:val="009079A6"/>
    <w:rsid w:val="009079D1"/>
    <w:rsid w:val="00907A9B"/>
    <w:rsid w:val="00907BAD"/>
    <w:rsid w:val="00907C00"/>
    <w:rsid w:val="00907C4E"/>
    <w:rsid w:val="00907D7D"/>
    <w:rsid w:val="00907E83"/>
    <w:rsid w:val="00907EF5"/>
    <w:rsid w:val="00910122"/>
    <w:rsid w:val="00910173"/>
    <w:rsid w:val="0091022B"/>
    <w:rsid w:val="00910248"/>
    <w:rsid w:val="009102A1"/>
    <w:rsid w:val="0091030B"/>
    <w:rsid w:val="00910320"/>
    <w:rsid w:val="009103A3"/>
    <w:rsid w:val="009103F7"/>
    <w:rsid w:val="00910585"/>
    <w:rsid w:val="00910600"/>
    <w:rsid w:val="009106BA"/>
    <w:rsid w:val="009106CA"/>
    <w:rsid w:val="009108D1"/>
    <w:rsid w:val="0091096F"/>
    <w:rsid w:val="00910974"/>
    <w:rsid w:val="009109D0"/>
    <w:rsid w:val="00910AA1"/>
    <w:rsid w:val="00910BCC"/>
    <w:rsid w:val="00910C36"/>
    <w:rsid w:val="00910D08"/>
    <w:rsid w:val="00910DEB"/>
    <w:rsid w:val="00910E3B"/>
    <w:rsid w:val="00910FB4"/>
    <w:rsid w:val="009110D4"/>
    <w:rsid w:val="00911220"/>
    <w:rsid w:val="00911243"/>
    <w:rsid w:val="009112A0"/>
    <w:rsid w:val="0091140C"/>
    <w:rsid w:val="009114A7"/>
    <w:rsid w:val="009114C6"/>
    <w:rsid w:val="009114F9"/>
    <w:rsid w:val="00911546"/>
    <w:rsid w:val="009117FB"/>
    <w:rsid w:val="009118F9"/>
    <w:rsid w:val="0091191B"/>
    <w:rsid w:val="009119DA"/>
    <w:rsid w:val="00911B3D"/>
    <w:rsid w:val="00911DDC"/>
    <w:rsid w:val="00911E2A"/>
    <w:rsid w:val="00911E63"/>
    <w:rsid w:val="00911E9D"/>
    <w:rsid w:val="00912000"/>
    <w:rsid w:val="00912083"/>
    <w:rsid w:val="009120A8"/>
    <w:rsid w:val="009120EE"/>
    <w:rsid w:val="0091213D"/>
    <w:rsid w:val="009121A4"/>
    <w:rsid w:val="009122EB"/>
    <w:rsid w:val="00912330"/>
    <w:rsid w:val="00912334"/>
    <w:rsid w:val="009123A8"/>
    <w:rsid w:val="009123AC"/>
    <w:rsid w:val="009123DD"/>
    <w:rsid w:val="009123E0"/>
    <w:rsid w:val="009123E3"/>
    <w:rsid w:val="00912476"/>
    <w:rsid w:val="009124A3"/>
    <w:rsid w:val="00912517"/>
    <w:rsid w:val="00912541"/>
    <w:rsid w:val="009125A9"/>
    <w:rsid w:val="009125B0"/>
    <w:rsid w:val="00912801"/>
    <w:rsid w:val="00912824"/>
    <w:rsid w:val="00912886"/>
    <w:rsid w:val="0091299C"/>
    <w:rsid w:val="00912A78"/>
    <w:rsid w:val="00912ADA"/>
    <w:rsid w:val="00912BC5"/>
    <w:rsid w:val="00912C3D"/>
    <w:rsid w:val="00912C8F"/>
    <w:rsid w:val="00912D09"/>
    <w:rsid w:val="00912D0E"/>
    <w:rsid w:val="00912D2B"/>
    <w:rsid w:val="00912D70"/>
    <w:rsid w:val="00912D95"/>
    <w:rsid w:val="00912DDD"/>
    <w:rsid w:val="00912DE1"/>
    <w:rsid w:val="00912FF8"/>
    <w:rsid w:val="00913045"/>
    <w:rsid w:val="009131B1"/>
    <w:rsid w:val="009133DF"/>
    <w:rsid w:val="00913403"/>
    <w:rsid w:val="0091347B"/>
    <w:rsid w:val="009134B6"/>
    <w:rsid w:val="00913532"/>
    <w:rsid w:val="00913533"/>
    <w:rsid w:val="009136FC"/>
    <w:rsid w:val="0091375F"/>
    <w:rsid w:val="009137AE"/>
    <w:rsid w:val="00913806"/>
    <w:rsid w:val="0091390A"/>
    <w:rsid w:val="009139A1"/>
    <w:rsid w:val="009139B3"/>
    <w:rsid w:val="009139CC"/>
    <w:rsid w:val="00913A4F"/>
    <w:rsid w:val="00913AD8"/>
    <w:rsid w:val="00913BF7"/>
    <w:rsid w:val="00913C5B"/>
    <w:rsid w:val="00913C74"/>
    <w:rsid w:val="00913DB6"/>
    <w:rsid w:val="00913E89"/>
    <w:rsid w:val="00913F0C"/>
    <w:rsid w:val="00913F4C"/>
    <w:rsid w:val="00913F92"/>
    <w:rsid w:val="00914049"/>
    <w:rsid w:val="00914139"/>
    <w:rsid w:val="009141C9"/>
    <w:rsid w:val="00914256"/>
    <w:rsid w:val="00914312"/>
    <w:rsid w:val="0091437D"/>
    <w:rsid w:val="009143E6"/>
    <w:rsid w:val="009144CF"/>
    <w:rsid w:val="0091455F"/>
    <w:rsid w:val="00914832"/>
    <w:rsid w:val="00914940"/>
    <w:rsid w:val="009149E1"/>
    <w:rsid w:val="009149FC"/>
    <w:rsid w:val="00914A93"/>
    <w:rsid w:val="00914A9B"/>
    <w:rsid w:val="00914C32"/>
    <w:rsid w:val="00914D52"/>
    <w:rsid w:val="00914E8E"/>
    <w:rsid w:val="00914ED9"/>
    <w:rsid w:val="009150E4"/>
    <w:rsid w:val="00915186"/>
    <w:rsid w:val="00915322"/>
    <w:rsid w:val="00915352"/>
    <w:rsid w:val="0091540E"/>
    <w:rsid w:val="00915420"/>
    <w:rsid w:val="0091542A"/>
    <w:rsid w:val="00915482"/>
    <w:rsid w:val="009154CD"/>
    <w:rsid w:val="00915516"/>
    <w:rsid w:val="00915553"/>
    <w:rsid w:val="0091568B"/>
    <w:rsid w:val="00915747"/>
    <w:rsid w:val="00915988"/>
    <w:rsid w:val="009159CF"/>
    <w:rsid w:val="009159E6"/>
    <w:rsid w:val="009159FB"/>
    <w:rsid w:val="00915B89"/>
    <w:rsid w:val="00915C72"/>
    <w:rsid w:val="00915CEE"/>
    <w:rsid w:val="00915D80"/>
    <w:rsid w:val="00915E8C"/>
    <w:rsid w:val="00915F21"/>
    <w:rsid w:val="00915F24"/>
    <w:rsid w:val="00916036"/>
    <w:rsid w:val="009161B3"/>
    <w:rsid w:val="00916203"/>
    <w:rsid w:val="0091637E"/>
    <w:rsid w:val="009163A9"/>
    <w:rsid w:val="009163F3"/>
    <w:rsid w:val="009164B3"/>
    <w:rsid w:val="009164C5"/>
    <w:rsid w:val="00916976"/>
    <w:rsid w:val="009169D1"/>
    <w:rsid w:val="00916BAF"/>
    <w:rsid w:val="00916D3C"/>
    <w:rsid w:val="00916D71"/>
    <w:rsid w:val="00916DBA"/>
    <w:rsid w:val="00916F14"/>
    <w:rsid w:val="00916F57"/>
    <w:rsid w:val="00917133"/>
    <w:rsid w:val="00917199"/>
    <w:rsid w:val="00917285"/>
    <w:rsid w:val="00917312"/>
    <w:rsid w:val="00917316"/>
    <w:rsid w:val="00917367"/>
    <w:rsid w:val="009173E5"/>
    <w:rsid w:val="00917476"/>
    <w:rsid w:val="00917551"/>
    <w:rsid w:val="00917553"/>
    <w:rsid w:val="00917598"/>
    <w:rsid w:val="009175CE"/>
    <w:rsid w:val="009176DF"/>
    <w:rsid w:val="00917907"/>
    <w:rsid w:val="00917932"/>
    <w:rsid w:val="0091797F"/>
    <w:rsid w:val="00917ACD"/>
    <w:rsid w:val="00917B3A"/>
    <w:rsid w:val="00917B4E"/>
    <w:rsid w:val="00917B71"/>
    <w:rsid w:val="00917BEA"/>
    <w:rsid w:val="00917C58"/>
    <w:rsid w:val="00917CE8"/>
    <w:rsid w:val="00917D21"/>
    <w:rsid w:val="00917D41"/>
    <w:rsid w:val="00917D85"/>
    <w:rsid w:val="00917DB7"/>
    <w:rsid w:val="00917DFF"/>
    <w:rsid w:val="00917E83"/>
    <w:rsid w:val="00917FB8"/>
    <w:rsid w:val="00917FD7"/>
    <w:rsid w:val="00920024"/>
    <w:rsid w:val="00920058"/>
    <w:rsid w:val="00920173"/>
    <w:rsid w:val="00920190"/>
    <w:rsid w:val="009201CD"/>
    <w:rsid w:val="00920277"/>
    <w:rsid w:val="00920306"/>
    <w:rsid w:val="00920314"/>
    <w:rsid w:val="0092031C"/>
    <w:rsid w:val="00920340"/>
    <w:rsid w:val="009203AE"/>
    <w:rsid w:val="00920551"/>
    <w:rsid w:val="00920646"/>
    <w:rsid w:val="00920654"/>
    <w:rsid w:val="009206E1"/>
    <w:rsid w:val="00920702"/>
    <w:rsid w:val="00920722"/>
    <w:rsid w:val="0092079C"/>
    <w:rsid w:val="009207FC"/>
    <w:rsid w:val="00920841"/>
    <w:rsid w:val="0092088B"/>
    <w:rsid w:val="009208B6"/>
    <w:rsid w:val="009208DE"/>
    <w:rsid w:val="00920941"/>
    <w:rsid w:val="0092098E"/>
    <w:rsid w:val="009209CC"/>
    <w:rsid w:val="00920A41"/>
    <w:rsid w:val="00920AF6"/>
    <w:rsid w:val="00920BD2"/>
    <w:rsid w:val="00920C3D"/>
    <w:rsid w:val="00920D22"/>
    <w:rsid w:val="00920DA5"/>
    <w:rsid w:val="00920E62"/>
    <w:rsid w:val="009214A6"/>
    <w:rsid w:val="009214B1"/>
    <w:rsid w:val="00921501"/>
    <w:rsid w:val="00921532"/>
    <w:rsid w:val="0092159F"/>
    <w:rsid w:val="009216D9"/>
    <w:rsid w:val="009217B1"/>
    <w:rsid w:val="0092182A"/>
    <w:rsid w:val="0092186A"/>
    <w:rsid w:val="00921928"/>
    <w:rsid w:val="0092195F"/>
    <w:rsid w:val="00921B7B"/>
    <w:rsid w:val="00921C6D"/>
    <w:rsid w:val="0092215C"/>
    <w:rsid w:val="00922164"/>
    <w:rsid w:val="00922378"/>
    <w:rsid w:val="009223A5"/>
    <w:rsid w:val="00922450"/>
    <w:rsid w:val="009224AF"/>
    <w:rsid w:val="00922550"/>
    <w:rsid w:val="009225C3"/>
    <w:rsid w:val="009225F9"/>
    <w:rsid w:val="0092267A"/>
    <w:rsid w:val="009226AE"/>
    <w:rsid w:val="009226E8"/>
    <w:rsid w:val="009226FC"/>
    <w:rsid w:val="009229B9"/>
    <w:rsid w:val="00922AAF"/>
    <w:rsid w:val="00922AC9"/>
    <w:rsid w:val="00922AF3"/>
    <w:rsid w:val="00922B14"/>
    <w:rsid w:val="00922B2D"/>
    <w:rsid w:val="00922B98"/>
    <w:rsid w:val="00922BE8"/>
    <w:rsid w:val="00922D93"/>
    <w:rsid w:val="00922D9C"/>
    <w:rsid w:val="00922E13"/>
    <w:rsid w:val="00922E27"/>
    <w:rsid w:val="00922E49"/>
    <w:rsid w:val="00922FA5"/>
    <w:rsid w:val="00922FFE"/>
    <w:rsid w:val="0092305E"/>
    <w:rsid w:val="009230E2"/>
    <w:rsid w:val="00923237"/>
    <w:rsid w:val="00923276"/>
    <w:rsid w:val="009232FA"/>
    <w:rsid w:val="0092333C"/>
    <w:rsid w:val="009234BF"/>
    <w:rsid w:val="0092366A"/>
    <w:rsid w:val="009236EE"/>
    <w:rsid w:val="00923862"/>
    <w:rsid w:val="00923992"/>
    <w:rsid w:val="00923A95"/>
    <w:rsid w:val="00923AEF"/>
    <w:rsid w:val="00923AFC"/>
    <w:rsid w:val="00923B9E"/>
    <w:rsid w:val="00923BBE"/>
    <w:rsid w:val="00923BF9"/>
    <w:rsid w:val="00923CF6"/>
    <w:rsid w:val="00923F4D"/>
    <w:rsid w:val="00924055"/>
    <w:rsid w:val="00924075"/>
    <w:rsid w:val="00924115"/>
    <w:rsid w:val="00924173"/>
    <w:rsid w:val="00924195"/>
    <w:rsid w:val="00924225"/>
    <w:rsid w:val="00924242"/>
    <w:rsid w:val="00924255"/>
    <w:rsid w:val="009242A4"/>
    <w:rsid w:val="009242DA"/>
    <w:rsid w:val="00924311"/>
    <w:rsid w:val="00924506"/>
    <w:rsid w:val="0092450D"/>
    <w:rsid w:val="0092468D"/>
    <w:rsid w:val="0092478B"/>
    <w:rsid w:val="00924994"/>
    <w:rsid w:val="009249F5"/>
    <w:rsid w:val="00924AB4"/>
    <w:rsid w:val="00924C71"/>
    <w:rsid w:val="00924D16"/>
    <w:rsid w:val="00924D29"/>
    <w:rsid w:val="00924E39"/>
    <w:rsid w:val="00924F94"/>
    <w:rsid w:val="00924FD4"/>
    <w:rsid w:val="00925102"/>
    <w:rsid w:val="0092527C"/>
    <w:rsid w:val="009252A2"/>
    <w:rsid w:val="009252E4"/>
    <w:rsid w:val="009255C3"/>
    <w:rsid w:val="009255DC"/>
    <w:rsid w:val="009256E7"/>
    <w:rsid w:val="0092572D"/>
    <w:rsid w:val="00925745"/>
    <w:rsid w:val="009259D7"/>
    <w:rsid w:val="009259F8"/>
    <w:rsid w:val="00925AFD"/>
    <w:rsid w:val="00925B3A"/>
    <w:rsid w:val="00925B3F"/>
    <w:rsid w:val="00925B4D"/>
    <w:rsid w:val="00925BA3"/>
    <w:rsid w:val="00925BB4"/>
    <w:rsid w:val="00925CAC"/>
    <w:rsid w:val="00925DA5"/>
    <w:rsid w:val="00925F35"/>
    <w:rsid w:val="00925F66"/>
    <w:rsid w:val="00925FF1"/>
    <w:rsid w:val="00926069"/>
    <w:rsid w:val="009260BF"/>
    <w:rsid w:val="009260FF"/>
    <w:rsid w:val="009261B8"/>
    <w:rsid w:val="00926346"/>
    <w:rsid w:val="009263A9"/>
    <w:rsid w:val="00926440"/>
    <w:rsid w:val="009264E6"/>
    <w:rsid w:val="00926514"/>
    <w:rsid w:val="0092653F"/>
    <w:rsid w:val="009265F2"/>
    <w:rsid w:val="009266B7"/>
    <w:rsid w:val="009266F9"/>
    <w:rsid w:val="009267AE"/>
    <w:rsid w:val="009268A4"/>
    <w:rsid w:val="0092693B"/>
    <w:rsid w:val="00926A94"/>
    <w:rsid w:val="00926AE8"/>
    <w:rsid w:val="00926BEB"/>
    <w:rsid w:val="00926CBB"/>
    <w:rsid w:val="00926F91"/>
    <w:rsid w:val="00926FFE"/>
    <w:rsid w:val="00927011"/>
    <w:rsid w:val="0092703E"/>
    <w:rsid w:val="0092714B"/>
    <w:rsid w:val="00927274"/>
    <w:rsid w:val="00927417"/>
    <w:rsid w:val="009274EF"/>
    <w:rsid w:val="009275E6"/>
    <w:rsid w:val="00927688"/>
    <w:rsid w:val="009276EA"/>
    <w:rsid w:val="0092776C"/>
    <w:rsid w:val="00927790"/>
    <w:rsid w:val="00927A52"/>
    <w:rsid w:val="00927A90"/>
    <w:rsid w:val="00927CC3"/>
    <w:rsid w:val="00927FBC"/>
    <w:rsid w:val="0093000F"/>
    <w:rsid w:val="0093012D"/>
    <w:rsid w:val="009301CA"/>
    <w:rsid w:val="00930349"/>
    <w:rsid w:val="009303EE"/>
    <w:rsid w:val="00930488"/>
    <w:rsid w:val="00930550"/>
    <w:rsid w:val="009305DC"/>
    <w:rsid w:val="00930642"/>
    <w:rsid w:val="00930665"/>
    <w:rsid w:val="0093070B"/>
    <w:rsid w:val="00930785"/>
    <w:rsid w:val="0093078E"/>
    <w:rsid w:val="0093091F"/>
    <w:rsid w:val="0093097C"/>
    <w:rsid w:val="00930A70"/>
    <w:rsid w:val="00930AA3"/>
    <w:rsid w:val="00930AD1"/>
    <w:rsid w:val="00930AEE"/>
    <w:rsid w:val="00930BED"/>
    <w:rsid w:val="00930F03"/>
    <w:rsid w:val="00930F31"/>
    <w:rsid w:val="00930F44"/>
    <w:rsid w:val="00930F78"/>
    <w:rsid w:val="00930FF1"/>
    <w:rsid w:val="00931094"/>
    <w:rsid w:val="009310EC"/>
    <w:rsid w:val="00931134"/>
    <w:rsid w:val="009311AD"/>
    <w:rsid w:val="0093142F"/>
    <w:rsid w:val="0093145B"/>
    <w:rsid w:val="00931506"/>
    <w:rsid w:val="00931514"/>
    <w:rsid w:val="00931591"/>
    <w:rsid w:val="00931621"/>
    <w:rsid w:val="0093167B"/>
    <w:rsid w:val="0093167F"/>
    <w:rsid w:val="009316E6"/>
    <w:rsid w:val="00931821"/>
    <w:rsid w:val="00931914"/>
    <w:rsid w:val="0093193D"/>
    <w:rsid w:val="00931A5B"/>
    <w:rsid w:val="00931A8F"/>
    <w:rsid w:val="00931B01"/>
    <w:rsid w:val="00931B59"/>
    <w:rsid w:val="00931BCE"/>
    <w:rsid w:val="00931C95"/>
    <w:rsid w:val="00931DB8"/>
    <w:rsid w:val="00931EAA"/>
    <w:rsid w:val="00931F89"/>
    <w:rsid w:val="0093218B"/>
    <w:rsid w:val="00932240"/>
    <w:rsid w:val="0093235B"/>
    <w:rsid w:val="00932439"/>
    <w:rsid w:val="00932455"/>
    <w:rsid w:val="00932473"/>
    <w:rsid w:val="0093278E"/>
    <w:rsid w:val="00932860"/>
    <w:rsid w:val="00932952"/>
    <w:rsid w:val="00932A0E"/>
    <w:rsid w:val="00932A3D"/>
    <w:rsid w:val="00932AD9"/>
    <w:rsid w:val="00932BA3"/>
    <w:rsid w:val="00932BF8"/>
    <w:rsid w:val="00932C96"/>
    <w:rsid w:val="00932CC8"/>
    <w:rsid w:val="00932CD2"/>
    <w:rsid w:val="00932CF0"/>
    <w:rsid w:val="00932CFC"/>
    <w:rsid w:val="00932D42"/>
    <w:rsid w:val="00932D87"/>
    <w:rsid w:val="00932DD3"/>
    <w:rsid w:val="00932E2D"/>
    <w:rsid w:val="00932EF5"/>
    <w:rsid w:val="00932F8B"/>
    <w:rsid w:val="00933084"/>
    <w:rsid w:val="00933085"/>
    <w:rsid w:val="009330F8"/>
    <w:rsid w:val="0093313A"/>
    <w:rsid w:val="009331C4"/>
    <w:rsid w:val="009331E2"/>
    <w:rsid w:val="009331EB"/>
    <w:rsid w:val="00933232"/>
    <w:rsid w:val="009332F2"/>
    <w:rsid w:val="0093330E"/>
    <w:rsid w:val="00933320"/>
    <w:rsid w:val="0093350E"/>
    <w:rsid w:val="0093352F"/>
    <w:rsid w:val="00933596"/>
    <w:rsid w:val="009335A5"/>
    <w:rsid w:val="00933708"/>
    <w:rsid w:val="0093385A"/>
    <w:rsid w:val="00933882"/>
    <w:rsid w:val="00933907"/>
    <w:rsid w:val="00933997"/>
    <w:rsid w:val="009339E7"/>
    <w:rsid w:val="009339F6"/>
    <w:rsid w:val="00933AE4"/>
    <w:rsid w:val="00933B08"/>
    <w:rsid w:val="00933BA8"/>
    <w:rsid w:val="00933DAB"/>
    <w:rsid w:val="00933E19"/>
    <w:rsid w:val="00933E9D"/>
    <w:rsid w:val="00933F10"/>
    <w:rsid w:val="00933FBA"/>
    <w:rsid w:val="009340A4"/>
    <w:rsid w:val="009340C3"/>
    <w:rsid w:val="009341F8"/>
    <w:rsid w:val="0093429E"/>
    <w:rsid w:val="009342C9"/>
    <w:rsid w:val="009342EF"/>
    <w:rsid w:val="009343F1"/>
    <w:rsid w:val="0093442A"/>
    <w:rsid w:val="0093450A"/>
    <w:rsid w:val="00934588"/>
    <w:rsid w:val="009345E4"/>
    <w:rsid w:val="009348B2"/>
    <w:rsid w:val="0093494D"/>
    <w:rsid w:val="00934A33"/>
    <w:rsid w:val="00934B37"/>
    <w:rsid w:val="00934B60"/>
    <w:rsid w:val="00934C86"/>
    <w:rsid w:val="0093509C"/>
    <w:rsid w:val="009351DF"/>
    <w:rsid w:val="009351FA"/>
    <w:rsid w:val="00935212"/>
    <w:rsid w:val="00935224"/>
    <w:rsid w:val="009352CD"/>
    <w:rsid w:val="009352F0"/>
    <w:rsid w:val="009354E5"/>
    <w:rsid w:val="0093577C"/>
    <w:rsid w:val="009357D6"/>
    <w:rsid w:val="00935823"/>
    <w:rsid w:val="009359A8"/>
    <w:rsid w:val="00935A03"/>
    <w:rsid w:val="00935A51"/>
    <w:rsid w:val="00935B3C"/>
    <w:rsid w:val="00935D2D"/>
    <w:rsid w:val="00935D33"/>
    <w:rsid w:val="00935D5C"/>
    <w:rsid w:val="00935DF1"/>
    <w:rsid w:val="00935F70"/>
    <w:rsid w:val="00935F8B"/>
    <w:rsid w:val="00936056"/>
    <w:rsid w:val="00936112"/>
    <w:rsid w:val="00936210"/>
    <w:rsid w:val="0093635E"/>
    <w:rsid w:val="00936569"/>
    <w:rsid w:val="00936612"/>
    <w:rsid w:val="0093671F"/>
    <w:rsid w:val="00936770"/>
    <w:rsid w:val="009367AB"/>
    <w:rsid w:val="009368D1"/>
    <w:rsid w:val="0093690E"/>
    <w:rsid w:val="00936956"/>
    <w:rsid w:val="0093696F"/>
    <w:rsid w:val="00936B36"/>
    <w:rsid w:val="00936C0C"/>
    <w:rsid w:val="00936C87"/>
    <w:rsid w:val="00936F5B"/>
    <w:rsid w:val="00936FB9"/>
    <w:rsid w:val="00936FE5"/>
    <w:rsid w:val="0093711A"/>
    <w:rsid w:val="00937294"/>
    <w:rsid w:val="009372D9"/>
    <w:rsid w:val="00937300"/>
    <w:rsid w:val="00937338"/>
    <w:rsid w:val="009373EE"/>
    <w:rsid w:val="00937569"/>
    <w:rsid w:val="009376CF"/>
    <w:rsid w:val="009376EE"/>
    <w:rsid w:val="0093792A"/>
    <w:rsid w:val="00937942"/>
    <w:rsid w:val="00937B77"/>
    <w:rsid w:val="00937BD5"/>
    <w:rsid w:val="00937EDF"/>
    <w:rsid w:val="00937F8F"/>
    <w:rsid w:val="0094014A"/>
    <w:rsid w:val="00940163"/>
    <w:rsid w:val="00940231"/>
    <w:rsid w:val="009402E3"/>
    <w:rsid w:val="0094045C"/>
    <w:rsid w:val="0094065D"/>
    <w:rsid w:val="009406A0"/>
    <w:rsid w:val="009407F9"/>
    <w:rsid w:val="009407FE"/>
    <w:rsid w:val="009409C4"/>
    <w:rsid w:val="009409F4"/>
    <w:rsid w:val="00940A40"/>
    <w:rsid w:val="00940A72"/>
    <w:rsid w:val="00940ACC"/>
    <w:rsid w:val="00940B42"/>
    <w:rsid w:val="00940B53"/>
    <w:rsid w:val="00940B6F"/>
    <w:rsid w:val="00940DDA"/>
    <w:rsid w:val="00940F7C"/>
    <w:rsid w:val="00940FA2"/>
    <w:rsid w:val="009410F3"/>
    <w:rsid w:val="009411C1"/>
    <w:rsid w:val="00941330"/>
    <w:rsid w:val="0094138D"/>
    <w:rsid w:val="00941488"/>
    <w:rsid w:val="009414BD"/>
    <w:rsid w:val="009415F0"/>
    <w:rsid w:val="0094164F"/>
    <w:rsid w:val="00941682"/>
    <w:rsid w:val="00941745"/>
    <w:rsid w:val="0094192C"/>
    <w:rsid w:val="00941A06"/>
    <w:rsid w:val="00941CDC"/>
    <w:rsid w:val="00941CE0"/>
    <w:rsid w:val="00941F4E"/>
    <w:rsid w:val="0094200B"/>
    <w:rsid w:val="009420E9"/>
    <w:rsid w:val="00942142"/>
    <w:rsid w:val="00942169"/>
    <w:rsid w:val="009421FB"/>
    <w:rsid w:val="0094223C"/>
    <w:rsid w:val="00942333"/>
    <w:rsid w:val="009423C8"/>
    <w:rsid w:val="0094241F"/>
    <w:rsid w:val="009424A9"/>
    <w:rsid w:val="009426D1"/>
    <w:rsid w:val="00942757"/>
    <w:rsid w:val="00942890"/>
    <w:rsid w:val="009428EF"/>
    <w:rsid w:val="009429FC"/>
    <w:rsid w:val="00942B62"/>
    <w:rsid w:val="00942B8E"/>
    <w:rsid w:val="00942BD0"/>
    <w:rsid w:val="00942BD6"/>
    <w:rsid w:val="00942BFF"/>
    <w:rsid w:val="00942CB4"/>
    <w:rsid w:val="00942D03"/>
    <w:rsid w:val="00942DF2"/>
    <w:rsid w:val="00942EE8"/>
    <w:rsid w:val="00942FDF"/>
    <w:rsid w:val="00943162"/>
    <w:rsid w:val="0094323C"/>
    <w:rsid w:val="00943252"/>
    <w:rsid w:val="0094329F"/>
    <w:rsid w:val="009432A7"/>
    <w:rsid w:val="00943348"/>
    <w:rsid w:val="0094337E"/>
    <w:rsid w:val="009434B0"/>
    <w:rsid w:val="00943600"/>
    <w:rsid w:val="009436F9"/>
    <w:rsid w:val="0094375C"/>
    <w:rsid w:val="009437C2"/>
    <w:rsid w:val="0094381D"/>
    <w:rsid w:val="009438F8"/>
    <w:rsid w:val="00943928"/>
    <w:rsid w:val="00943965"/>
    <w:rsid w:val="00943B74"/>
    <w:rsid w:val="00943CC5"/>
    <w:rsid w:val="00943CCE"/>
    <w:rsid w:val="00943D01"/>
    <w:rsid w:val="00943DF6"/>
    <w:rsid w:val="00944056"/>
    <w:rsid w:val="0094412D"/>
    <w:rsid w:val="009441D1"/>
    <w:rsid w:val="009444A2"/>
    <w:rsid w:val="0094450C"/>
    <w:rsid w:val="0094455C"/>
    <w:rsid w:val="009445B1"/>
    <w:rsid w:val="00944621"/>
    <w:rsid w:val="0094468B"/>
    <w:rsid w:val="009446B8"/>
    <w:rsid w:val="0094483F"/>
    <w:rsid w:val="009448F5"/>
    <w:rsid w:val="009449B3"/>
    <w:rsid w:val="009449BB"/>
    <w:rsid w:val="00944A76"/>
    <w:rsid w:val="00944C58"/>
    <w:rsid w:val="00944D1B"/>
    <w:rsid w:val="00944D40"/>
    <w:rsid w:val="00945062"/>
    <w:rsid w:val="00945209"/>
    <w:rsid w:val="00945272"/>
    <w:rsid w:val="009452C6"/>
    <w:rsid w:val="009452D0"/>
    <w:rsid w:val="00945340"/>
    <w:rsid w:val="0094534B"/>
    <w:rsid w:val="009453E0"/>
    <w:rsid w:val="009455DF"/>
    <w:rsid w:val="009455FE"/>
    <w:rsid w:val="0094569F"/>
    <w:rsid w:val="00945736"/>
    <w:rsid w:val="0094578C"/>
    <w:rsid w:val="00945841"/>
    <w:rsid w:val="00945941"/>
    <w:rsid w:val="00945A23"/>
    <w:rsid w:val="00945B80"/>
    <w:rsid w:val="00945BA3"/>
    <w:rsid w:val="00945C79"/>
    <w:rsid w:val="00945CA8"/>
    <w:rsid w:val="00945D98"/>
    <w:rsid w:val="00945DC3"/>
    <w:rsid w:val="00946145"/>
    <w:rsid w:val="00946208"/>
    <w:rsid w:val="00946247"/>
    <w:rsid w:val="00946264"/>
    <w:rsid w:val="00946461"/>
    <w:rsid w:val="00946510"/>
    <w:rsid w:val="00946623"/>
    <w:rsid w:val="00946721"/>
    <w:rsid w:val="009468DC"/>
    <w:rsid w:val="009468E8"/>
    <w:rsid w:val="00946A8A"/>
    <w:rsid w:val="00946A94"/>
    <w:rsid w:val="00946BD0"/>
    <w:rsid w:val="00946C59"/>
    <w:rsid w:val="00946DF8"/>
    <w:rsid w:val="00947014"/>
    <w:rsid w:val="00947046"/>
    <w:rsid w:val="009470CE"/>
    <w:rsid w:val="00947161"/>
    <w:rsid w:val="009471A4"/>
    <w:rsid w:val="0094720D"/>
    <w:rsid w:val="00947277"/>
    <w:rsid w:val="009472E4"/>
    <w:rsid w:val="00947313"/>
    <w:rsid w:val="0094735D"/>
    <w:rsid w:val="009473E5"/>
    <w:rsid w:val="009473E9"/>
    <w:rsid w:val="00947481"/>
    <w:rsid w:val="00947506"/>
    <w:rsid w:val="009475BB"/>
    <w:rsid w:val="009475D3"/>
    <w:rsid w:val="009476DD"/>
    <w:rsid w:val="00947728"/>
    <w:rsid w:val="00947817"/>
    <w:rsid w:val="0094786B"/>
    <w:rsid w:val="009478AC"/>
    <w:rsid w:val="009478C4"/>
    <w:rsid w:val="00947A62"/>
    <w:rsid w:val="00947B26"/>
    <w:rsid w:val="00947BF4"/>
    <w:rsid w:val="00947CEF"/>
    <w:rsid w:val="00947D8D"/>
    <w:rsid w:val="00947DA5"/>
    <w:rsid w:val="00947E90"/>
    <w:rsid w:val="00947FA0"/>
    <w:rsid w:val="00947FCB"/>
    <w:rsid w:val="00950038"/>
    <w:rsid w:val="009501CA"/>
    <w:rsid w:val="00950266"/>
    <w:rsid w:val="00950297"/>
    <w:rsid w:val="00950622"/>
    <w:rsid w:val="00950714"/>
    <w:rsid w:val="00950717"/>
    <w:rsid w:val="00950750"/>
    <w:rsid w:val="009507E9"/>
    <w:rsid w:val="009508ED"/>
    <w:rsid w:val="00950917"/>
    <w:rsid w:val="009509ED"/>
    <w:rsid w:val="00950E13"/>
    <w:rsid w:val="00950E89"/>
    <w:rsid w:val="00950F8A"/>
    <w:rsid w:val="0095110D"/>
    <w:rsid w:val="0095112C"/>
    <w:rsid w:val="009511DA"/>
    <w:rsid w:val="0095120F"/>
    <w:rsid w:val="0095122F"/>
    <w:rsid w:val="0095140D"/>
    <w:rsid w:val="00951470"/>
    <w:rsid w:val="009515AF"/>
    <w:rsid w:val="009516BA"/>
    <w:rsid w:val="0095184A"/>
    <w:rsid w:val="009519AC"/>
    <w:rsid w:val="009519F2"/>
    <w:rsid w:val="00951A5D"/>
    <w:rsid w:val="00951D16"/>
    <w:rsid w:val="00951DC1"/>
    <w:rsid w:val="00951E2A"/>
    <w:rsid w:val="00951E95"/>
    <w:rsid w:val="0095231D"/>
    <w:rsid w:val="00952365"/>
    <w:rsid w:val="009523D4"/>
    <w:rsid w:val="00952483"/>
    <w:rsid w:val="00952530"/>
    <w:rsid w:val="009527A5"/>
    <w:rsid w:val="0095282F"/>
    <w:rsid w:val="0095283C"/>
    <w:rsid w:val="0095287B"/>
    <w:rsid w:val="00952ACE"/>
    <w:rsid w:val="00952AFB"/>
    <w:rsid w:val="00952B83"/>
    <w:rsid w:val="00952BA9"/>
    <w:rsid w:val="00952C76"/>
    <w:rsid w:val="00952D94"/>
    <w:rsid w:val="00952E40"/>
    <w:rsid w:val="00952FCB"/>
    <w:rsid w:val="00952FFB"/>
    <w:rsid w:val="00953188"/>
    <w:rsid w:val="009531A6"/>
    <w:rsid w:val="00953378"/>
    <w:rsid w:val="00953379"/>
    <w:rsid w:val="009534A4"/>
    <w:rsid w:val="009534A9"/>
    <w:rsid w:val="00953576"/>
    <w:rsid w:val="0095357D"/>
    <w:rsid w:val="009535BF"/>
    <w:rsid w:val="0095371F"/>
    <w:rsid w:val="009537B1"/>
    <w:rsid w:val="0095380F"/>
    <w:rsid w:val="009538A0"/>
    <w:rsid w:val="00953982"/>
    <w:rsid w:val="009539C5"/>
    <w:rsid w:val="00953A27"/>
    <w:rsid w:val="00953B95"/>
    <w:rsid w:val="00953C46"/>
    <w:rsid w:val="00953CB1"/>
    <w:rsid w:val="00953CFA"/>
    <w:rsid w:val="00953D6D"/>
    <w:rsid w:val="00953D7F"/>
    <w:rsid w:val="00953E5E"/>
    <w:rsid w:val="00953EBD"/>
    <w:rsid w:val="0095420D"/>
    <w:rsid w:val="0095437F"/>
    <w:rsid w:val="0095457B"/>
    <w:rsid w:val="009546E2"/>
    <w:rsid w:val="0095476B"/>
    <w:rsid w:val="00954931"/>
    <w:rsid w:val="00954B0B"/>
    <w:rsid w:val="00954B6E"/>
    <w:rsid w:val="00954BE5"/>
    <w:rsid w:val="00954E58"/>
    <w:rsid w:val="0095503C"/>
    <w:rsid w:val="00955207"/>
    <w:rsid w:val="009553DE"/>
    <w:rsid w:val="009553F9"/>
    <w:rsid w:val="0095548E"/>
    <w:rsid w:val="009554BF"/>
    <w:rsid w:val="00955928"/>
    <w:rsid w:val="009559A7"/>
    <w:rsid w:val="00955BB6"/>
    <w:rsid w:val="00955BE1"/>
    <w:rsid w:val="00955C01"/>
    <w:rsid w:val="00955CC0"/>
    <w:rsid w:val="00955D0A"/>
    <w:rsid w:val="00955DD1"/>
    <w:rsid w:val="00955EE7"/>
    <w:rsid w:val="00955FAF"/>
    <w:rsid w:val="009560F9"/>
    <w:rsid w:val="009561C7"/>
    <w:rsid w:val="009561DE"/>
    <w:rsid w:val="0095627C"/>
    <w:rsid w:val="009562B7"/>
    <w:rsid w:val="0095634D"/>
    <w:rsid w:val="00956568"/>
    <w:rsid w:val="00956585"/>
    <w:rsid w:val="009567A5"/>
    <w:rsid w:val="009567E2"/>
    <w:rsid w:val="0095690E"/>
    <w:rsid w:val="0095696F"/>
    <w:rsid w:val="00956998"/>
    <w:rsid w:val="00956C84"/>
    <w:rsid w:val="00956D55"/>
    <w:rsid w:val="00956E86"/>
    <w:rsid w:val="00957054"/>
    <w:rsid w:val="00957089"/>
    <w:rsid w:val="0095708F"/>
    <w:rsid w:val="0095723F"/>
    <w:rsid w:val="009572C7"/>
    <w:rsid w:val="0095740D"/>
    <w:rsid w:val="00957491"/>
    <w:rsid w:val="00957676"/>
    <w:rsid w:val="0095770A"/>
    <w:rsid w:val="009577E2"/>
    <w:rsid w:val="009578DA"/>
    <w:rsid w:val="009579F8"/>
    <w:rsid w:val="00957AB6"/>
    <w:rsid w:val="00957B22"/>
    <w:rsid w:val="00957B94"/>
    <w:rsid w:val="00957C90"/>
    <w:rsid w:val="00957D4E"/>
    <w:rsid w:val="009600B5"/>
    <w:rsid w:val="009600D4"/>
    <w:rsid w:val="009601AC"/>
    <w:rsid w:val="00960209"/>
    <w:rsid w:val="00960397"/>
    <w:rsid w:val="009603E3"/>
    <w:rsid w:val="00960650"/>
    <w:rsid w:val="0096079F"/>
    <w:rsid w:val="009608CB"/>
    <w:rsid w:val="0096099A"/>
    <w:rsid w:val="00960A15"/>
    <w:rsid w:val="00960A1E"/>
    <w:rsid w:val="00960A3A"/>
    <w:rsid w:val="00960A73"/>
    <w:rsid w:val="00960B69"/>
    <w:rsid w:val="00960D00"/>
    <w:rsid w:val="00960D12"/>
    <w:rsid w:val="00960D18"/>
    <w:rsid w:val="00960DD1"/>
    <w:rsid w:val="00960DDD"/>
    <w:rsid w:val="00960F67"/>
    <w:rsid w:val="00960F73"/>
    <w:rsid w:val="00960F8C"/>
    <w:rsid w:val="00960FB7"/>
    <w:rsid w:val="00960FBE"/>
    <w:rsid w:val="00961040"/>
    <w:rsid w:val="0096107B"/>
    <w:rsid w:val="009611F5"/>
    <w:rsid w:val="00961267"/>
    <w:rsid w:val="00961290"/>
    <w:rsid w:val="009612BA"/>
    <w:rsid w:val="009613A0"/>
    <w:rsid w:val="009613F0"/>
    <w:rsid w:val="009614B8"/>
    <w:rsid w:val="009614CA"/>
    <w:rsid w:val="0096154D"/>
    <w:rsid w:val="00961739"/>
    <w:rsid w:val="009617BC"/>
    <w:rsid w:val="00961857"/>
    <w:rsid w:val="00961939"/>
    <w:rsid w:val="00961A2D"/>
    <w:rsid w:val="00961A34"/>
    <w:rsid w:val="00961B20"/>
    <w:rsid w:val="00961B38"/>
    <w:rsid w:val="00961C59"/>
    <w:rsid w:val="00961C77"/>
    <w:rsid w:val="00961DE6"/>
    <w:rsid w:val="00961E7A"/>
    <w:rsid w:val="00961E83"/>
    <w:rsid w:val="00961F0A"/>
    <w:rsid w:val="00961F44"/>
    <w:rsid w:val="00962085"/>
    <w:rsid w:val="009620AA"/>
    <w:rsid w:val="00962213"/>
    <w:rsid w:val="00962248"/>
    <w:rsid w:val="0096227F"/>
    <w:rsid w:val="0096239B"/>
    <w:rsid w:val="009623C7"/>
    <w:rsid w:val="009623F7"/>
    <w:rsid w:val="0096240B"/>
    <w:rsid w:val="0096252D"/>
    <w:rsid w:val="009625AB"/>
    <w:rsid w:val="0096260A"/>
    <w:rsid w:val="00962666"/>
    <w:rsid w:val="009626EF"/>
    <w:rsid w:val="00962715"/>
    <w:rsid w:val="0096272D"/>
    <w:rsid w:val="00962737"/>
    <w:rsid w:val="0096280A"/>
    <w:rsid w:val="00962839"/>
    <w:rsid w:val="0096289B"/>
    <w:rsid w:val="009629DB"/>
    <w:rsid w:val="009629ED"/>
    <w:rsid w:val="00962A7D"/>
    <w:rsid w:val="00962B69"/>
    <w:rsid w:val="00962BB9"/>
    <w:rsid w:val="00962C56"/>
    <w:rsid w:val="00962C6D"/>
    <w:rsid w:val="00962CCF"/>
    <w:rsid w:val="00962CE3"/>
    <w:rsid w:val="00962D96"/>
    <w:rsid w:val="00962D98"/>
    <w:rsid w:val="00962E45"/>
    <w:rsid w:val="00962E8B"/>
    <w:rsid w:val="00962ECE"/>
    <w:rsid w:val="00962F0C"/>
    <w:rsid w:val="00963180"/>
    <w:rsid w:val="009632FF"/>
    <w:rsid w:val="00963416"/>
    <w:rsid w:val="009635A0"/>
    <w:rsid w:val="00963675"/>
    <w:rsid w:val="00963697"/>
    <w:rsid w:val="00963770"/>
    <w:rsid w:val="009637B0"/>
    <w:rsid w:val="00963871"/>
    <w:rsid w:val="009639CD"/>
    <w:rsid w:val="009639D3"/>
    <w:rsid w:val="00963A03"/>
    <w:rsid w:val="00963A48"/>
    <w:rsid w:val="00963A6B"/>
    <w:rsid w:val="00963ACD"/>
    <w:rsid w:val="00963B3E"/>
    <w:rsid w:val="00963BAB"/>
    <w:rsid w:val="00963C08"/>
    <w:rsid w:val="00963D4B"/>
    <w:rsid w:val="00963D64"/>
    <w:rsid w:val="00963DF6"/>
    <w:rsid w:val="00963E03"/>
    <w:rsid w:val="00963F37"/>
    <w:rsid w:val="00964028"/>
    <w:rsid w:val="00964111"/>
    <w:rsid w:val="00964180"/>
    <w:rsid w:val="009641BF"/>
    <w:rsid w:val="009641E8"/>
    <w:rsid w:val="00964216"/>
    <w:rsid w:val="00964414"/>
    <w:rsid w:val="00964579"/>
    <w:rsid w:val="00964619"/>
    <w:rsid w:val="009647B3"/>
    <w:rsid w:val="009647EC"/>
    <w:rsid w:val="009647EF"/>
    <w:rsid w:val="0096486E"/>
    <w:rsid w:val="009649B1"/>
    <w:rsid w:val="00964A15"/>
    <w:rsid w:val="00964A22"/>
    <w:rsid w:val="00964B5E"/>
    <w:rsid w:val="00964B7F"/>
    <w:rsid w:val="00964D07"/>
    <w:rsid w:val="00964E31"/>
    <w:rsid w:val="00964E4D"/>
    <w:rsid w:val="00964EFE"/>
    <w:rsid w:val="00964F75"/>
    <w:rsid w:val="00964FE2"/>
    <w:rsid w:val="0096500F"/>
    <w:rsid w:val="00965064"/>
    <w:rsid w:val="009650C5"/>
    <w:rsid w:val="009652A2"/>
    <w:rsid w:val="00965484"/>
    <w:rsid w:val="00965601"/>
    <w:rsid w:val="00965626"/>
    <w:rsid w:val="00965638"/>
    <w:rsid w:val="00965827"/>
    <w:rsid w:val="0096589D"/>
    <w:rsid w:val="00965A57"/>
    <w:rsid w:val="00965AD4"/>
    <w:rsid w:val="00965B6E"/>
    <w:rsid w:val="00965BD6"/>
    <w:rsid w:val="00965CD6"/>
    <w:rsid w:val="00965E67"/>
    <w:rsid w:val="00965E68"/>
    <w:rsid w:val="00965E8A"/>
    <w:rsid w:val="0096604E"/>
    <w:rsid w:val="00966122"/>
    <w:rsid w:val="00966126"/>
    <w:rsid w:val="009662D4"/>
    <w:rsid w:val="009662E2"/>
    <w:rsid w:val="00966342"/>
    <w:rsid w:val="009663A0"/>
    <w:rsid w:val="00966410"/>
    <w:rsid w:val="0096651D"/>
    <w:rsid w:val="0096653F"/>
    <w:rsid w:val="009667D0"/>
    <w:rsid w:val="00966857"/>
    <w:rsid w:val="009668C0"/>
    <w:rsid w:val="009668FB"/>
    <w:rsid w:val="009668FD"/>
    <w:rsid w:val="0096692D"/>
    <w:rsid w:val="00966975"/>
    <w:rsid w:val="009669CB"/>
    <w:rsid w:val="00966BCD"/>
    <w:rsid w:val="00966C64"/>
    <w:rsid w:val="00966CBC"/>
    <w:rsid w:val="00966E06"/>
    <w:rsid w:val="00966EB8"/>
    <w:rsid w:val="00966F1E"/>
    <w:rsid w:val="00966FB1"/>
    <w:rsid w:val="00966FF9"/>
    <w:rsid w:val="009670DC"/>
    <w:rsid w:val="009672AA"/>
    <w:rsid w:val="0096738E"/>
    <w:rsid w:val="00967450"/>
    <w:rsid w:val="00967534"/>
    <w:rsid w:val="00967553"/>
    <w:rsid w:val="00967625"/>
    <w:rsid w:val="009677F7"/>
    <w:rsid w:val="0096780D"/>
    <w:rsid w:val="009678BA"/>
    <w:rsid w:val="009678FE"/>
    <w:rsid w:val="0096795E"/>
    <w:rsid w:val="0096799A"/>
    <w:rsid w:val="00967AF2"/>
    <w:rsid w:val="00967BDF"/>
    <w:rsid w:val="00967C7C"/>
    <w:rsid w:val="00967CE4"/>
    <w:rsid w:val="00967DC8"/>
    <w:rsid w:val="00967E0E"/>
    <w:rsid w:val="00967E52"/>
    <w:rsid w:val="00967EAD"/>
    <w:rsid w:val="00967EB3"/>
    <w:rsid w:val="00967FF0"/>
    <w:rsid w:val="009701F0"/>
    <w:rsid w:val="009703A9"/>
    <w:rsid w:val="009703DF"/>
    <w:rsid w:val="009704A4"/>
    <w:rsid w:val="009705C3"/>
    <w:rsid w:val="00970822"/>
    <w:rsid w:val="00970927"/>
    <w:rsid w:val="0097098B"/>
    <w:rsid w:val="00970A21"/>
    <w:rsid w:val="00970A36"/>
    <w:rsid w:val="00970A5E"/>
    <w:rsid w:val="00970CA3"/>
    <w:rsid w:val="00970E2F"/>
    <w:rsid w:val="00970F3F"/>
    <w:rsid w:val="00970F61"/>
    <w:rsid w:val="0097108B"/>
    <w:rsid w:val="00971174"/>
    <w:rsid w:val="00971228"/>
    <w:rsid w:val="0097136A"/>
    <w:rsid w:val="009713D4"/>
    <w:rsid w:val="009715A9"/>
    <w:rsid w:val="00971632"/>
    <w:rsid w:val="0097163A"/>
    <w:rsid w:val="009716AA"/>
    <w:rsid w:val="0097170E"/>
    <w:rsid w:val="009717E3"/>
    <w:rsid w:val="0097186D"/>
    <w:rsid w:val="009718A0"/>
    <w:rsid w:val="009718B9"/>
    <w:rsid w:val="00971AD0"/>
    <w:rsid w:val="00971AD5"/>
    <w:rsid w:val="00971B0E"/>
    <w:rsid w:val="00971C43"/>
    <w:rsid w:val="00971D28"/>
    <w:rsid w:val="00971DCD"/>
    <w:rsid w:val="00971E7D"/>
    <w:rsid w:val="009720BA"/>
    <w:rsid w:val="009721D4"/>
    <w:rsid w:val="00972255"/>
    <w:rsid w:val="00972282"/>
    <w:rsid w:val="009723A7"/>
    <w:rsid w:val="0097260C"/>
    <w:rsid w:val="00972624"/>
    <w:rsid w:val="00972684"/>
    <w:rsid w:val="009726FC"/>
    <w:rsid w:val="00972881"/>
    <w:rsid w:val="009728CC"/>
    <w:rsid w:val="009729F8"/>
    <w:rsid w:val="00972A4B"/>
    <w:rsid w:val="00972B64"/>
    <w:rsid w:val="00972CC5"/>
    <w:rsid w:val="00972CEE"/>
    <w:rsid w:val="00972DEE"/>
    <w:rsid w:val="00972E12"/>
    <w:rsid w:val="0097302F"/>
    <w:rsid w:val="00973053"/>
    <w:rsid w:val="009730A0"/>
    <w:rsid w:val="00973279"/>
    <w:rsid w:val="00973345"/>
    <w:rsid w:val="00973402"/>
    <w:rsid w:val="00973405"/>
    <w:rsid w:val="00973424"/>
    <w:rsid w:val="00973529"/>
    <w:rsid w:val="0097352A"/>
    <w:rsid w:val="009736F4"/>
    <w:rsid w:val="00973766"/>
    <w:rsid w:val="009737A4"/>
    <w:rsid w:val="009737F1"/>
    <w:rsid w:val="0097385E"/>
    <w:rsid w:val="00973925"/>
    <w:rsid w:val="0097394B"/>
    <w:rsid w:val="009739B6"/>
    <w:rsid w:val="00973B43"/>
    <w:rsid w:val="00973B48"/>
    <w:rsid w:val="00973B8E"/>
    <w:rsid w:val="00973BBD"/>
    <w:rsid w:val="00973BCE"/>
    <w:rsid w:val="00973BD7"/>
    <w:rsid w:val="00973D08"/>
    <w:rsid w:val="00973E33"/>
    <w:rsid w:val="00973EAE"/>
    <w:rsid w:val="00973ED2"/>
    <w:rsid w:val="00973F14"/>
    <w:rsid w:val="00973FA2"/>
    <w:rsid w:val="00973FBB"/>
    <w:rsid w:val="009740B6"/>
    <w:rsid w:val="009740E5"/>
    <w:rsid w:val="009745A8"/>
    <w:rsid w:val="009745CD"/>
    <w:rsid w:val="00974700"/>
    <w:rsid w:val="00974762"/>
    <w:rsid w:val="00974A71"/>
    <w:rsid w:val="00974B47"/>
    <w:rsid w:val="00974C6F"/>
    <w:rsid w:val="00974D71"/>
    <w:rsid w:val="00974F89"/>
    <w:rsid w:val="00975023"/>
    <w:rsid w:val="00975153"/>
    <w:rsid w:val="00975272"/>
    <w:rsid w:val="00975333"/>
    <w:rsid w:val="00975406"/>
    <w:rsid w:val="0097541A"/>
    <w:rsid w:val="00975476"/>
    <w:rsid w:val="00975520"/>
    <w:rsid w:val="00975670"/>
    <w:rsid w:val="009758EF"/>
    <w:rsid w:val="00975AF5"/>
    <w:rsid w:val="00975DC9"/>
    <w:rsid w:val="00975F00"/>
    <w:rsid w:val="0097600E"/>
    <w:rsid w:val="0097608D"/>
    <w:rsid w:val="0097621F"/>
    <w:rsid w:val="0097624C"/>
    <w:rsid w:val="009762AD"/>
    <w:rsid w:val="00976443"/>
    <w:rsid w:val="009764A0"/>
    <w:rsid w:val="009765B8"/>
    <w:rsid w:val="009765F9"/>
    <w:rsid w:val="0097666E"/>
    <w:rsid w:val="0097671A"/>
    <w:rsid w:val="00976733"/>
    <w:rsid w:val="0097675B"/>
    <w:rsid w:val="009767B1"/>
    <w:rsid w:val="00976854"/>
    <w:rsid w:val="0097687C"/>
    <w:rsid w:val="009768B7"/>
    <w:rsid w:val="009768E7"/>
    <w:rsid w:val="009769DC"/>
    <w:rsid w:val="009769E0"/>
    <w:rsid w:val="00976B96"/>
    <w:rsid w:val="00976C07"/>
    <w:rsid w:val="00976C96"/>
    <w:rsid w:val="00976CBB"/>
    <w:rsid w:val="00976CEE"/>
    <w:rsid w:val="00976EFA"/>
    <w:rsid w:val="00976F5C"/>
    <w:rsid w:val="009770A2"/>
    <w:rsid w:val="009770B0"/>
    <w:rsid w:val="009770D4"/>
    <w:rsid w:val="00977194"/>
    <w:rsid w:val="009771D1"/>
    <w:rsid w:val="009772CF"/>
    <w:rsid w:val="009773ED"/>
    <w:rsid w:val="00977418"/>
    <w:rsid w:val="00977560"/>
    <w:rsid w:val="00977625"/>
    <w:rsid w:val="00977737"/>
    <w:rsid w:val="00977803"/>
    <w:rsid w:val="00977813"/>
    <w:rsid w:val="0097781D"/>
    <w:rsid w:val="00977985"/>
    <w:rsid w:val="00977C2B"/>
    <w:rsid w:val="00977C37"/>
    <w:rsid w:val="00977C79"/>
    <w:rsid w:val="00977CEB"/>
    <w:rsid w:val="00977DF6"/>
    <w:rsid w:val="00977F10"/>
    <w:rsid w:val="00977F9C"/>
    <w:rsid w:val="00977FA8"/>
    <w:rsid w:val="00980020"/>
    <w:rsid w:val="00980033"/>
    <w:rsid w:val="009800C6"/>
    <w:rsid w:val="009800F2"/>
    <w:rsid w:val="00980159"/>
    <w:rsid w:val="00980244"/>
    <w:rsid w:val="0098026E"/>
    <w:rsid w:val="009802F9"/>
    <w:rsid w:val="00980373"/>
    <w:rsid w:val="00980484"/>
    <w:rsid w:val="00980491"/>
    <w:rsid w:val="009804E0"/>
    <w:rsid w:val="00980523"/>
    <w:rsid w:val="00980586"/>
    <w:rsid w:val="00980619"/>
    <w:rsid w:val="00980665"/>
    <w:rsid w:val="00980715"/>
    <w:rsid w:val="00980807"/>
    <w:rsid w:val="00980818"/>
    <w:rsid w:val="00980834"/>
    <w:rsid w:val="00980897"/>
    <w:rsid w:val="009808E4"/>
    <w:rsid w:val="00980964"/>
    <w:rsid w:val="00980A1B"/>
    <w:rsid w:val="00980A2A"/>
    <w:rsid w:val="00980B3B"/>
    <w:rsid w:val="00980BAD"/>
    <w:rsid w:val="00980C05"/>
    <w:rsid w:val="00980CDA"/>
    <w:rsid w:val="00980ED1"/>
    <w:rsid w:val="00980F2F"/>
    <w:rsid w:val="00980F3F"/>
    <w:rsid w:val="00980F4F"/>
    <w:rsid w:val="00980F73"/>
    <w:rsid w:val="00980FCA"/>
    <w:rsid w:val="00980FDF"/>
    <w:rsid w:val="00980FE7"/>
    <w:rsid w:val="009810CD"/>
    <w:rsid w:val="00981145"/>
    <w:rsid w:val="00981191"/>
    <w:rsid w:val="00981304"/>
    <w:rsid w:val="0098147A"/>
    <w:rsid w:val="0098163F"/>
    <w:rsid w:val="00981728"/>
    <w:rsid w:val="0098180A"/>
    <w:rsid w:val="009818B1"/>
    <w:rsid w:val="0098190B"/>
    <w:rsid w:val="009819A0"/>
    <w:rsid w:val="00981A80"/>
    <w:rsid w:val="00981AAE"/>
    <w:rsid w:val="00981ACC"/>
    <w:rsid w:val="00981C11"/>
    <w:rsid w:val="00981D7D"/>
    <w:rsid w:val="00981F5D"/>
    <w:rsid w:val="00981FD6"/>
    <w:rsid w:val="009820D0"/>
    <w:rsid w:val="0098213A"/>
    <w:rsid w:val="0098225A"/>
    <w:rsid w:val="0098233B"/>
    <w:rsid w:val="009824B2"/>
    <w:rsid w:val="0098252C"/>
    <w:rsid w:val="009825F4"/>
    <w:rsid w:val="00982626"/>
    <w:rsid w:val="00982646"/>
    <w:rsid w:val="00982665"/>
    <w:rsid w:val="0098280E"/>
    <w:rsid w:val="00982878"/>
    <w:rsid w:val="00982882"/>
    <w:rsid w:val="00982947"/>
    <w:rsid w:val="00982958"/>
    <w:rsid w:val="009829AC"/>
    <w:rsid w:val="00982A05"/>
    <w:rsid w:val="00982A7F"/>
    <w:rsid w:val="00982AF9"/>
    <w:rsid w:val="00982B21"/>
    <w:rsid w:val="00982DEC"/>
    <w:rsid w:val="00982EE9"/>
    <w:rsid w:val="00982FDF"/>
    <w:rsid w:val="009830FC"/>
    <w:rsid w:val="00983164"/>
    <w:rsid w:val="00983174"/>
    <w:rsid w:val="00983181"/>
    <w:rsid w:val="009831C8"/>
    <w:rsid w:val="009831DD"/>
    <w:rsid w:val="009831EF"/>
    <w:rsid w:val="0098326C"/>
    <w:rsid w:val="009832C6"/>
    <w:rsid w:val="0098338F"/>
    <w:rsid w:val="009833DC"/>
    <w:rsid w:val="0098343B"/>
    <w:rsid w:val="00983448"/>
    <w:rsid w:val="00983471"/>
    <w:rsid w:val="0098363F"/>
    <w:rsid w:val="00983666"/>
    <w:rsid w:val="009836FA"/>
    <w:rsid w:val="00983845"/>
    <w:rsid w:val="0098385F"/>
    <w:rsid w:val="0098389E"/>
    <w:rsid w:val="0098392C"/>
    <w:rsid w:val="00983961"/>
    <w:rsid w:val="00983A55"/>
    <w:rsid w:val="00983B8F"/>
    <w:rsid w:val="00983C35"/>
    <w:rsid w:val="00983DDF"/>
    <w:rsid w:val="00983DFC"/>
    <w:rsid w:val="009840A6"/>
    <w:rsid w:val="00984176"/>
    <w:rsid w:val="00984203"/>
    <w:rsid w:val="00984239"/>
    <w:rsid w:val="009842AA"/>
    <w:rsid w:val="009843AB"/>
    <w:rsid w:val="009844EA"/>
    <w:rsid w:val="0098451A"/>
    <w:rsid w:val="00984563"/>
    <w:rsid w:val="0098462E"/>
    <w:rsid w:val="009846E4"/>
    <w:rsid w:val="009847D2"/>
    <w:rsid w:val="0098498F"/>
    <w:rsid w:val="00984BC9"/>
    <w:rsid w:val="00984CA1"/>
    <w:rsid w:val="00984D30"/>
    <w:rsid w:val="00984D93"/>
    <w:rsid w:val="00984DC2"/>
    <w:rsid w:val="00984DD4"/>
    <w:rsid w:val="00984DE2"/>
    <w:rsid w:val="00984E03"/>
    <w:rsid w:val="00984E06"/>
    <w:rsid w:val="00984E7C"/>
    <w:rsid w:val="00984EA9"/>
    <w:rsid w:val="00984EFB"/>
    <w:rsid w:val="00984FCB"/>
    <w:rsid w:val="0098501D"/>
    <w:rsid w:val="0098503F"/>
    <w:rsid w:val="0098504C"/>
    <w:rsid w:val="009850CE"/>
    <w:rsid w:val="009851D6"/>
    <w:rsid w:val="00985357"/>
    <w:rsid w:val="0098540A"/>
    <w:rsid w:val="00985500"/>
    <w:rsid w:val="00985549"/>
    <w:rsid w:val="0098559C"/>
    <w:rsid w:val="00985665"/>
    <w:rsid w:val="00985739"/>
    <w:rsid w:val="0098584C"/>
    <w:rsid w:val="009858CC"/>
    <w:rsid w:val="0098592E"/>
    <w:rsid w:val="00985A1C"/>
    <w:rsid w:val="00985A9A"/>
    <w:rsid w:val="00985AD5"/>
    <w:rsid w:val="00985AE7"/>
    <w:rsid w:val="00985B40"/>
    <w:rsid w:val="00985C12"/>
    <w:rsid w:val="00985C42"/>
    <w:rsid w:val="00985CBD"/>
    <w:rsid w:val="00985CE2"/>
    <w:rsid w:val="00985D08"/>
    <w:rsid w:val="00985D20"/>
    <w:rsid w:val="00985D5E"/>
    <w:rsid w:val="00985D6F"/>
    <w:rsid w:val="00985E0C"/>
    <w:rsid w:val="00985F5A"/>
    <w:rsid w:val="00986012"/>
    <w:rsid w:val="009860D0"/>
    <w:rsid w:val="00986132"/>
    <w:rsid w:val="009861C0"/>
    <w:rsid w:val="00986201"/>
    <w:rsid w:val="00986275"/>
    <w:rsid w:val="009862AC"/>
    <w:rsid w:val="009862BA"/>
    <w:rsid w:val="009862DC"/>
    <w:rsid w:val="0098638D"/>
    <w:rsid w:val="00986417"/>
    <w:rsid w:val="0098643E"/>
    <w:rsid w:val="00986489"/>
    <w:rsid w:val="009864D1"/>
    <w:rsid w:val="00986503"/>
    <w:rsid w:val="00986521"/>
    <w:rsid w:val="0098657B"/>
    <w:rsid w:val="009865B4"/>
    <w:rsid w:val="009867EE"/>
    <w:rsid w:val="00986854"/>
    <w:rsid w:val="0098695D"/>
    <w:rsid w:val="0098699B"/>
    <w:rsid w:val="00986B83"/>
    <w:rsid w:val="00986BD1"/>
    <w:rsid w:val="00986C27"/>
    <w:rsid w:val="00986DD9"/>
    <w:rsid w:val="00986EC9"/>
    <w:rsid w:val="00986EF0"/>
    <w:rsid w:val="0098700C"/>
    <w:rsid w:val="00987035"/>
    <w:rsid w:val="00987043"/>
    <w:rsid w:val="0098717B"/>
    <w:rsid w:val="009871E0"/>
    <w:rsid w:val="0098722B"/>
    <w:rsid w:val="00987270"/>
    <w:rsid w:val="0098744F"/>
    <w:rsid w:val="009875EF"/>
    <w:rsid w:val="009876AA"/>
    <w:rsid w:val="009876B0"/>
    <w:rsid w:val="00987753"/>
    <w:rsid w:val="00987992"/>
    <w:rsid w:val="00987A4A"/>
    <w:rsid w:val="00987AF8"/>
    <w:rsid w:val="00987B5F"/>
    <w:rsid w:val="00987B9A"/>
    <w:rsid w:val="00987BD4"/>
    <w:rsid w:val="00987E05"/>
    <w:rsid w:val="00987EF2"/>
    <w:rsid w:val="00987FBF"/>
    <w:rsid w:val="0099010D"/>
    <w:rsid w:val="0099019E"/>
    <w:rsid w:val="009901C7"/>
    <w:rsid w:val="009902E2"/>
    <w:rsid w:val="00990441"/>
    <w:rsid w:val="00990488"/>
    <w:rsid w:val="009904C5"/>
    <w:rsid w:val="00990535"/>
    <w:rsid w:val="00990569"/>
    <w:rsid w:val="009905EA"/>
    <w:rsid w:val="00990607"/>
    <w:rsid w:val="0099067C"/>
    <w:rsid w:val="00990734"/>
    <w:rsid w:val="00990754"/>
    <w:rsid w:val="00990929"/>
    <w:rsid w:val="0099095E"/>
    <w:rsid w:val="00990B68"/>
    <w:rsid w:val="00990BEC"/>
    <w:rsid w:val="00990C1F"/>
    <w:rsid w:val="00990E1A"/>
    <w:rsid w:val="00990E4F"/>
    <w:rsid w:val="00991045"/>
    <w:rsid w:val="0099104D"/>
    <w:rsid w:val="009912D2"/>
    <w:rsid w:val="00991324"/>
    <w:rsid w:val="0099132B"/>
    <w:rsid w:val="00991421"/>
    <w:rsid w:val="0099150D"/>
    <w:rsid w:val="0099157D"/>
    <w:rsid w:val="00991580"/>
    <w:rsid w:val="00991642"/>
    <w:rsid w:val="009916D0"/>
    <w:rsid w:val="009916F4"/>
    <w:rsid w:val="00991B35"/>
    <w:rsid w:val="00991DC5"/>
    <w:rsid w:val="00991FD0"/>
    <w:rsid w:val="00992194"/>
    <w:rsid w:val="00992195"/>
    <w:rsid w:val="009921E5"/>
    <w:rsid w:val="0099224A"/>
    <w:rsid w:val="009922F4"/>
    <w:rsid w:val="00992490"/>
    <w:rsid w:val="009924D2"/>
    <w:rsid w:val="00992551"/>
    <w:rsid w:val="00992554"/>
    <w:rsid w:val="0099276E"/>
    <w:rsid w:val="00992858"/>
    <w:rsid w:val="0099285A"/>
    <w:rsid w:val="0099296A"/>
    <w:rsid w:val="0099297F"/>
    <w:rsid w:val="009929F8"/>
    <w:rsid w:val="00992A20"/>
    <w:rsid w:val="00992A45"/>
    <w:rsid w:val="00992A67"/>
    <w:rsid w:val="00992E02"/>
    <w:rsid w:val="00992E09"/>
    <w:rsid w:val="00992E22"/>
    <w:rsid w:val="00992EA1"/>
    <w:rsid w:val="00992FC0"/>
    <w:rsid w:val="00992FEA"/>
    <w:rsid w:val="00993342"/>
    <w:rsid w:val="00993420"/>
    <w:rsid w:val="00993457"/>
    <w:rsid w:val="009935D0"/>
    <w:rsid w:val="009935EF"/>
    <w:rsid w:val="0099371A"/>
    <w:rsid w:val="00993770"/>
    <w:rsid w:val="009937E4"/>
    <w:rsid w:val="00993877"/>
    <w:rsid w:val="00993937"/>
    <w:rsid w:val="00993B48"/>
    <w:rsid w:val="00993C30"/>
    <w:rsid w:val="00993C42"/>
    <w:rsid w:val="00993D55"/>
    <w:rsid w:val="00993D7F"/>
    <w:rsid w:val="00993F03"/>
    <w:rsid w:val="0099400E"/>
    <w:rsid w:val="00994092"/>
    <w:rsid w:val="00994146"/>
    <w:rsid w:val="009941FF"/>
    <w:rsid w:val="0099426A"/>
    <w:rsid w:val="009942FC"/>
    <w:rsid w:val="00994317"/>
    <w:rsid w:val="0099445F"/>
    <w:rsid w:val="009944D7"/>
    <w:rsid w:val="009945D3"/>
    <w:rsid w:val="0099466A"/>
    <w:rsid w:val="00994757"/>
    <w:rsid w:val="0099479B"/>
    <w:rsid w:val="009947E1"/>
    <w:rsid w:val="009947FC"/>
    <w:rsid w:val="00994B6A"/>
    <w:rsid w:val="00994CAA"/>
    <w:rsid w:val="00994D34"/>
    <w:rsid w:val="00995013"/>
    <w:rsid w:val="009950A9"/>
    <w:rsid w:val="009950DB"/>
    <w:rsid w:val="009951FF"/>
    <w:rsid w:val="00995261"/>
    <w:rsid w:val="00995295"/>
    <w:rsid w:val="0099532D"/>
    <w:rsid w:val="0099532E"/>
    <w:rsid w:val="009953BA"/>
    <w:rsid w:val="009953FE"/>
    <w:rsid w:val="0099544E"/>
    <w:rsid w:val="0099550D"/>
    <w:rsid w:val="009956AE"/>
    <w:rsid w:val="0099577B"/>
    <w:rsid w:val="009958AA"/>
    <w:rsid w:val="009959A3"/>
    <w:rsid w:val="009959DD"/>
    <w:rsid w:val="00995BF5"/>
    <w:rsid w:val="00995C67"/>
    <w:rsid w:val="00995D27"/>
    <w:rsid w:val="00995E0E"/>
    <w:rsid w:val="00995E3E"/>
    <w:rsid w:val="00995E65"/>
    <w:rsid w:val="00995EBA"/>
    <w:rsid w:val="0099606F"/>
    <w:rsid w:val="0099613B"/>
    <w:rsid w:val="0099626A"/>
    <w:rsid w:val="009962F2"/>
    <w:rsid w:val="009962FE"/>
    <w:rsid w:val="00996449"/>
    <w:rsid w:val="009964B2"/>
    <w:rsid w:val="009966DD"/>
    <w:rsid w:val="00996822"/>
    <w:rsid w:val="009968AF"/>
    <w:rsid w:val="00996942"/>
    <w:rsid w:val="009969AB"/>
    <w:rsid w:val="00996A7D"/>
    <w:rsid w:val="00996AC9"/>
    <w:rsid w:val="00996B12"/>
    <w:rsid w:val="00996BB4"/>
    <w:rsid w:val="00996BE1"/>
    <w:rsid w:val="00996DC5"/>
    <w:rsid w:val="00996EDE"/>
    <w:rsid w:val="00996F8E"/>
    <w:rsid w:val="00997027"/>
    <w:rsid w:val="009970CD"/>
    <w:rsid w:val="0099715A"/>
    <w:rsid w:val="009971D0"/>
    <w:rsid w:val="00997294"/>
    <w:rsid w:val="009972A3"/>
    <w:rsid w:val="00997377"/>
    <w:rsid w:val="0099741B"/>
    <w:rsid w:val="0099749B"/>
    <w:rsid w:val="0099755E"/>
    <w:rsid w:val="0099756E"/>
    <w:rsid w:val="009975B7"/>
    <w:rsid w:val="0099770D"/>
    <w:rsid w:val="00997730"/>
    <w:rsid w:val="00997887"/>
    <w:rsid w:val="009979FB"/>
    <w:rsid w:val="00997A09"/>
    <w:rsid w:val="00997B05"/>
    <w:rsid w:val="00997B27"/>
    <w:rsid w:val="00997BB3"/>
    <w:rsid w:val="00997C86"/>
    <w:rsid w:val="00997D3E"/>
    <w:rsid w:val="00997DBA"/>
    <w:rsid w:val="00997E44"/>
    <w:rsid w:val="00997EDC"/>
    <w:rsid w:val="00997F27"/>
    <w:rsid w:val="009A0036"/>
    <w:rsid w:val="009A004D"/>
    <w:rsid w:val="009A0176"/>
    <w:rsid w:val="009A0329"/>
    <w:rsid w:val="009A03A0"/>
    <w:rsid w:val="009A03A8"/>
    <w:rsid w:val="009A0473"/>
    <w:rsid w:val="009A04B9"/>
    <w:rsid w:val="009A057D"/>
    <w:rsid w:val="009A05C5"/>
    <w:rsid w:val="009A072B"/>
    <w:rsid w:val="009A097C"/>
    <w:rsid w:val="009A09A0"/>
    <w:rsid w:val="009A0A00"/>
    <w:rsid w:val="009A0A24"/>
    <w:rsid w:val="009A0A58"/>
    <w:rsid w:val="009A0A7A"/>
    <w:rsid w:val="009A0AC8"/>
    <w:rsid w:val="009A0BB4"/>
    <w:rsid w:val="009A0DEB"/>
    <w:rsid w:val="009A0E0E"/>
    <w:rsid w:val="009A0FA6"/>
    <w:rsid w:val="009A1308"/>
    <w:rsid w:val="009A1353"/>
    <w:rsid w:val="009A13C3"/>
    <w:rsid w:val="009A14F5"/>
    <w:rsid w:val="009A173E"/>
    <w:rsid w:val="009A18C5"/>
    <w:rsid w:val="009A190F"/>
    <w:rsid w:val="009A1938"/>
    <w:rsid w:val="009A19E3"/>
    <w:rsid w:val="009A1AA4"/>
    <w:rsid w:val="009A1BCE"/>
    <w:rsid w:val="009A1BCF"/>
    <w:rsid w:val="009A1E31"/>
    <w:rsid w:val="009A1E44"/>
    <w:rsid w:val="009A1FBA"/>
    <w:rsid w:val="009A201B"/>
    <w:rsid w:val="009A2067"/>
    <w:rsid w:val="009A20AA"/>
    <w:rsid w:val="009A21AB"/>
    <w:rsid w:val="009A22E3"/>
    <w:rsid w:val="009A2455"/>
    <w:rsid w:val="009A2602"/>
    <w:rsid w:val="009A260B"/>
    <w:rsid w:val="009A2767"/>
    <w:rsid w:val="009A27BF"/>
    <w:rsid w:val="009A281C"/>
    <w:rsid w:val="009A28A9"/>
    <w:rsid w:val="009A2A64"/>
    <w:rsid w:val="009A2A65"/>
    <w:rsid w:val="009A2A82"/>
    <w:rsid w:val="009A2AAD"/>
    <w:rsid w:val="009A2C65"/>
    <w:rsid w:val="009A2CCC"/>
    <w:rsid w:val="009A2D6E"/>
    <w:rsid w:val="009A2F4F"/>
    <w:rsid w:val="009A3040"/>
    <w:rsid w:val="009A3139"/>
    <w:rsid w:val="009A314F"/>
    <w:rsid w:val="009A31F1"/>
    <w:rsid w:val="009A31FB"/>
    <w:rsid w:val="009A3243"/>
    <w:rsid w:val="009A331D"/>
    <w:rsid w:val="009A3372"/>
    <w:rsid w:val="009A33C4"/>
    <w:rsid w:val="009A3501"/>
    <w:rsid w:val="009A3580"/>
    <w:rsid w:val="009A3709"/>
    <w:rsid w:val="009A37B2"/>
    <w:rsid w:val="009A3819"/>
    <w:rsid w:val="009A3826"/>
    <w:rsid w:val="009A387D"/>
    <w:rsid w:val="009A3909"/>
    <w:rsid w:val="009A39C2"/>
    <w:rsid w:val="009A3A15"/>
    <w:rsid w:val="009A3AA9"/>
    <w:rsid w:val="009A3AF0"/>
    <w:rsid w:val="009A3C09"/>
    <w:rsid w:val="009A3C42"/>
    <w:rsid w:val="009A3D89"/>
    <w:rsid w:val="009A3DB2"/>
    <w:rsid w:val="009A3E50"/>
    <w:rsid w:val="009A3E75"/>
    <w:rsid w:val="009A3F2A"/>
    <w:rsid w:val="009A402E"/>
    <w:rsid w:val="009A41D0"/>
    <w:rsid w:val="009A421E"/>
    <w:rsid w:val="009A4439"/>
    <w:rsid w:val="009A44B2"/>
    <w:rsid w:val="009A44D3"/>
    <w:rsid w:val="009A4532"/>
    <w:rsid w:val="009A4701"/>
    <w:rsid w:val="009A4816"/>
    <w:rsid w:val="009A4A3F"/>
    <w:rsid w:val="009A4A61"/>
    <w:rsid w:val="009A4B1B"/>
    <w:rsid w:val="009A4B3C"/>
    <w:rsid w:val="009A4C16"/>
    <w:rsid w:val="009A4C75"/>
    <w:rsid w:val="009A4DAC"/>
    <w:rsid w:val="009A4E29"/>
    <w:rsid w:val="009A4EB4"/>
    <w:rsid w:val="009A4FB3"/>
    <w:rsid w:val="009A50DB"/>
    <w:rsid w:val="009A520C"/>
    <w:rsid w:val="009A5477"/>
    <w:rsid w:val="009A549E"/>
    <w:rsid w:val="009A5514"/>
    <w:rsid w:val="009A55E4"/>
    <w:rsid w:val="009A5618"/>
    <w:rsid w:val="009A5659"/>
    <w:rsid w:val="009A5685"/>
    <w:rsid w:val="009A58F5"/>
    <w:rsid w:val="009A5A62"/>
    <w:rsid w:val="009A5A76"/>
    <w:rsid w:val="009A5AD3"/>
    <w:rsid w:val="009A5AFE"/>
    <w:rsid w:val="009A5B06"/>
    <w:rsid w:val="009A5B72"/>
    <w:rsid w:val="009A5CD6"/>
    <w:rsid w:val="009A5CE6"/>
    <w:rsid w:val="009A5D17"/>
    <w:rsid w:val="009A5DA1"/>
    <w:rsid w:val="009A5F46"/>
    <w:rsid w:val="009A5F9C"/>
    <w:rsid w:val="009A60E7"/>
    <w:rsid w:val="009A6153"/>
    <w:rsid w:val="009A61D4"/>
    <w:rsid w:val="009A62CA"/>
    <w:rsid w:val="009A6363"/>
    <w:rsid w:val="009A639A"/>
    <w:rsid w:val="009A6543"/>
    <w:rsid w:val="009A657A"/>
    <w:rsid w:val="009A6910"/>
    <w:rsid w:val="009A6BE6"/>
    <w:rsid w:val="009A6C26"/>
    <w:rsid w:val="009A6CF3"/>
    <w:rsid w:val="009A6D1A"/>
    <w:rsid w:val="009A6D3C"/>
    <w:rsid w:val="009A6E5A"/>
    <w:rsid w:val="009A6F18"/>
    <w:rsid w:val="009A700F"/>
    <w:rsid w:val="009A704A"/>
    <w:rsid w:val="009A71B1"/>
    <w:rsid w:val="009A7330"/>
    <w:rsid w:val="009A7344"/>
    <w:rsid w:val="009A73D9"/>
    <w:rsid w:val="009A76A5"/>
    <w:rsid w:val="009A76B3"/>
    <w:rsid w:val="009A79DF"/>
    <w:rsid w:val="009A79F3"/>
    <w:rsid w:val="009A7AB0"/>
    <w:rsid w:val="009A7ACE"/>
    <w:rsid w:val="009A7BCA"/>
    <w:rsid w:val="009A7D66"/>
    <w:rsid w:val="009A7DA0"/>
    <w:rsid w:val="009A7DBC"/>
    <w:rsid w:val="009A7E21"/>
    <w:rsid w:val="009B0088"/>
    <w:rsid w:val="009B00B9"/>
    <w:rsid w:val="009B0129"/>
    <w:rsid w:val="009B0297"/>
    <w:rsid w:val="009B03AA"/>
    <w:rsid w:val="009B05D6"/>
    <w:rsid w:val="009B0672"/>
    <w:rsid w:val="009B0725"/>
    <w:rsid w:val="009B0881"/>
    <w:rsid w:val="009B09A5"/>
    <w:rsid w:val="009B0BE0"/>
    <w:rsid w:val="009B0BF0"/>
    <w:rsid w:val="009B0C61"/>
    <w:rsid w:val="009B0DA7"/>
    <w:rsid w:val="009B0DB5"/>
    <w:rsid w:val="009B0F3B"/>
    <w:rsid w:val="009B115A"/>
    <w:rsid w:val="009B11F8"/>
    <w:rsid w:val="009B123D"/>
    <w:rsid w:val="009B1292"/>
    <w:rsid w:val="009B12F3"/>
    <w:rsid w:val="009B12FB"/>
    <w:rsid w:val="009B13FE"/>
    <w:rsid w:val="009B1581"/>
    <w:rsid w:val="009B15B9"/>
    <w:rsid w:val="009B15BA"/>
    <w:rsid w:val="009B15D3"/>
    <w:rsid w:val="009B17A4"/>
    <w:rsid w:val="009B1A83"/>
    <w:rsid w:val="009B1C21"/>
    <w:rsid w:val="009B1CF5"/>
    <w:rsid w:val="009B1DC0"/>
    <w:rsid w:val="009B1E37"/>
    <w:rsid w:val="009B1F76"/>
    <w:rsid w:val="009B1FCE"/>
    <w:rsid w:val="009B2054"/>
    <w:rsid w:val="009B20FA"/>
    <w:rsid w:val="009B213A"/>
    <w:rsid w:val="009B22A9"/>
    <w:rsid w:val="009B2315"/>
    <w:rsid w:val="009B2487"/>
    <w:rsid w:val="009B2649"/>
    <w:rsid w:val="009B26F9"/>
    <w:rsid w:val="009B2879"/>
    <w:rsid w:val="009B29EB"/>
    <w:rsid w:val="009B29F9"/>
    <w:rsid w:val="009B2AE3"/>
    <w:rsid w:val="009B2DA4"/>
    <w:rsid w:val="009B2FE1"/>
    <w:rsid w:val="009B3074"/>
    <w:rsid w:val="009B30CB"/>
    <w:rsid w:val="009B30E7"/>
    <w:rsid w:val="009B3100"/>
    <w:rsid w:val="009B3101"/>
    <w:rsid w:val="009B3128"/>
    <w:rsid w:val="009B3177"/>
    <w:rsid w:val="009B31C2"/>
    <w:rsid w:val="009B3258"/>
    <w:rsid w:val="009B32A5"/>
    <w:rsid w:val="009B3342"/>
    <w:rsid w:val="009B338B"/>
    <w:rsid w:val="009B34C2"/>
    <w:rsid w:val="009B34FA"/>
    <w:rsid w:val="009B35F2"/>
    <w:rsid w:val="009B364D"/>
    <w:rsid w:val="009B374F"/>
    <w:rsid w:val="009B3781"/>
    <w:rsid w:val="009B3860"/>
    <w:rsid w:val="009B38AA"/>
    <w:rsid w:val="009B392E"/>
    <w:rsid w:val="009B3A4B"/>
    <w:rsid w:val="009B3B7E"/>
    <w:rsid w:val="009B3C35"/>
    <w:rsid w:val="009B3CB5"/>
    <w:rsid w:val="009B3CE0"/>
    <w:rsid w:val="009B3D35"/>
    <w:rsid w:val="009B3E7B"/>
    <w:rsid w:val="009B4168"/>
    <w:rsid w:val="009B44B7"/>
    <w:rsid w:val="009B4596"/>
    <w:rsid w:val="009B4661"/>
    <w:rsid w:val="009B468F"/>
    <w:rsid w:val="009B46EC"/>
    <w:rsid w:val="009B4703"/>
    <w:rsid w:val="009B4780"/>
    <w:rsid w:val="009B4AEF"/>
    <w:rsid w:val="009B4B0E"/>
    <w:rsid w:val="009B4B67"/>
    <w:rsid w:val="009B4C91"/>
    <w:rsid w:val="009B4D05"/>
    <w:rsid w:val="009B4E2E"/>
    <w:rsid w:val="009B4FCB"/>
    <w:rsid w:val="009B5135"/>
    <w:rsid w:val="009B51A0"/>
    <w:rsid w:val="009B52DF"/>
    <w:rsid w:val="009B5383"/>
    <w:rsid w:val="009B5434"/>
    <w:rsid w:val="009B55BA"/>
    <w:rsid w:val="009B55D1"/>
    <w:rsid w:val="009B5643"/>
    <w:rsid w:val="009B5644"/>
    <w:rsid w:val="009B570D"/>
    <w:rsid w:val="009B574A"/>
    <w:rsid w:val="009B5792"/>
    <w:rsid w:val="009B59D2"/>
    <w:rsid w:val="009B5B3D"/>
    <w:rsid w:val="009B5E5C"/>
    <w:rsid w:val="009B5E74"/>
    <w:rsid w:val="009B5EB3"/>
    <w:rsid w:val="009B60DD"/>
    <w:rsid w:val="009B6267"/>
    <w:rsid w:val="009B640A"/>
    <w:rsid w:val="009B6442"/>
    <w:rsid w:val="009B648A"/>
    <w:rsid w:val="009B64C6"/>
    <w:rsid w:val="009B658B"/>
    <w:rsid w:val="009B65CE"/>
    <w:rsid w:val="009B65EA"/>
    <w:rsid w:val="009B65F6"/>
    <w:rsid w:val="009B66B6"/>
    <w:rsid w:val="009B6729"/>
    <w:rsid w:val="009B6960"/>
    <w:rsid w:val="009B6B06"/>
    <w:rsid w:val="009B6B14"/>
    <w:rsid w:val="009B6BE2"/>
    <w:rsid w:val="009B6BEA"/>
    <w:rsid w:val="009B6BFE"/>
    <w:rsid w:val="009B6C00"/>
    <w:rsid w:val="009B6C1B"/>
    <w:rsid w:val="009B6C49"/>
    <w:rsid w:val="009B6C4A"/>
    <w:rsid w:val="009B6D7D"/>
    <w:rsid w:val="009B6D8B"/>
    <w:rsid w:val="009B6F42"/>
    <w:rsid w:val="009B71E7"/>
    <w:rsid w:val="009B725B"/>
    <w:rsid w:val="009B72B8"/>
    <w:rsid w:val="009B73AA"/>
    <w:rsid w:val="009B7484"/>
    <w:rsid w:val="009B7497"/>
    <w:rsid w:val="009B752D"/>
    <w:rsid w:val="009B7541"/>
    <w:rsid w:val="009B774A"/>
    <w:rsid w:val="009B78CC"/>
    <w:rsid w:val="009B78F1"/>
    <w:rsid w:val="009B793C"/>
    <w:rsid w:val="009B7A42"/>
    <w:rsid w:val="009B7A74"/>
    <w:rsid w:val="009B7AF6"/>
    <w:rsid w:val="009B7BC5"/>
    <w:rsid w:val="009B7CD2"/>
    <w:rsid w:val="009B7D23"/>
    <w:rsid w:val="009B7D32"/>
    <w:rsid w:val="009B7D8F"/>
    <w:rsid w:val="009B7DAF"/>
    <w:rsid w:val="009B7EC8"/>
    <w:rsid w:val="009C00E4"/>
    <w:rsid w:val="009C00F3"/>
    <w:rsid w:val="009C01A6"/>
    <w:rsid w:val="009C01F7"/>
    <w:rsid w:val="009C0202"/>
    <w:rsid w:val="009C037F"/>
    <w:rsid w:val="009C0405"/>
    <w:rsid w:val="009C07E3"/>
    <w:rsid w:val="009C0842"/>
    <w:rsid w:val="009C0873"/>
    <w:rsid w:val="009C08A0"/>
    <w:rsid w:val="009C09D8"/>
    <w:rsid w:val="009C09F8"/>
    <w:rsid w:val="009C0AA4"/>
    <w:rsid w:val="009C0ACD"/>
    <w:rsid w:val="009C0CA1"/>
    <w:rsid w:val="009C0D85"/>
    <w:rsid w:val="009C0DF2"/>
    <w:rsid w:val="009C0E0B"/>
    <w:rsid w:val="009C0E97"/>
    <w:rsid w:val="009C106E"/>
    <w:rsid w:val="009C11E6"/>
    <w:rsid w:val="009C12C6"/>
    <w:rsid w:val="009C1300"/>
    <w:rsid w:val="009C138C"/>
    <w:rsid w:val="009C13F0"/>
    <w:rsid w:val="009C13FF"/>
    <w:rsid w:val="009C157C"/>
    <w:rsid w:val="009C158E"/>
    <w:rsid w:val="009C1750"/>
    <w:rsid w:val="009C17FC"/>
    <w:rsid w:val="009C17FE"/>
    <w:rsid w:val="009C18A1"/>
    <w:rsid w:val="009C19C9"/>
    <w:rsid w:val="009C1A6D"/>
    <w:rsid w:val="009C1ACD"/>
    <w:rsid w:val="009C1BBD"/>
    <w:rsid w:val="009C1BE1"/>
    <w:rsid w:val="009C1C06"/>
    <w:rsid w:val="009C1CF8"/>
    <w:rsid w:val="009C1FFD"/>
    <w:rsid w:val="009C217E"/>
    <w:rsid w:val="009C22B7"/>
    <w:rsid w:val="009C235E"/>
    <w:rsid w:val="009C23B7"/>
    <w:rsid w:val="009C2548"/>
    <w:rsid w:val="009C256C"/>
    <w:rsid w:val="009C25D3"/>
    <w:rsid w:val="009C25E4"/>
    <w:rsid w:val="009C2607"/>
    <w:rsid w:val="009C2628"/>
    <w:rsid w:val="009C288A"/>
    <w:rsid w:val="009C28CB"/>
    <w:rsid w:val="009C292F"/>
    <w:rsid w:val="009C29DD"/>
    <w:rsid w:val="009C2A75"/>
    <w:rsid w:val="009C2BA9"/>
    <w:rsid w:val="009C2C6F"/>
    <w:rsid w:val="009C2D7A"/>
    <w:rsid w:val="009C2DCE"/>
    <w:rsid w:val="009C2EF2"/>
    <w:rsid w:val="009C2F97"/>
    <w:rsid w:val="009C303A"/>
    <w:rsid w:val="009C30F6"/>
    <w:rsid w:val="009C3203"/>
    <w:rsid w:val="009C326D"/>
    <w:rsid w:val="009C3363"/>
    <w:rsid w:val="009C33D9"/>
    <w:rsid w:val="009C34D6"/>
    <w:rsid w:val="009C3656"/>
    <w:rsid w:val="009C37B6"/>
    <w:rsid w:val="009C3832"/>
    <w:rsid w:val="009C3B41"/>
    <w:rsid w:val="009C3BE1"/>
    <w:rsid w:val="009C3CBD"/>
    <w:rsid w:val="009C3D19"/>
    <w:rsid w:val="009C3D51"/>
    <w:rsid w:val="009C3F15"/>
    <w:rsid w:val="009C3F50"/>
    <w:rsid w:val="009C3FA5"/>
    <w:rsid w:val="009C3FB0"/>
    <w:rsid w:val="009C3FD0"/>
    <w:rsid w:val="009C412F"/>
    <w:rsid w:val="009C41C4"/>
    <w:rsid w:val="009C4392"/>
    <w:rsid w:val="009C44E6"/>
    <w:rsid w:val="009C44EE"/>
    <w:rsid w:val="009C45DC"/>
    <w:rsid w:val="009C45DF"/>
    <w:rsid w:val="009C47EA"/>
    <w:rsid w:val="009C48BB"/>
    <w:rsid w:val="009C4915"/>
    <w:rsid w:val="009C4BC9"/>
    <w:rsid w:val="009C4CF9"/>
    <w:rsid w:val="009C4D98"/>
    <w:rsid w:val="009C4E3A"/>
    <w:rsid w:val="009C4EFB"/>
    <w:rsid w:val="009C4FB2"/>
    <w:rsid w:val="009C50E0"/>
    <w:rsid w:val="009C5157"/>
    <w:rsid w:val="009C524A"/>
    <w:rsid w:val="009C525B"/>
    <w:rsid w:val="009C52EB"/>
    <w:rsid w:val="009C52EC"/>
    <w:rsid w:val="009C5378"/>
    <w:rsid w:val="009C5452"/>
    <w:rsid w:val="009C546C"/>
    <w:rsid w:val="009C5954"/>
    <w:rsid w:val="009C5A95"/>
    <w:rsid w:val="009C5ACC"/>
    <w:rsid w:val="009C5B7D"/>
    <w:rsid w:val="009C5E57"/>
    <w:rsid w:val="009C5F86"/>
    <w:rsid w:val="009C6029"/>
    <w:rsid w:val="009C6054"/>
    <w:rsid w:val="009C63C7"/>
    <w:rsid w:val="009C6474"/>
    <w:rsid w:val="009C64CD"/>
    <w:rsid w:val="009C6533"/>
    <w:rsid w:val="009C670C"/>
    <w:rsid w:val="009C6842"/>
    <w:rsid w:val="009C6916"/>
    <w:rsid w:val="009C6998"/>
    <w:rsid w:val="009C6A4B"/>
    <w:rsid w:val="009C6CB2"/>
    <w:rsid w:val="009C6D24"/>
    <w:rsid w:val="009C6D2B"/>
    <w:rsid w:val="009C6DCD"/>
    <w:rsid w:val="009C6E3C"/>
    <w:rsid w:val="009C6EEB"/>
    <w:rsid w:val="009C708B"/>
    <w:rsid w:val="009C7183"/>
    <w:rsid w:val="009C732D"/>
    <w:rsid w:val="009C75CA"/>
    <w:rsid w:val="009C768E"/>
    <w:rsid w:val="009C7690"/>
    <w:rsid w:val="009C77EA"/>
    <w:rsid w:val="009C78B5"/>
    <w:rsid w:val="009C791B"/>
    <w:rsid w:val="009C79CC"/>
    <w:rsid w:val="009C7AF8"/>
    <w:rsid w:val="009C7BEE"/>
    <w:rsid w:val="009C7CF1"/>
    <w:rsid w:val="009C7D4E"/>
    <w:rsid w:val="009C7E86"/>
    <w:rsid w:val="009C7EB3"/>
    <w:rsid w:val="009C7EC0"/>
    <w:rsid w:val="009C7ECB"/>
    <w:rsid w:val="009C7F21"/>
    <w:rsid w:val="009C7F3C"/>
    <w:rsid w:val="009C7F67"/>
    <w:rsid w:val="009C7FEF"/>
    <w:rsid w:val="009D00F8"/>
    <w:rsid w:val="009D036D"/>
    <w:rsid w:val="009D047B"/>
    <w:rsid w:val="009D05F5"/>
    <w:rsid w:val="009D06D4"/>
    <w:rsid w:val="009D06DF"/>
    <w:rsid w:val="009D0857"/>
    <w:rsid w:val="009D0868"/>
    <w:rsid w:val="009D089D"/>
    <w:rsid w:val="009D08EB"/>
    <w:rsid w:val="009D08F2"/>
    <w:rsid w:val="009D09ED"/>
    <w:rsid w:val="009D0A4D"/>
    <w:rsid w:val="009D0B2B"/>
    <w:rsid w:val="009D0CB8"/>
    <w:rsid w:val="009D0CE3"/>
    <w:rsid w:val="009D0D15"/>
    <w:rsid w:val="009D0D54"/>
    <w:rsid w:val="009D0D5B"/>
    <w:rsid w:val="009D0D65"/>
    <w:rsid w:val="009D0E1B"/>
    <w:rsid w:val="009D0E2C"/>
    <w:rsid w:val="009D0E34"/>
    <w:rsid w:val="009D0F1A"/>
    <w:rsid w:val="009D10B5"/>
    <w:rsid w:val="009D10C6"/>
    <w:rsid w:val="009D12C0"/>
    <w:rsid w:val="009D132E"/>
    <w:rsid w:val="009D139E"/>
    <w:rsid w:val="009D1460"/>
    <w:rsid w:val="009D1756"/>
    <w:rsid w:val="009D176D"/>
    <w:rsid w:val="009D17A3"/>
    <w:rsid w:val="009D180D"/>
    <w:rsid w:val="009D18EC"/>
    <w:rsid w:val="009D1994"/>
    <w:rsid w:val="009D1A15"/>
    <w:rsid w:val="009D1AE3"/>
    <w:rsid w:val="009D1B13"/>
    <w:rsid w:val="009D1D00"/>
    <w:rsid w:val="009D1DDC"/>
    <w:rsid w:val="009D1E45"/>
    <w:rsid w:val="009D1F05"/>
    <w:rsid w:val="009D1F6C"/>
    <w:rsid w:val="009D1F9B"/>
    <w:rsid w:val="009D2063"/>
    <w:rsid w:val="009D2239"/>
    <w:rsid w:val="009D2268"/>
    <w:rsid w:val="009D22D1"/>
    <w:rsid w:val="009D237C"/>
    <w:rsid w:val="009D240A"/>
    <w:rsid w:val="009D24AB"/>
    <w:rsid w:val="009D24C8"/>
    <w:rsid w:val="009D25EE"/>
    <w:rsid w:val="009D2626"/>
    <w:rsid w:val="009D26D2"/>
    <w:rsid w:val="009D26F1"/>
    <w:rsid w:val="009D2739"/>
    <w:rsid w:val="009D27B0"/>
    <w:rsid w:val="009D281F"/>
    <w:rsid w:val="009D2900"/>
    <w:rsid w:val="009D29AD"/>
    <w:rsid w:val="009D2C2D"/>
    <w:rsid w:val="009D2C9C"/>
    <w:rsid w:val="009D2D5B"/>
    <w:rsid w:val="009D2E33"/>
    <w:rsid w:val="009D2EAB"/>
    <w:rsid w:val="009D2ECA"/>
    <w:rsid w:val="009D2FE5"/>
    <w:rsid w:val="009D306B"/>
    <w:rsid w:val="009D30E2"/>
    <w:rsid w:val="009D310B"/>
    <w:rsid w:val="009D3143"/>
    <w:rsid w:val="009D3165"/>
    <w:rsid w:val="009D32A4"/>
    <w:rsid w:val="009D3345"/>
    <w:rsid w:val="009D3359"/>
    <w:rsid w:val="009D34A0"/>
    <w:rsid w:val="009D359A"/>
    <w:rsid w:val="009D35CA"/>
    <w:rsid w:val="009D35E2"/>
    <w:rsid w:val="009D36B0"/>
    <w:rsid w:val="009D3737"/>
    <w:rsid w:val="009D3922"/>
    <w:rsid w:val="009D3A16"/>
    <w:rsid w:val="009D3A3C"/>
    <w:rsid w:val="009D3B01"/>
    <w:rsid w:val="009D3B5C"/>
    <w:rsid w:val="009D3C6E"/>
    <w:rsid w:val="009D3D6E"/>
    <w:rsid w:val="009D3DB2"/>
    <w:rsid w:val="009D3E15"/>
    <w:rsid w:val="009D3E66"/>
    <w:rsid w:val="009D3E6F"/>
    <w:rsid w:val="009D4010"/>
    <w:rsid w:val="009D4111"/>
    <w:rsid w:val="009D4175"/>
    <w:rsid w:val="009D4185"/>
    <w:rsid w:val="009D4297"/>
    <w:rsid w:val="009D43C8"/>
    <w:rsid w:val="009D4407"/>
    <w:rsid w:val="009D451C"/>
    <w:rsid w:val="009D4695"/>
    <w:rsid w:val="009D46EE"/>
    <w:rsid w:val="009D4711"/>
    <w:rsid w:val="009D47E5"/>
    <w:rsid w:val="009D4842"/>
    <w:rsid w:val="009D4873"/>
    <w:rsid w:val="009D4941"/>
    <w:rsid w:val="009D4A42"/>
    <w:rsid w:val="009D4D62"/>
    <w:rsid w:val="009D4DE9"/>
    <w:rsid w:val="009D4DFB"/>
    <w:rsid w:val="009D4F48"/>
    <w:rsid w:val="009D5282"/>
    <w:rsid w:val="009D52BF"/>
    <w:rsid w:val="009D5303"/>
    <w:rsid w:val="009D5538"/>
    <w:rsid w:val="009D5585"/>
    <w:rsid w:val="009D5715"/>
    <w:rsid w:val="009D57B4"/>
    <w:rsid w:val="009D5833"/>
    <w:rsid w:val="009D5971"/>
    <w:rsid w:val="009D5A85"/>
    <w:rsid w:val="009D5B40"/>
    <w:rsid w:val="009D5BFE"/>
    <w:rsid w:val="009D5C6F"/>
    <w:rsid w:val="009D5E03"/>
    <w:rsid w:val="009D5E53"/>
    <w:rsid w:val="009D5FC8"/>
    <w:rsid w:val="009D605B"/>
    <w:rsid w:val="009D615D"/>
    <w:rsid w:val="009D6232"/>
    <w:rsid w:val="009D62E1"/>
    <w:rsid w:val="009D6326"/>
    <w:rsid w:val="009D634C"/>
    <w:rsid w:val="009D64BC"/>
    <w:rsid w:val="009D6515"/>
    <w:rsid w:val="009D653B"/>
    <w:rsid w:val="009D65E3"/>
    <w:rsid w:val="009D674A"/>
    <w:rsid w:val="009D67D0"/>
    <w:rsid w:val="009D690C"/>
    <w:rsid w:val="009D6A38"/>
    <w:rsid w:val="009D6AEB"/>
    <w:rsid w:val="009D6B2E"/>
    <w:rsid w:val="009D6BE8"/>
    <w:rsid w:val="009D6CCB"/>
    <w:rsid w:val="009D6D65"/>
    <w:rsid w:val="009D6E1A"/>
    <w:rsid w:val="009D6E92"/>
    <w:rsid w:val="009D7009"/>
    <w:rsid w:val="009D70A1"/>
    <w:rsid w:val="009D7165"/>
    <w:rsid w:val="009D7197"/>
    <w:rsid w:val="009D73AC"/>
    <w:rsid w:val="009D73E7"/>
    <w:rsid w:val="009D7550"/>
    <w:rsid w:val="009D7575"/>
    <w:rsid w:val="009D76D8"/>
    <w:rsid w:val="009D776D"/>
    <w:rsid w:val="009D77C5"/>
    <w:rsid w:val="009D781F"/>
    <w:rsid w:val="009D7AA9"/>
    <w:rsid w:val="009D7D84"/>
    <w:rsid w:val="009D7EF6"/>
    <w:rsid w:val="009D7F22"/>
    <w:rsid w:val="009D7F25"/>
    <w:rsid w:val="009D7F71"/>
    <w:rsid w:val="009E004A"/>
    <w:rsid w:val="009E0237"/>
    <w:rsid w:val="009E02AB"/>
    <w:rsid w:val="009E02CE"/>
    <w:rsid w:val="009E03A6"/>
    <w:rsid w:val="009E048F"/>
    <w:rsid w:val="009E050B"/>
    <w:rsid w:val="009E0515"/>
    <w:rsid w:val="009E0552"/>
    <w:rsid w:val="009E0772"/>
    <w:rsid w:val="009E08A8"/>
    <w:rsid w:val="009E0A0F"/>
    <w:rsid w:val="009E0A2E"/>
    <w:rsid w:val="009E0B65"/>
    <w:rsid w:val="009E0BA2"/>
    <w:rsid w:val="009E0BEE"/>
    <w:rsid w:val="009E0CC2"/>
    <w:rsid w:val="009E0CCE"/>
    <w:rsid w:val="009E0D0F"/>
    <w:rsid w:val="009E0E30"/>
    <w:rsid w:val="009E0E83"/>
    <w:rsid w:val="009E0ED6"/>
    <w:rsid w:val="009E0FC1"/>
    <w:rsid w:val="009E101E"/>
    <w:rsid w:val="009E11E2"/>
    <w:rsid w:val="009E12B7"/>
    <w:rsid w:val="009E12F0"/>
    <w:rsid w:val="009E138A"/>
    <w:rsid w:val="009E13F9"/>
    <w:rsid w:val="009E1496"/>
    <w:rsid w:val="009E174A"/>
    <w:rsid w:val="009E17A9"/>
    <w:rsid w:val="009E1887"/>
    <w:rsid w:val="009E1921"/>
    <w:rsid w:val="009E19FD"/>
    <w:rsid w:val="009E1A80"/>
    <w:rsid w:val="009E1C76"/>
    <w:rsid w:val="009E1CB0"/>
    <w:rsid w:val="009E1CC9"/>
    <w:rsid w:val="009E1DE7"/>
    <w:rsid w:val="009E1E05"/>
    <w:rsid w:val="009E1E51"/>
    <w:rsid w:val="009E1F6E"/>
    <w:rsid w:val="009E20C1"/>
    <w:rsid w:val="009E20DE"/>
    <w:rsid w:val="009E22A4"/>
    <w:rsid w:val="009E2444"/>
    <w:rsid w:val="009E2464"/>
    <w:rsid w:val="009E2489"/>
    <w:rsid w:val="009E24CF"/>
    <w:rsid w:val="009E2504"/>
    <w:rsid w:val="009E27C3"/>
    <w:rsid w:val="009E2A04"/>
    <w:rsid w:val="009E2AD5"/>
    <w:rsid w:val="009E2BB3"/>
    <w:rsid w:val="009E2BEE"/>
    <w:rsid w:val="009E2E00"/>
    <w:rsid w:val="009E2F41"/>
    <w:rsid w:val="009E2F75"/>
    <w:rsid w:val="009E30F9"/>
    <w:rsid w:val="009E31E8"/>
    <w:rsid w:val="009E3213"/>
    <w:rsid w:val="009E3255"/>
    <w:rsid w:val="009E328C"/>
    <w:rsid w:val="009E33F1"/>
    <w:rsid w:val="009E3411"/>
    <w:rsid w:val="009E3565"/>
    <w:rsid w:val="009E3566"/>
    <w:rsid w:val="009E371B"/>
    <w:rsid w:val="009E3923"/>
    <w:rsid w:val="009E3A10"/>
    <w:rsid w:val="009E3A5B"/>
    <w:rsid w:val="009E3A64"/>
    <w:rsid w:val="009E3B07"/>
    <w:rsid w:val="009E3B43"/>
    <w:rsid w:val="009E3B8E"/>
    <w:rsid w:val="009E3B94"/>
    <w:rsid w:val="009E3BAD"/>
    <w:rsid w:val="009E3C86"/>
    <w:rsid w:val="009E3CDE"/>
    <w:rsid w:val="009E3D17"/>
    <w:rsid w:val="009E3D90"/>
    <w:rsid w:val="009E3DA8"/>
    <w:rsid w:val="009E3EDC"/>
    <w:rsid w:val="009E3FC1"/>
    <w:rsid w:val="009E4120"/>
    <w:rsid w:val="009E41C9"/>
    <w:rsid w:val="009E4260"/>
    <w:rsid w:val="009E42F4"/>
    <w:rsid w:val="009E438D"/>
    <w:rsid w:val="009E4487"/>
    <w:rsid w:val="009E44F0"/>
    <w:rsid w:val="009E45D8"/>
    <w:rsid w:val="009E4698"/>
    <w:rsid w:val="009E47AC"/>
    <w:rsid w:val="009E47D6"/>
    <w:rsid w:val="009E482E"/>
    <w:rsid w:val="009E48B7"/>
    <w:rsid w:val="009E4932"/>
    <w:rsid w:val="009E4A5C"/>
    <w:rsid w:val="009E4AA2"/>
    <w:rsid w:val="009E4B5B"/>
    <w:rsid w:val="009E4BCC"/>
    <w:rsid w:val="009E4D38"/>
    <w:rsid w:val="009E506D"/>
    <w:rsid w:val="009E5141"/>
    <w:rsid w:val="009E516A"/>
    <w:rsid w:val="009E5187"/>
    <w:rsid w:val="009E518F"/>
    <w:rsid w:val="009E5305"/>
    <w:rsid w:val="009E536D"/>
    <w:rsid w:val="009E54B7"/>
    <w:rsid w:val="009E5514"/>
    <w:rsid w:val="009E5576"/>
    <w:rsid w:val="009E55C4"/>
    <w:rsid w:val="009E55D4"/>
    <w:rsid w:val="009E55ED"/>
    <w:rsid w:val="009E570F"/>
    <w:rsid w:val="009E5770"/>
    <w:rsid w:val="009E587C"/>
    <w:rsid w:val="009E5CAE"/>
    <w:rsid w:val="009E5CB8"/>
    <w:rsid w:val="009E5D6B"/>
    <w:rsid w:val="009E5EE9"/>
    <w:rsid w:val="009E5F05"/>
    <w:rsid w:val="009E5F8B"/>
    <w:rsid w:val="009E5FFB"/>
    <w:rsid w:val="009E6006"/>
    <w:rsid w:val="009E601F"/>
    <w:rsid w:val="009E61B2"/>
    <w:rsid w:val="009E61BB"/>
    <w:rsid w:val="009E6288"/>
    <w:rsid w:val="009E639E"/>
    <w:rsid w:val="009E6620"/>
    <w:rsid w:val="009E68E9"/>
    <w:rsid w:val="009E6908"/>
    <w:rsid w:val="009E69DC"/>
    <w:rsid w:val="009E6A53"/>
    <w:rsid w:val="009E6A5A"/>
    <w:rsid w:val="009E6BC8"/>
    <w:rsid w:val="009E6C1B"/>
    <w:rsid w:val="009E6C37"/>
    <w:rsid w:val="009E6CA5"/>
    <w:rsid w:val="009E6D7D"/>
    <w:rsid w:val="009E6E38"/>
    <w:rsid w:val="009E6E76"/>
    <w:rsid w:val="009E6F07"/>
    <w:rsid w:val="009E6FA1"/>
    <w:rsid w:val="009E7094"/>
    <w:rsid w:val="009E70D7"/>
    <w:rsid w:val="009E70E8"/>
    <w:rsid w:val="009E7161"/>
    <w:rsid w:val="009E71DC"/>
    <w:rsid w:val="009E7289"/>
    <w:rsid w:val="009E7294"/>
    <w:rsid w:val="009E7475"/>
    <w:rsid w:val="009E75D7"/>
    <w:rsid w:val="009E75FE"/>
    <w:rsid w:val="009E781D"/>
    <w:rsid w:val="009E78AE"/>
    <w:rsid w:val="009E798D"/>
    <w:rsid w:val="009E79B2"/>
    <w:rsid w:val="009E7A39"/>
    <w:rsid w:val="009E7A3A"/>
    <w:rsid w:val="009E7A7C"/>
    <w:rsid w:val="009E7B02"/>
    <w:rsid w:val="009E7C22"/>
    <w:rsid w:val="009E7CFF"/>
    <w:rsid w:val="009E7D64"/>
    <w:rsid w:val="009E7DDA"/>
    <w:rsid w:val="009E7E3D"/>
    <w:rsid w:val="009E7EF8"/>
    <w:rsid w:val="009E7F3C"/>
    <w:rsid w:val="009F0042"/>
    <w:rsid w:val="009F0067"/>
    <w:rsid w:val="009F00A1"/>
    <w:rsid w:val="009F01BB"/>
    <w:rsid w:val="009F035B"/>
    <w:rsid w:val="009F03B2"/>
    <w:rsid w:val="009F0435"/>
    <w:rsid w:val="009F04FA"/>
    <w:rsid w:val="009F057D"/>
    <w:rsid w:val="009F061F"/>
    <w:rsid w:val="009F0626"/>
    <w:rsid w:val="009F06DC"/>
    <w:rsid w:val="009F072E"/>
    <w:rsid w:val="009F077E"/>
    <w:rsid w:val="009F0838"/>
    <w:rsid w:val="009F09FA"/>
    <w:rsid w:val="009F0AAB"/>
    <w:rsid w:val="009F0ACD"/>
    <w:rsid w:val="009F0BAD"/>
    <w:rsid w:val="009F0CA7"/>
    <w:rsid w:val="009F0CE0"/>
    <w:rsid w:val="009F0D64"/>
    <w:rsid w:val="009F0E33"/>
    <w:rsid w:val="009F0E5B"/>
    <w:rsid w:val="009F126E"/>
    <w:rsid w:val="009F1285"/>
    <w:rsid w:val="009F130C"/>
    <w:rsid w:val="009F130D"/>
    <w:rsid w:val="009F1327"/>
    <w:rsid w:val="009F1452"/>
    <w:rsid w:val="009F1549"/>
    <w:rsid w:val="009F15C0"/>
    <w:rsid w:val="009F16E0"/>
    <w:rsid w:val="009F177C"/>
    <w:rsid w:val="009F179A"/>
    <w:rsid w:val="009F179C"/>
    <w:rsid w:val="009F1880"/>
    <w:rsid w:val="009F189C"/>
    <w:rsid w:val="009F191E"/>
    <w:rsid w:val="009F196B"/>
    <w:rsid w:val="009F19B2"/>
    <w:rsid w:val="009F1AEA"/>
    <w:rsid w:val="009F1AED"/>
    <w:rsid w:val="009F1BBF"/>
    <w:rsid w:val="009F1D49"/>
    <w:rsid w:val="009F1DF8"/>
    <w:rsid w:val="009F1E13"/>
    <w:rsid w:val="009F1E33"/>
    <w:rsid w:val="009F1EAC"/>
    <w:rsid w:val="009F1EE0"/>
    <w:rsid w:val="009F1FA7"/>
    <w:rsid w:val="009F21D4"/>
    <w:rsid w:val="009F23E5"/>
    <w:rsid w:val="009F248D"/>
    <w:rsid w:val="009F26EC"/>
    <w:rsid w:val="009F2707"/>
    <w:rsid w:val="009F272E"/>
    <w:rsid w:val="009F2983"/>
    <w:rsid w:val="009F299B"/>
    <w:rsid w:val="009F2B00"/>
    <w:rsid w:val="009F2B6E"/>
    <w:rsid w:val="009F2BFF"/>
    <w:rsid w:val="009F2DE0"/>
    <w:rsid w:val="009F2DF5"/>
    <w:rsid w:val="009F2E01"/>
    <w:rsid w:val="009F2E9D"/>
    <w:rsid w:val="009F300F"/>
    <w:rsid w:val="009F3075"/>
    <w:rsid w:val="009F30CB"/>
    <w:rsid w:val="009F3334"/>
    <w:rsid w:val="009F35AA"/>
    <w:rsid w:val="009F36B3"/>
    <w:rsid w:val="009F3728"/>
    <w:rsid w:val="009F3840"/>
    <w:rsid w:val="009F3851"/>
    <w:rsid w:val="009F3954"/>
    <w:rsid w:val="009F39A1"/>
    <w:rsid w:val="009F39ED"/>
    <w:rsid w:val="009F3A1C"/>
    <w:rsid w:val="009F3AB1"/>
    <w:rsid w:val="009F3AE8"/>
    <w:rsid w:val="009F3B2B"/>
    <w:rsid w:val="009F3C0C"/>
    <w:rsid w:val="009F3CF6"/>
    <w:rsid w:val="009F3E4E"/>
    <w:rsid w:val="009F3E67"/>
    <w:rsid w:val="009F3F38"/>
    <w:rsid w:val="009F40CA"/>
    <w:rsid w:val="009F4275"/>
    <w:rsid w:val="009F42D6"/>
    <w:rsid w:val="009F454B"/>
    <w:rsid w:val="009F45BB"/>
    <w:rsid w:val="009F469D"/>
    <w:rsid w:val="009F4751"/>
    <w:rsid w:val="009F4832"/>
    <w:rsid w:val="009F485E"/>
    <w:rsid w:val="009F48DD"/>
    <w:rsid w:val="009F4A2E"/>
    <w:rsid w:val="009F4B40"/>
    <w:rsid w:val="009F4BA6"/>
    <w:rsid w:val="009F4D7C"/>
    <w:rsid w:val="009F4E6F"/>
    <w:rsid w:val="009F5364"/>
    <w:rsid w:val="009F53C7"/>
    <w:rsid w:val="009F54F0"/>
    <w:rsid w:val="009F557E"/>
    <w:rsid w:val="009F56A3"/>
    <w:rsid w:val="009F57E2"/>
    <w:rsid w:val="009F5813"/>
    <w:rsid w:val="009F5AF2"/>
    <w:rsid w:val="009F5CB7"/>
    <w:rsid w:val="009F5CF4"/>
    <w:rsid w:val="009F5D9D"/>
    <w:rsid w:val="009F5DAB"/>
    <w:rsid w:val="009F5E10"/>
    <w:rsid w:val="009F5E38"/>
    <w:rsid w:val="009F5EEF"/>
    <w:rsid w:val="009F5F3A"/>
    <w:rsid w:val="009F5F5C"/>
    <w:rsid w:val="009F6176"/>
    <w:rsid w:val="009F651A"/>
    <w:rsid w:val="009F6701"/>
    <w:rsid w:val="009F672A"/>
    <w:rsid w:val="009F6764"/>
    <w:rsid w:val="009F6934"/>
    <w:rsid w:val="009F69D8"/>
    <w:rsid w:val="009F6A0E"/>
    <w:rsid w:val="009F6A7E"/>
    <w:rsid w:val="009F6AA0"/>
    <w:rsid w:val="009F6AA4"/>
    <w:rsid w:val="009F6C3E"/>
    <w:rsid w:val="009F6D8D"/>
    <w:rsid w:val="009F6E23"/>
    <w:rsid w:val="009F6F92"/>
    <w:rsid w:val="009F6F95"/>
    <w:rsid w:val="009F6FC0"/>
    <w:rsid w:val="009F714D"/>
    <w:rsid w:val="009F71FB"/>
    <w:rsid w:val="009F723C"/>
    <w:rsid w:val="009F7242"/>
    <w:rsid w:val="009F728D"/>
    <w:rsid w:val="009F72CA"/>
    <w:rsid w:val="009F7365"/>
    <w:rsid w:val="009F73AE"/>
    <w:rsid w:val="009F73CD"/>
    <w:rsid w:val="009F73E1"/>
    <w:rsid w:val="009F7490"/>
    <w:rsid w:val="009F74B6"/>
    <w:rsid w:val="009F7580"/>
    <w:rsid w:val="009F75AF"/>
    <w:rsid w:val="009F766F"/>
    <w:rsid w:val="009F76B1"/>
    <w:rsid w:val="009F78A7"/>
    <w:rsid w:val="009F7954"/>
    <w:rsid w:val="009F7974"/>
    <w:rsid w:val="009F7ADD"/>
    <w:rsid w:val="009F7B1F"/>
    <w:rsid w:val="009F7CE6"/>
    <w:rsid w:val="009F7CEC"/>
    <w:rsid w:val="009F7D23"/>
    <w:rsid w:val="009F7D32"/>
    <w:rsid w:val="009F7E14"/>
    <w:rsid w:val="00A0004A"/>
    <w:rsid w:val="00A00093"/>
    <w:rsid w:val="00A000B5"/>
    <w:rsid w:val="00A000F5"/>
    <w:rsid w:val="00A0012A"/>
    <w:rsid w:val="00A002EB"/>
    <w:rsid w:val="00A00370"/>
    <w:rsid w:val="00A00396"/>
    <w:rsid w:val="00A0045B"/>
    <w:rsid w:val="00A00464"/>
    <w:rsid w:val="00A00536"/>
    <w:rsid w:val="00A0056E"/>
    <w:rsid w:val="00A005A2"/>
    <w:rsid w:val="00A005E8"/>
    <w:rsid w:val="00A0064A"/>
    <w:rsid w:val="00A00712"/>
    <w:rsid w:val="00A00732"/>
    <w:rsid w:val="00A0074B"/>
    <w:rsid w:val="00A00793"/>
    <w:rsid w:val="00A008EC"/>
    <w:rsid w:val="00A009D5"/>
    <w:rsid w:val="00A00AE4"/>
    <w:rsid w:val="00A00AFC"/>
    <w:rsid w:val="00A00B15"/>
    <w:rsid w:val="00A00C44"/>
    <w:rsid w:val="00A00CAA"/>
    <w:rsid w:val="00A00E39"/>
    <w:rsid w:val="00A00ECF"/>
    <w:rsid w:val="00A00F3F"/>
    <w:rsid w:val="00A00F50"/>
    <w:rsid w:val="00A00F58"/>
    <w:rsid w:val="00A00F9E"/>
    <w:rsid w:val="00A010CC"/>
    <w:rsid w:val="00A01178"/>
    <w:rsid w:val="00A012AC"/>
    <w:rsid w:val="00A012EF"/>
    <w:rsid w:val="00A0139C"/>
    <w:rsid w:val="00A013BC"/>
    <w:rsid w:val="00A0143F"/>
    <w:rsid w:val="00A0146A"/>
    <w:rsid w:val="00A0149A"/>
    <w:rsid w:val="00A01504"/>
    <w:rsid w:val="00A016E0"/>
    <w:rsid w:val="00A0185E"/>
    <w:rsid w:val="00A01935"/>
    <w:rsid w:val="00A01938"/>
    <w:rsid w:val="00A01B1C"/>
    <w:rsid w:val="00A01B3F"/>
    <w:rsid w:val="00A01BCB"/>
    <w:rsid w:val="00A01C58"/>
    <w:rsid w:val="00A01CB2"/>
    <w:rsid w:val="00A01DED"/>
    <w:rsid w:val="00A01E17"/>
    <w:rsid w:val="00A01F53"/>
    <w:rsid w:val="00A01FE8"/>
    <w:rsid w:val="00A0215D"/>
    <w:rsid w:val="00A0224C"/>
    <w:rsid w:val="00A02291"/>
    <w:rsid w:val="00A02313"/>
    <w:rsid w:val="00A0231A"/>
    <w:rsid w:val="00A0244D"/>
    <w:rsid w:val="00A02487"/>
    <w:rsid w:val="00A024FE"/>
    <w:rsid w:val="00A02560"/>
    <w:rsid w:val="00A02604"/>
    <w:rsid w:val="00A02795"/>
    <w:rsid w:val="00A028AC"/>
    <w:rsid w:val="00A0290E"/>
    <w:rsid w:val="00A029A8"/>
    <w:rsid w:val="00A02AD5"/>
    <w:rsid w:val="00A02BBE"/>
    <w:rsid w:val="00A02D35"/>
    <w:rsid w:val="00A02EDA"/>
    <w:rsid w:val="00A02F18"/>
    <w:rsid w:val="00A02F29"/>
    <w:rsid w:val="00A0305A"/>
    <w:rsid w:val="00A030ED"/>
    <w:rsid w:val="00A03230"/>
    <w:rsid w:val="00A032BD"/>
    <w:rsid w:val="00A032DD"/>
    <w:rsid w:val="00A0344E"/>
    <w:rsid w:val="00A034CD"/>
    <w:rsid w:val="00A036DA"/>
    <w:rsid w:val="00A036FE"/>
    <w:rsid w:val="00A03994"/>
    <w:rsid w:val="00A039BD"/>
    <w:rsid w:val="00A039ED"/>
    <w:rsid w:val="00A03A01"/>
    <w:rsid w:val="00A03C11"/>
    <w:rsid w:val="00A03C66"/>
    <w:rsid w:val="00A03CC5"/>
    <w:rsid w:val="00A03DF3"/>
    <w:rsid w:val="00A03F8B"/>
    <w:rsid w:val="00A03F9A"/>
    <w:rsid w:val="00A040EB"/>
    <w:rsid w:val="00A04119"/>
    <w:rsid w:val="00A041AF"/>
    <w:rsid w:val="00A041E1"/>
    <w:rsid w:val="00A04495"/>
    <w:rsid w:val="00A0450B"/>
    <w:rsid w:val="00A048BD"/>
    <w:rsid w:val="00A048BF"/>
    <w:rsid w:val="00A049E6"/>
    <w:rsid w:val="00A049F9"/>
    <w:rsid w:val="00A04A82"/>
    <w:rsid w:val="00A04B4C"/>
    <w:rsid w:val="00A04C12"/>
    <w:rsid w:val="00A04D72"/>
    <w:rsid w:val="00A04FDB"/>
    <w:rsid w:val="00A04FFD"/>
    <w:rsid w:val="00A04FFF"/>
    <w:rsid w:val="00A05152"/>
    <w:rsid w:val="00A051A1"/>
    <w:rsid w:val="00A05219"/>
    <w:rsid w:val="00A05287"/>
    <w:rsid w:val="00A053A2"/>
    <w:rsid w:val="00A053A6"/>
    <w:rsid w:val="00A0541D"/>
    <w:rsid w:val="00A05460"/>
    <w:rsid w:val="00A054ED"/>
    <w:rsid w:val="00A057A6"/>
    <w:rsid w:val="00A057D5"/>
    <w:rsid w:val="00A058B4"/>
    <w:rsid w:val="00A058EF"/>
    <w:rsid w:val="00A05920"/>
    <w:rsid w:val="00A05A02"/>
    <w:rsid w:val="00A05A36"/>
    <w:rsid w:val="00A05A49"/>
    <w:rsid w:val="00A05A81"/>
    <w:rsid w:val="00A05A91"/>
    <w:rsid w:val="00A05B6C"/>
    <w:rsid w:val="00A05BB2"/>
    <w:rsid w:val="00A05C1B"/>
    <w:rsid w:val="00A05C77"/>
    <w:rsid w:val="00A06015"/>
    <w:rsid w:val="00A06021"/>
    <w:rsid w:val="00A060AE"/>
    <w:rsid w:val="00A0611D"/>
    <w:rsid w:val="00A0613D"/>
    <w:rsid w:val="00A06193"/>
    <w:rsid w:val="00A061B9"/>
    <w:rsid w:val="00A06254"/>
    <w:rsid w:val="00A0626D"/>
    <w:rsid w:val="00A06346"/>
    <w:rsid w:val="00A064DA"/>
    <w:rsid w:val="00A0650C"/>
    <w:rsid w:val="00A065F7"/>
    <w:rsid w:val="00A067E1"/>
    <w:rsid w:val="00A068E4"/>
    <w:rsid w:val="00A0694A"/>
    <w:rsid w:val="00A06959"/>
    <w:rsid w:val="00A069CE"/>
    <w:rsid w:val="00A06C10"/>
    <w:rsid w:val="00A06C1B"/>
    <w:rsid w:val="00A06D74"/>
    <w:rsid w:val="00A06E77"/>
    <w:rsid w:val="00A06EF6"/>
    <w:rsid w:val="00A07185"/>
    <w:rsid w:val="00A07236"/>
    <w:rsid w:val="00A073C3"/>
    <w:rsid w:val="00A073FF"/>
    <w:rsid w:val="00A0746E"/>
    <w:rsid w:val="00A074F9"/>
    <w:rsid w:val="00A07562"/>
    <w:rsid w:val="00A075A8"/>
    <w:rsid w:val="00A075DC"/>
    <w:rsid w:val="00A075EA"/>
    <w:rsid w:val="00A07800"/>
    <w:rsid w:val="00A07858"/>
    <w:rsid w:val="00A07A32"/>
    <w:rsid w:val="00A07BA1"/>
    <w:rsid w:val="00A07BB5"/>
    <w:rsid w:val="00A07BF1"/>
    <w:rsid w:val="00A07C56"/>
    <w:rsid w:val="00A07DC1"/>
    <w:rsid w:val="00A07E51"/>
    <w:rsid w:val="00A07EA3"/>
    <w:rsid w:val="00A07F64"/>
    <w:rsid w:val="00A101E6"/>
    <w:rsid w:val="00A102C3"/>
    <w:rsid w:val="00A10436"/>
    <w:rsid w:val="00A10564"/>
    <w:rsid w:val="00A10584"/>
    <w:rsid w:val="00A105D0"/>
    <w:rsid w:val="00A1064F"/>
    <w:rsid w:val="00A10663"/>
    <w:rsid w:val="00A10786"/>
    <w:rsid w:val="00A1082C"/>
    <w:rsid w:val="00A1086A"/>
    <w:rsid w:val="00A1096A"/>
    <w:rsid w:val="00A109E6"/>
    <w:rsid w:val="00A10A59"/>
    <w:rsid w:val="00A10BA4"/>
    <w:rsid w:val="00A10C69"/>
    <w:rsid w:val="00A10CE0"/>
    <w:rsid w:val="00A11005"/>
    <w:rsid w:val="00A1138D"/>
    <w:rsid w:val="00A1138F"/>
    <w:rsid w:val="00A11649"/>
    <w:rsid w:val="00A11680"/>
    <w:rsid w:val="00A11683"/>
    <w:rsid w:val="00A11728"/>
    <w:rsid w:val="00A11733"/>
    <w:rsid w:val="00A117C8"/>
    <w:rsid w:val="00A117FB"/>
    <w:rsid w:val="00A11878"/>
    <w:rsid w:val="00A118BE"/>
    <w:rsid w:val="00A118DE"/>
    <w:rsid w:val="00A11913"/>
    <w:rsid w:val="00A11979"/>
    <w:rsid w:val="00A119CD"/>
    <w:rsid w:val="00A11A00"/>
    <w:rsid w:val="00A11A90"/>
    <w:rsid w:val="00A11AA5"/>
    <w:rsid w:val="00A11B39"/>
    <w:rsid w:val="00A11C75"/>
    <w:rsid w:val="00A11D31"/>
    <w:rsid w:val="00A11DAC"/>
    <w:rsid w:val="00A11DFC"/>
    <w:rsid w:val="00A11E59"/>
    <w:rsid w:val="00A11EC5"/>
    <w:rsid w:val="00A11F8B"/>
    <w:rsid w:val="00A1208C"/>
    <w:rsid w:val="00A12120"/>
    <w:rsid w:val="00A1255D"/>
    <w:rsid w:val="00A1263E"/>
    <w:rsid w:val="00A12859"/>
    <w:rsid w:val="00A129E3"/>
    <w:rsid w:val="00A12AEE"/>
    <w:rsid w:val="00A12B28"/>
    <w:rsid w:val="00A12B3B"/>
    <w:rsid w:val="00A12B9B"/>
    <w:rsid w:val="00A12BCE"/>
    <w:rsid w:val="00A12BED"/>
    <w:rsid w:val="00A12BFA"/>
    <w:rsid w:val="00A12C5C"/>
    <w:rsid w:val="00A12C83"/>
    <w:rsid w:val="00A12D91"/>
    <w:rsid w:val="00A12F21"/>
    <w:rsid w:val="00A12F51"/>
    <w:rsid w:val="00A1310E"/>
    <w:rsid w:val="00A1312E"/>
    <w:rsid w:val="00A13211"/>
    <w:rsid w:val="00A13235"/>
    <w:rsid w:val="00A1329B"/>
    <w:rsid w:val="00A1332F"/>
    <w:rsid w:val="00A1334A"/>
    <w:rsid w:val="00A13431"/>
    <w:rsid w:val="00A1349B"/>
    <w:rsid w:val="00A13527"/>
    <w:rsid w:val="00A13561"/>
    <w:rsid w:val="00A13570"/>
    <w:rsid w:val="00A135C7"/>
    <w:rsid w:val="00A1379A"/>
    <w:rsid w:val="00A137AD"/>
    <w:rsid w:val="00A1381F"/>
    <w:rsid w:val="00A138F7"/>
    <w:rsid w:val="00A13A92"/>
    <w:rsid w:val="00A13BCB"/>
    <w:rsid w:val="00A13BF5"/>
    <w:rsid w:val="00A13C95"/>
    <w:rsid w:val="00A13CA0"/>
    <w:rsid w:val="00A13CAA"/>
    <w:rsid w:val="00A13D05"/>
    <w:rsid w:val="00A13E0D"/>
    <w:rsid w:val="00A13EED"/>
    <w:rsid w:val="00A13EF5"/>
    <w:rsid w:val="00A14038"/>
    <w:rsid w:val="00A14575"/>
    <w:rsid w:val="00A145EE"/>
    <w:rsid w:val="00A14609"/>
    <w:rsid w:val="00A14622"/>
    <w:rsid w:val="00A147EC"/>
    <w:rsid w:val="00A14877"/>
    <w:rsid w:val="00A14888"/>
    <w:rsid w:val="00A148A5"/>
    <w:rsid w:val="00A1497B"/>
    <w:rsid w:val="00A14A9F"/>
    <w:rsid w:val="00A14BBC"/>
    <w:rsid w:val="00A14BCF"/>
    <w:rsid w:val="00A14C7C"/>
    <w:rsid w:val="00A14CB5"/>
    <w:rsid w:val="00A14CE3"/>
    <w:rsid w:val="00A14D48"/>
    <w:rsid w:val="00A14DA4"/>
    <w:rsid w:val="00A14E31"/>
    <w:rsid w:val="00A14FFB"/>
    <w:rsid w:val="00A1504C"/>
    <w:rsid w:val="00A150EC"/>
    <w:rsid w:val="00A1515F"/>
    <w:rsid w:val="00A151EC"/>
    <w:rsid w:val="00A154CB"/>
    <w:rsid w:val="00A154D2"/>
    <w:rsid w:val="00A15753"/>
    <w:rsid w:val="00A15772"/>
    <w:rsid w:val="00A157B6"/>
    <w:rsid w:val="00A157BB"/>
    <w:rsid w:val="00A1588A"/>
    <w:rsid w:val="00A15905"/>
    <w:rsid w:val="00A1591F"/>
    <w:rsid w:val="00A1593D"/>
    <w:rsid w:val="00A159EE"/>
    <w:rsid w:val="00A15BD0"/>
    <w:rsid w:val="00A15C71"/>
    <w:rsid w:val="00A15D34"/>
    <w:rsid w:val="00A15D50"/>
    <w:rsid w:val="00A15D98"/>
    <w:rsid w:val="00A15E35"/>
    <w:rsid w:val="00A15E78"/>
    <w:rsid w:val="00A15F12"/>
    <w:rsid w:val="00A15F3E"/>
    <w:rsid w:val="00A15F66"/>
    <w:rsid w:val="00A15F9D"/>
    <w:rsid w:val="00A15FF2"/>
    <w:rsid w:val="00A16044"/>
    <w:rsid w:val="00A16194"/>
    <w:rsid w:val="00A161EA"/>
    <w:rsid w:val="00A1624B"/>
    <w:rsid w:val="00A1636D"/>
    <w:rsid w:val="00A16385"/>
    <w:rsid w:val="00A16457"/>
    <w:rsid w:val="00A164CE"/>
    <w:rsid w:val="00A164DE"/>
    <w:rsid w:val="00A16593"/>
    <w:rsid w:val="00A16629"/>
    <w:rsid w:val="00A16642"/>
    <w:rsid w:val="00A1676C"/>
    <w:rsid w:val="00A168A2"/>
    <w:rsid w:val="00A1692A"/>
    <w:rsid w:val="00A16983"/>
    <w:rsid w:val="00A16B52"/>
    <w:rsid w:val="00A16DC1"/>
    <w:rsid w:val="00A16DED"/>
    <w:rsid w:val="00A16ECB"/>
    <w:rsid w:val="00A16FFE"/>
    <w:rsid w:val="00A170D3"/>
    <w:rsid w:val="00A171BD"/>
    <w:rsid w:val="00A1729F"/>
    <w:rsid w:val="00A17375"/>
    <w:rsid w:val="00A17427"/>
    <w:rsid w:val="00A17429"/>
    <w:rsid w:val="00A177CA"/>
    <w:rsid w:val="00A177EC"/>
    <w:rsid w:val="00A177F4"/>
    <w:rsid w:val="00A178F8"/>
    <w:rsid w:val="00A179BA"/>
    <w:rsid w:val="00A17A8E"/>
    <w:rsid w:val="00A17ACA"/>
    <w:rsid w:val="00A17B83"/>
    <w:rsid w:val="00A17B8C"/>
    <w:rsid w:val="00A17B9C"/>
    <w:rsid w:val="00A17C11"/>
    <w:rsid w:val="00A17E3B"/>
    <w:rsid w:val="00A17F0C"/>
    <w:rsid w:val="00A17F84"/>
    <w:rsid w:val="00A17F95"/>
    <w:rsid w:val="00A20033"/>
    <w:rsid w:val="00A2010C"/>
    <w:rsid w:val="00A2019C"/>
    <w:rsid w:val="00A20297"/>
    <w:rsid w:val="00A202FF"/>
    <w:rsid w:val="00A20358"/>
    <w:rsid w:val="00A204D1"/>
    <w:rsid w:val="00A204D8"/>
    <w:rsid w:val="00A20555"/>
    <w:rsid w:val="00A205A1"/>
    <w:rsid w:val="00A20656"/>
    <w:rsid w:val="00A20662"/>
    <w:rsid w:val="00A206CA"/>
    <w:rsid w:val="00A206E5"/>
    <w:rsid w:val="00A20705"/>
    <w:rsid w:val="00A20959"/>
    <w:rsid w:val="00A2097D"/>
    <w:rsid w:val="00A20B45"/>
    <w:rsid w:val="00A20BCA"/>
    <w:rsid w:val="00A20C50"/>
    <w:rsid w:val="00A20C72"/>
    <w:rsid w:val="00A20D6F"/>
    <w:rsid w:val="00A20DDE"/>
    <w:rsid w:val="00A20E81"/>
    <w:rsid w:val="00A20EBA"/>
    <w:rsid w:val="00A20F59"/>
    <w:rsid w:val="00A20F7F"/>
    <w:rsid w:val="00A20FC6"/>
    <w:rsid w:val="00A210C2"/>
    <w:rsid w:val="00A21101"/>
    <w:rsid w:val="00A21234"/>
    <w:rsid w:val="00A21248"/>
    <w:rsid w:val="00A212B6"/>
    <w:rsid w:val="00A2139F"/>
    <w:rsid w:val="00A21586"/>
    <w:rsid w:val="00A216AC"/>
    <w:rsid w:val="00A2180C"/>
    <w:rsid w:val="00A21854"/>
    <w:rsid w:val="00A218B8"/>
    <w:rsid w:val="00A21947"/>
    <w:rsid w:val="00A21953"/>
    <w:rsid w:val="00A21977"/>
    <w:rsid w:val="00A2197C"/>
    <w:rsid w:val="00A21B68"/>
    <w:rsid w:val="00A21B6C"/>
    <w:rsid w:val="00A21BC5"/>
    <w:rsid w:val="00A21C8D"/>
    <w:rsid w:val="00A21CC4"/>
    <w:rsid w:val="00A21D0D"/>
    <w:rsid w:val="00A21D12"/>
    <w:rsid w:val="00A21DFB"/>
    <w:rsid w:val="00A21F15"/>
    <w:rsid w:val="00A21FF2"/>
    <w:rsid w:val="00A22072"/>
    <w:rsid w:val="00A220EC"/>
    <w:rsid w:val="00A22260"/>
    <w:rsid w:val="00A222B9"/>
    <w:rsid w:val="00A2238D"/>
    <w:rsid w:val="00A223F4"/>
    <w:rsid w:val="00A2242C"/>
    <w:rsid w:val="00A22441"/>
    <w:rsid w:val="00A224E1"/>
    <w:rsid w:val="00A2255D"/>
    <w:rsid w:val="00A226EB"/>
    <w:rsid w:val="00A2275F"/>
    <w:rsid w:val="00A22773"/>
    <w:rsid w:val="00A227A4"/>
    <w:rsid w:val="00A2299C"/>
    <w:rsid w:val="00A229A4"/>
    <w:rsid w:val="00A22AD8"/>
    <w:rsid w:val="00A22B2D"/>
    <w:rsid w:val="00A22B38"/>
    <w:rsid w:val="00A22B7D"/>
    <w:rsid w:val="00A22BC8"/>
    <w:rsid w:val="00A22BD1"/>
    <w:rsid w:val="00A22C2C"/>
    <w:rsid w:val="00A22C96"/>
    <w:rsid w:val="00A22D27"/>
    <w:rsid w:val="00A22D7B"/>
    <w:rsid w:val="00A22DBC"/>
    <w:rsid w:val="00A22E1C"/>
    <w:rsid w:val="00A22E68"/>
    <w:rsid w:val="00A22F13"/>
    <w:rsid w:val="00A23132"/>
    <w:rsid w:val="00A23237"/>
    <w:rsid w:val="00A2335D"/>
    <w:rsid w:val="00A23424"/>
    <w:rsid w:val="00A23427"/>
    <w:rsid w:val="00A23453"/>
    <w:rsid w:val="00A23569"/>
    <w:rsid w:val="00A235E0"/>
    <w:rsid w:val="00A23611"/>
    <w:rsid w:val="00A23656"/>
    <w:rsid w:val="00A2371E"/>
    <w:rsid w:val="00A238EE"/>
    <w:rsid w:val="00A23931"/>
    <w:rsid w:val="00A23E7B"/>
    <w:rsid w:val="00A23F51"/>
    <w:rsid w:val="00A23F8A"/>
    <w:rsid w:val="00A24099"/>
    <w:rsid w:val="00A24107"/>
    <w:rsid w:val="00A24127"/>
    <w:rsid w:val="00A24128"/>
    <w:rsid w:val="00A2440B"/>
    <w:rsid w:val="00A2449A"/>
    <w:rsid w:val="00A244DF"/>
    <w:rsid w:val="00A24545"/>
    <w:rsid w:val="00A2456C"/>
    <w:rsid w:val="00A245DF"/>
    <w:rsid w:val="00A24655"/>
    <w:rsid w:val="00A2467C"/>
    <w:rsid w:val="00A24843"/>
    <w:rsid w:val="00A2486E"/>
    <w:rsid w:val="00A24881"/>
    <w:rsid w:val="00A24A2A"/>
    <w:rsid w:val="00A24A57"/>
    <w:rsid w:val="00A24BA5"/>
    <w:rsid w:val="00A24BB8"/>
    <w:rsid w:val="00A24C23"/>
    <w:rsid w:val="00A24CC8"/>
    <w:rsid w:val="00A24D63"/>
    <w:rsid w:val="00A24DF8"/>
    <w:rsid w:val="00A24ED6"/>
    <w:rsid w:val="00A25005"/>
    <w:rsid w:val="00A25029"/>
    <w:rsid w:val="00A25110"/>
    <w:rsid w:val="00A2527B"/>
    <w:rsid w:val="00A2534C"/>
    <w:rsid w:val="00A25420"/>
    <w:rsid w:val="00A2551D"/>
    <w:rsid w:val="00A255A8"/>
    <w:rsid w:val="00A256F2"/>
    <w:rsid w:val="00A257F9"/>
    <w:rsid w:val="00A2583F"/>
    <w:rsid w:val="00A2587F"/>
    <w:rsid w:val="00A2596B"/>
    <w:rsid w:val="00A259FE"/>
    <w:rsid w:val="00A25C60"/>
    <w:rsid w:val="00A25EAF"/>
    <w:rsid w:val="00A25FC5"/>
    <w:rsid w:val="00A2621E"/>
    <w:rsid w:val="00A26285"/>
    <w:rsid w:val="00A2628B"/>
    <w:rsid w:val="00A26332"/>
    <w:rsid w:val="00A2639B"/>
    <w:rsid w:val="00A264ED"/>
    <w:rsid w:val="00A264F4"/>
    <w:rsid w:val="00A2667A"/>
    <w:rsid w:val="00A266AA"/>
    <w:rsid w:val="00A266C3"/>
    <w:rsid w:val="00A266C5"/>
    <w:rsid w:val="00A26717"/>
    <w:rsid w:val="00A26767"/>
    <w:rsid w:val="00A2690D"/>
    <w:rsid w:val="00A26910"/>
    <w:rsid w:val="00A26979"/>
    <w:rsid w:val="00A269D6"/>
    <w:rsid w:val="00A26BDC"/>
    <w:rsid w:val="00A26C68"/>
    <w:rsid w:val="00A26E23"/>
    <w:rsid w:val="00A26E6C"/>
    <w:rsid w:val="00A26E80"/>
    <w:rsid w:val="00A26ECE"/>
    <w:rsid w:val="00A26FA2"/>
    <w:rsid w:val="00A26FBA"/>
    <w:rsid w:val="00A27011"/>
    <w:rsid w:val="00A27047"/>
    <w:rsid w:val="00A27080"/>
    <w:rsid w:val="00A270A9"/>
    <w:rsid w:val="00A27178"/>
    <w:rsid w:val="00A271AD"/>
    <w:rsid w:val="00A271E9"/>
    <w:rsid w:val="00A27430"/>
    <w:rsid w:val="00A27477"/>
    <w:rsid w:val="00A27563"/>
    <w:rsid w:val="00A275D7"/>
    <w:rsid w:val="00A2766D"/>
    <w:rsid w:val="00A2768E"/>
    <w:rsid w:val="00A276DD"/>
    <w:rsid w:val="00A27965"/>
    <w:rsid w:val="00A27A3F"/>
    <w:rsid w:val="00A27A8A"/>
    <w:rsid w:val="00A27B1C"/>
    <w:rsid w:val="00A27BBD"/>
    <w:rsid w:val="00A27C70"/>
    <w:rsid w:val="00A27D93"/>
    <w:rsid w:val="00A3008D"/>
    <w:rsid w:val="00A3009E"/>
    <w:rsid w:val="00A30141"/>
    <w:rsid w:val="00A3019C"/>
    <w:rsid w:val="00A3020D"/>
    <w:rsid w:val="00A30213"/>
    <w:rsid w:val="00A3024F"/>
    <w:rsid w:val="00A30259"/>
    <w:rsid w:val="00A30281"/>
    <w:rsid w:val="00A3039A"/>
    <w:rsid w:val="00A303D8"/>
    <w:rsid w:val="00A303F6"/>
    <w:rsid w:val="00A3054B"/>
    <w:rsid w:val="00A30597"/>
    <w:rsid w:val="00A30622"/>
    <w:rsid w:val="00A30655"/>
    <w:rsid w:val="00A3066C"/>
    <w:rsid w:val="00A30693"/>
    <w:rsid w:val="00A30710"/>
    <w:rsid w:val="00A30722"/>
    <w:rsid w:val="00A307A6"/>
    <w:rsid w:val="00A3087E"/>
    <w:rsid w:val="00A30937"/>
    <w:rsid w:val="00A3096E"/>
    <w:rsid w:val="00A309C9"/>
    <w:rsid w:val="00A30A44"/>
    <w:rsid w:val="00A30B1F"/>
    <w:rsid w:val="00A30B25"/>
    <w:rsid w:val="00A30D44"/>
    <w:rsid w:val="00A30E6E"/>
    <w:rsid w:val="00A30E7A"/>
    <w:rsid w:val="00A30F13"/>
    <w:rsid w:val="00A30FC3"/>
    <w:rsid w:val="00A310C2"/>
    <w:rsid w:val="00A31581"/>
    <w:rsid w:val="00A317D8"/>
    <w:rsid w:val="00A31832"/>
    <w:rsid w:val="00A31847"/>
    <w:rsid w:val="00A318A8"/>
    <w:rsid w:val="00A31A20"/>
    <w:rsid w:val="00A31A49"/>
    <w:rsid w:val="00A31B2D"/>
    <w:rsid w:val="00A31B95"/>
    <w:rsid w:val="00A31BB0"/>
    <w:rsid w:val="00A31EA6"/>
    <w:rsid w:val="00A31F3B"/>
    <w:rsid w:val="00A3215E"/>
    <w:rsid w:val="00A32163"/>
    <w:rsid w:val="00A3237F"/>
    <w:rsid w:val="00A3258A"/>
    <w:rsid w:val="00A32619"/>
    <w:rsid w:val="00A32788"/>
    <w:rsid w:val="00A327D4"/>
    <w:rsid w:val="00A32855"/>
    <w:rsid w:val="00A32880"/>
    <w:rsid w:val="00A328F6"/>
    <w:rsid w:val="00A32900"/>
    <w:rsid w:val="00A32B60"/>
    <w:rsid w:val="00A32C30"/>
    <w:rsid w:val="00A32C51"/>
    <w:rsid w:val="00A32D29"/>
    <w:rsid w:val="00A32EDA"/>
    <w:rsid w:val="00A3309B"/>
    <w:rsid w:val="00A3309F"/>
    <w:rsid w:val="00A33166"/>
    <w:rsid w:val="00A331C9"/>
    <w:rsid w:val="00A3326D"/>
    <w:rsid w:val="00A334E4"/>
    <w:rsid w:val="00A33533"/>
    <w:rsid w:val="00A336EA"/>
    <w:rsid w:val="00A337DA"/>
    <w:rsid w:val="00A338C1"/>
    <w:rsid w:val="00A33939"/>
    <w:rsid w:val="00A33995"/>
    <w:rsid w:val="00A339D4"/>
    <w:rsid w:val="00A33A14"/>
    <w:rsid w:val="00A33A87"/>
    <w:rsid w:val="00A33BA4"/>
    <w:rsid w:val="00A33BD3"/>
    <w:rsid w:val="00A33C9E"/>
    <w:rsid w:val="00A33D72"/>
    <w:rsid w:val="00A33E40"/>
    <w:rsid w:val="00A33E45"/>
    <w:rsid w:val="00A33F9E"/>
    <w:rsid w:val="00A34032"/>
    <w:rsid w:val="00A34057"/>
    <w:rsid w:val="00A34153"/>
    <w:rsid w:val="00A341AF"/>
    <w:rsid w:val="00A341C4"/>
    <w:rsid w:val="00A34207"/>
    <w:rsid w:val="00A34240"/>
    <w:rsid w:val="00A3427C"/>
    <w:rsid w:val="00A342DA"/>
    <w:rsid w:val="00A3433A"/>
    <w:rsid w:val="00A3436B"/>
    <w:rsid w:val="00A3448A"/>
    <w:rsid w:val="00A34570"/>
    <w:rsid w:val="00A3459C"/>
    <w:rsid w:val="00A348CB"/>
    <w:rsid w:val="00A34925"/>
    <w:rsid w:val="00A3496E"/>
    <w:rsid w:val="00A34AA9"/>
    <w:rsid w:val="00A34BDA"/>
    <w:rsid w:val="00A34C8B"/>
    <w:rsid w:val="00A34D2B"/>
    <w:rsid w:val="00A34D57"/>
    <w:rsid w:val="00A34E07"/>
    <w:rsid w:val="00A34E89"/>
    <w:rsid w:val="00A34F0A"/>
    <w:rsid w:val="00A34F5F"/>
    <w:rsid w:val="00A34FAC"/>
    <w:rsid w:val="00A350AE"/>
    <w:rsid w:val="00A351DF"/>
    <w:rsid w:val="00A3525A"/>
    <w:rsid w:val="00A352AD"/>
    <w:rsid w:val="00A353A2"/>
    <w:rsid w:val="00A35452"/>
    <w:rsid w:val="00A3552A"/>
    <w:rsid w:val="00A3552B"/>
    <w:rsid w:val="00A3558F"/>
    <w:rsid w:val="00A35658"/>
    <w:rsid w:val="00A356C9"/>
    <w:rsid w:val="00A3571C"/>
    <w:rsid w:val="00A357C8"/>
    <w:rsid w:val="00A35867"/>
    <w:rsid w:val="00A35922"/>
    <w:rsid w:val="00A359EE"/>
    <w:rsid w:val="00A359FB"/>
    <w:rsid w:val="00A35AD5"/>
    <w:rsid w:val="00A35AFC"/>
    <w:rsid w:val="00A35C05"/>
    <w:rsid w:val="00A35D69"/>
    <w:rsid w:val="00A35E8D"/>
    <w:rsid w:val="00A35EE0"/>
    <w:rsid w:val="00A3607F"/>
    <w:rsid w:val="00A360A0"/>
    <w:rsid w:val="00A360C2"/>
    <w:rsid w:val="00A36112"/>
    <w:rsid w:val="00A3614F"/>
    <w:rsid w:val="00A363A5"/>
    <w:rsid w:val="00A36490"/>
    <w:rsid w:val="00A36557"/>
    <w:rsid w:val="00A36623"/>
    <w:rsid w:val="00A366A5"/>
    <w:rsid w:val="00A366A8"/>
    <w:rsid w:val="00A368CC"/>
    <w:rsid w:val="00A369EB"/>
    <w:rsid w:val="00A36A3C"/>
    <w:rsid w:val="00A36B31"/>
    <w:rsid w:val="00A36C7B"/>
    <w:rsid w:val="00A36CE1"/>
    <w:rsid w:val="00A36D57"/>
    <w:rsid w:val="00A36D92"/>
    <w:rsid w:val="00A36E32"/>
    <w:rsid w:val="00A36F19"/>
    <w:rsid w:val="00A36F8B"/>
    <w:rsid w:val="00A37022"/>
    <w:rsid w:val="00A37097"/>
    <w:rsid w:val="00A37116"/>
    <w:rsid w:val="00A37257"/>
    <w:rsid w:val="00A3729C"/>
    <w:rsid w:val="00A372D2"/>
    <w:rsid w:val="00A372F9"/>
    <w:rsid w:val="00A373C6"/>
    <w:rsid w:val="00A3740E"/>
    <w:rsid w:val="00A374B7"/>
    <w:rsid w:val="00A374D1"/>
    <w:rsid w:val="00A3752C"/>
    <w:rsid w:val="00A37672"/>
    <w:rsid w:val="00A37683"/>
    <w:rsid w:val="00A376A2"/>
    <w:rsid w:val="00A37954"/>
    <w:rsid w:val="00A37A5E"/>
    <w:rsid w:val="00A37B1A"/>
    <w:rsid w:val="00A37B55"/>
    <w:rsid w:val="00A37B6B"/>
    <w:rsid w:val="00A37B9C"/>
    <w:rsid w:val="00A37C46"/>
    <w:rsid w:val="00A37CFF"/>
    <w:rsid w:val="00A37DD0"/>
    <w:rsid w:val="00A37E71"/>
    <w:rsid w:val="00A37ECA"/>
    <w:rsid w:val="00A37ECB"/>
    <w:rsid w:val="00A37EE0"/>
    <w:rsid w:val="00A400CE"/>
    <w:rsid w:val="00A40325"/>
    <w:rsid w:val="00A403A0"/>
    <w:rsid w:val="00A403CD"/>
    <w:rsid w:val="00A4051B"/>
    <w:rsid w:val="00A40544"/>
    <w:rsid w:val="00A405ED"/>
    <w:rsid w:val="00A4066C"/>
    <w:rsid w:val="00A40674"/>
    <w:rsid w:val="00A40756"/>
    <w:rsid w:val="00A40820"/>
    <w:rsid w:val="00A40907"/>
    <w:rsid w:val="00A40946"/>
    <w:rsid w:val="00A40C34"/>
    <w:rsid w:val="00A40C37"/>
    <w:rsid w:val="00A40C96"/>
    <w:rsid w:val="00A40D99"/>
    <w:rsid w:val="00A40DC0"/>
    <w:rsid w:val="00A40ECA"/>
    <w:rsid w:val="00A40EE7"/>
    <w:rsid w:val="00A40F47"/>
    <w:rsid w:val="00A40F96"/>
    <w:rsid w:val="00A40FAC"/>
    <w:rsid w:val="00A40FBF"/>
    <w:rsid w:val="00A41034"/>
    <w:rsid w:val="00A41270"/>
    <w:rsid w:val="00A41401"/>
    <w:rsid w:val="00A414AF"/>
    <w:rsid w:val="00A416EC"/>
    <w:rsid w:val="00A4175C"/>
    <w:rsid w:val="00A41A27"/>
    <w:rsid w:val="00A41AC5"/>
    <w:rsid w:val="00A41B68"/>
    <w:rsid w:val="00A41D09"/>
    <w:rsid w:val="00A41D94"/>
    <w:rsid w:val="00A41DC3"/>
    <w:rsid w:val="00A41DD9"/>
    <w:rsid w:val="00A41E04"/>
    <w:rsid w:val="00A41FA0"/>
    <w:rsid w:val="00A41FF1"/>
    <w:rsid w:val="00A42199"/>
    <w:rsid w:val="00A4219D"/>
    <w:rsid w:val="00A421C1"/>
    <w:rsid w:val="00A421FB"/>
    <w:rsid w:val="00A42292"/>
    <w:rsid w:val="00A4232A"/>
    <w:rsid w:val="00A423BB"/>
    <w:rsid w:val="00A4264D"/>
    <w:rsid w:val="00A4266F"/>
    <w:rsid w:val="00A426C0"/>
    <w:rsid w:val="00A4271D"/>
    <w:rsid w:val="00A4274D"/>
    <w:rsid w:val="00A427C7"/>
    <w:rsid w:val="00A42963"/>
    <w:rsid w:val="00A429DE"/>
    <w:rsid w:val="00A42BF7"/>
    <w:rsid w:val="00A42C5B"/>
    <w:rsid w:val="00A42CA8"/>
    <w:rsid w:val="00A42D69"/>
    <w:rsid w:val="00A42E4C"/>
    <w:rsid w:val="00A42E92"/>
    <w:rsid w:val="00A42EF7"/>
    <w:rsid w:val="00A42F17"/>
    <w:rsid w:val="00A42F94"/>
    <w:rsid w:val="00A43103"/>
    <w:rsid w:val="00A4310D"/>
    <w:rsid w:val="00A43170"/>
    <w:rsid w:val="00A43285"/>
    <w:rsid w:val="00A43300"/>
    <w:rsid w:val="00A43578"/>
    <w:rsid w:val="00A43642"/>
    <w:rsid w:val="00A43681"/>
    <w:rsid w:val="00A4370D"/>
    <w:rsid w:val="00A43898"/>
    <w:rsid w:val="00A438C2"/>
    <w:rsid w:val="00A438F2"/>
    <w:rsid w:val="00A43931"/>
    <w:rsid w:val="00A4394C"/>
    <w:rsid w:val="00A43A45"/>
    <w:rsid w:val="00A43A85"/>
    <w:rsid w:val="00A43B09"/>
    <w:rsid w:val="00A43B40"/>
    <w:rsid w:val="00A43B82"/>
    <w:rsid w:val="00A43B8F"/>
    <w:rsid w:val="00A43C5F"/>
    <w:rsid w:val="00A43DB9"/>
    <w:rsid w:val="00A43FA8"/>
    <w:rsid w:val="00A43FC5"/>
    <w:rsid w:val="00A44260"/>
    <w:rsid w:val="00A44478"/>
    <w:rsid w:val="00A444EB"/>
    <w:rsid w:val="00A447E7"/>
    <w:rsid w:val="00A448B0"/>
    <w:rsid w:val="00A44915"/>
    <w:rsid w:val="00A44A4F"/>
    <w:rsid w:val="00A44A99"/>
    <w:rsid w:val="00A44B88"/>
    <w:rsid w:val="00A44C43"/>
    <w:rsid w:val="00A44C74"/>
    <w:rsid w:val="00A44CCD"/>
    <w:rsid w:val="00A44DEF"/>
    <w:rsid w:val="00A44E35"/>
    <w:rsid w:val="00A44E42"/>
    <w:rsid w:val="00A44EE2"/>
    <w:rsid w:val="00A44EEB"/>
    <w:rsid w:val="00A44F30"/>
    <w:rsid w:val="00A44F3C"/>
    <w:rsid w:val="00A44FB7"/>
    <w:rsid w:val="00A44FC3"/>
    <w:rsid w:val="00A4505F"/>
    <w:rsid w:val="00A450C7"/>
    <w:rsid w:val="00A450EF"/>
    <w:rsid w:val="00A45219"/>
    <w:rsid w:val="00A4522E"/>
    <w:rsid w:val="00A4526A"/>
    <w:rsid w:val="00A452F9"/>
    <w:rsid w:val="00A454EA"/>
    <w:rsid w:val="00A4553C"/>
    <w:rsid w:val="00A455A1"/>
    <w:rsid w:val="00A455B8"/>
    <w:rsid w:val="00A45625"/>
    <w:rsid w:val="00A4575D"/>
    <w:rsid w:val="00A457EC"/>
    <w:rsid w:val="00A459A6"/>
    <w:rsid w:val="00A45A58"/>
    <w:rsid w:val="00A45C82"/>
    <w:rsid w:val="00A45CA9"/>
    <w:rsid w:val="00A45CAC"/>
    <w:rsid w:val="00A45EA1"/>
    <w:rsid w:val="00A4600D"/>
    <w:rsid w:val="00A46041"/>
    <w:rsid w:val="00A4609A"/>
    <w:rsid w:val="00A46145"/>
    <w:rsid w:val="00A46153"/>
    <w:rsid w:val="00A461BC"/>
    <w:rsid w:val="00A4627B"/>
    <w:rsid w:val="00A463AD"/>
    <w:rsid w:val="00A4641E"/>
    <w:rsid w:val="00A4654A"/>
    <w:rsid w:val="00A46606"/>
    <w:rsid w:val="00A4675C"/>
    <w:rsid w:val="00A467EA"/>
    <w:rsid w:val="00A46811"/>
    <w:rsid w:val="00A46860"/>
    <w:rsid w:val="00A46864"/>
    <w:rsid w:val="00A468B5"/>
    <w:rsid w:val="00A4695F"/>
    <w:rsid w:val="00A46975"/>
    <w:rsid w:val="00A46A4B"/>
    <w:rsid w:val="00A46B3C"/>
    <w:rsid w:val="00A46BA3"/>
    <w:rsid w:val="00A46CA6"/>
    <w:rsid w:val="00A46D9C"/>
    <w:rsid w:val="00A46E92"/>
    <w:rsid w:val="00A4704B"/>
    <w:rsid w:val="00A471F5"/>
    <w:rsid w:val="00A473E5"/>
    <w:rsid w:val="00A474D3"/>
    <w:rsid w:val="00A475BB"/>
    <w:rsid w:val="00A476A0"/>
    <w:rsid w:val="00A476CE"/>
    <w:rsid w:val="00A476FE"/>
    <w:rsid w:val="00A4782D"/>
    <w:rsid w:val="00A4787B"/>
    <w:rsid w:val="00A478DD"/>
    <w:rsid w:val="00A4792F"/>
    <w:rsid w:val="00A47A42"/>
    <w:rsid w:val="00A47B6A"/>
    <w:rsid w:val="00A47BB9"/>
    <w:rsid w:val="00A47BE5"/>
    <w:rsid w:val="00A47D33"/>
    <w:rsid w:val="00A47D67"/>
    <w:rsid w:val="00A47E17"/>
    <w:rsid w:val="00A47EE1"/>
    <w:rsid w:val="00A47FDA"/>
    <w:rsid w:val="00A500C7"/>
    <w:rsid w:val="00A500D9"/>
    <w:rsid w:val="00A50178"/>
    <w:rsid w:val="00A501EE"/>
    <w:rsid w:val="00A50205"/>
    <w:rsid w:val="00A50244"/>
    <w:rsid w:val="00A50266"/>
    <w:rsid w:val="00A5029A"/>
    <w:rsid w:val="00A503D3"/>
    <w:rsid w:val="00A504A3"/>
    <w:rsid w:val="00A504D7"/>
    <w:rsid w:val="00A50642"/>
    <w:rsid w:val="00A507E6"/>
    <w:rsid w:val="00A5089D"/>
    <w:rsid w:val="00A508D4"/>
    <w:rsid w:val="00A50AC1"/>
    <w:rsid w:val="00A50AF4"/>
    <w:rsid w:val="00A50B44"/>
    <w:rsid w:val="00A50D60"/>
    <w:rsid w:val="00A50DE6"/>
    <w:rsid w:val="00A50E4A"/>
    <w:rsid w:val="00A50E87"/>
    <w:rsid w:val="00A50FC7"/>
    <w:rsid w:val="00A51054"/>
    <w:rsid w:val="00A51163"/>
    <w:rsid w:val="00A51164"/>
    <w:rsid w:val="00A511A0"/>
    <w:rsid w:val="00A51211"/>
    <w:rsid w:val="00A51292"/>
    <w:rsid w:val="00A513F2"/>
    <w:rsid w:val="00A51464"/>
    <w:rsid w:val="00A515E8"/>
    <w:rsid w:val="00A517BC"/>
    <w:rsid w:val="00A518AA"/>
    <w:rsid w:val="00A51B9D"/>
    <w:rsid w:val="00A51C4B"/>
    <w:rsid w:val="00A51CC8"/>
    <w:rsid w:val="00A51E36"/>
    <w:rsid w:val="00A51E69"/>
    <w:rsid w:val="00A51EE3"/>
    <w:rsid w:val="00A51FDD"/>
    <w:rsid w:val="00A51FF8"/>
    <w:rsid w:val="00A52028"/>
    <w:rsid w:val="00A520DF"/>
    <w:rsid w:val="00A5210B"/>
    <w:rsid w:val="00A5218C"/>
    <w:rsid w:val="00A52241"/>
    <w:rsid w:val="00A52472"/>
    <w:rsid w:val="00A524CB"/>
    <w:rsid w:val="00A52579"/>
    <w:rsid w:val="00A525A3"/>
    <w:rsid w:val="00A52612"/>
    <w:rsid w:val="00A5263F"/>
    <w:rsid w:val="00A52848"/>
    <w:rsid w:val="00A52999"/>
    <w:rsid w:val="00A52ABF"/>
    <w:rsid w:val="00A52C11"/>
    <w:rsid w:val="00A52C26"/>
    <w:rsid w:val="00A52C66"/>
    <w:rsid w:val="00A52D25"/>
    <w:rsid w:val="00A52D59"/>
    <w:rsid w:val="00A52D73"/>
    <w:rsid w:val="00A52D9B"/>
    <w:rsid w:val="00A52DDD"/>
    <w:rsid w:val="00A52E06"/>
    <w:rsid w:val="00A52FB3"/>
    <w:rsid w:val="00A5305C"/>
    <w:rsid w:val="00A530C5"/>
    <w:rsid w:val="00A5349E"/>
    <w:rsid w:val="00A534D4"/>
    <w:rsid w:val="00A534ED"/>
    <w:rsid w:val="00A5351F"/>
    <w:rsid w:val="00A5355D"/>
    <w:rsid w:val="00A53571"/>
    <w:rsid w:val="00A535A5"/>
    <w:rsid w:val="00A535B5"/>
    <w:rsid w:val="00A5365C"/>
    <w:rsid w:val="00A536DD"/>
    <w:rsid w:val="00A53769"/>
    <w:rsid w:val="00A5389B"/>
    <w:rsid w:val="00A5395A"/>
    <w:rsid w:val="00A539EE"/>
    <w:rsid w:val="00A53A8F"/>
    <w:rsid w:val="00A53ACF"/>
    <w:rsid w:val="00A53C10"/>
    <w:rsid w:val="00A53C6F"/>
    <w:rsid w:val="00A53C9B"/>
    <w:rsid w:val="00A53F28"/>
    <w:rsid w:val="00A53F60"/>
    <w:rsid w:val="00A5405C"/>
    <w:rsid w:val="00A54099"/>
    <w:rsid w:val="00A5419D"/>
    <w:rsid w:val="00A54376"/>
    <w:rsid w:val="00A54425"/>
    <w:rsid w:val="00A544C2"/>
    <w:rsid w:val="00A5462D"/>
    <w:rsid w:val="00A546CD"/>
    <w:rsid w:val="00A54839"/>
    <w:rsid w:val="00A54A2F"/>
    <w:rsid w:val="00A54A58"/>
    <w:rsid w:val="00A54A74"/>
    <w:rsid w:val="00A54B26"/>
    <w:rsid w:val="00A54BCB"/>
    <w:rsid w:val="00A54CF1"/>
    <w:rsid w:val="00A54D9F"/>
    <w:rsid w:val="00A54DCC"/>
    <w:rsid w:val="00A54DFB"/>
    <w:rsid w:val="00A55062"/>
    <w:rsid w:val="00A55197"/>
    <w:rsid w:val="00A551DA"/>
    <w:rsid w:val="00A552AB"/>
    <w:rsid w:val="00A5532B"/>
    <w:rsid w:val="00A55331"/>
    <w:rsid w:val="00A55356"/>
    <w:rsid w:val="00A55379"/>
    <w:rsid w:val="00A55681"/>
    <w:rsid w:val="00A556CD"/>
    <w:rsid w:val="00A5573C"/>
    <w:rsid w:val="00A55746"/>
    <w:rsid w:val="00A55779"/>
    <w:rsid w:val="00A557C8"/>
    <w:rsid w:val="00A558C7"/>
    <w:rsid w:val="00A55A5B"/>
    <w:rsid w:val="00A55B53"/>
    <w:rsid w:val="00A55C50"/>
    <w:rsid w:val="00A55D80"/>
    <w:rsid w:val="00A55DD9"/>
    <w:rsid w:val="00A55DE4"/>
    <w:rsid w:val="00A55E1E"/>
    <w:rsid w:val="00A55E23"/>
    <w:rsid w:val="00A56068"/>
    <w:rsid w:val="00A56113"/>
    <w:rsid w:val="00A56203"/>
    <w:rsid w:val="00A562F9"/>
    <w:rsid w:val="00A563A9"/>
    <w:rsid w:val="00A5649E"/>
    <w:rsid w:val="00A5656F"/>
    <w:rsid w:val="00A56697"/>
    <w:rsid w:val="00A566CC"/>
    <w:rsid w:val="00A566E5"/>
    <w:rsid w:val="00A567E9"/>
    <w:rsid w:val="00A56995"/>
    <w:rsid w:val="00A56A46"/>
    <w:rsid w:val="00A56D74"/>
    <w:rsid w:val="00A56DEA"/>
    <w:rsid w:val="00A56E10"/>
    <w:rsid w:val="00A56ED8"/>
    <w:rsid w:val="00A56F1A"/>
    <w:rsid w:val="00A56F20"/>
    <w:rsid w:val="00A570BA"/>
    <w:rsid w:val="00A570F7"/>
    <w:rsid w:val="00A57117"/>
    <w:rsid w:val="00A57238"/>
    <w:rsid w:val="00A5727C"/>
    <w:rsid w:val="00A57335"/>
    <w:rsid w:val="00A57449"/>
    <w:rsid w:val="00A574C1"/>
    <w:rsid w:val="00A576C3"/>
    <w:rsid w:val="00A5770B"/>
    <w:rsid w:val="00A57834"/>
    <w:rsid w:val="00A578A1"/>
    <w:rsid w:val="00A57970"/>
    <w:rsid w:val="00A57976"/>
    <w:rsid w:val="00A57A4E"/>
    <w:rsid w:val="00A57A59"/>
    <w:rsid w:val="00A57B04"/>
    <w:rsid w:val="00A57BB2"/>
    <w:rsid w:val="00A57C58"/>
    <w:rsid w:val="00A57C91"/>
    <w:rsid w:val="00A57DDF"/>
    <w:rsid w:val="00A60058"/>
    <w:rsid w:val="00A600C7"/>
    <w:rsid w:val="00A600FD"/>
    <w:rsid w:val="00A601BA"/>
    <w:rsid w:val="00A60242"/>
    <w:rsid w:val="00A6042E"/>
    <w:rsid w:val="00A604DA"/>
    <w:rsid w:val="00A60753"/>
    <w:rsid w:val="00A607A5"/>
    <w:rsid w:val="00A607DA"/>
    <w:rsid w:val="00A608E2"/>
    <w:rsid w:val="00A6094B"/>
    <w:rsid w:val="00A60A58"/>
    <w:rsid w:val="00A60B29"/>
    <w:rsid w:val="00A60C3E"/>
    <w:rsid w:val="00A60F11"/>
    <w:rsid w:val="00A60FA0"/>
    <w:rsid w:val="00A6107D"/>
    <w:rsid w:val="00A61207"/>
    <w:rsid w:val="00A6133A"/>
    <w:rsid w:val="00A61347"/>
    <w:rsid w:val="00A61361"/>
    <w:rsid w:val="00A613E0"/>
    <w:rsid w:val="00A613E6"/>
    <w:rsid w:val="00A6179B"/>
    <w:rsid w:val="00A61802"/>
    <w:rsid w:val="00A61982"/>
    <w:rsid w:val="00A61A79"/>
    <w:rsid w:val="00A61AEA"/>
    <w:rsid w:val="00A61B2B"/>
    <w:rsid w:val="00A61B62"/>
    <w:rsid w:val="00A61BB6"/>
    <w:rsid w:val="00A61DBC"/>
    <w:rsid w:val="00A61DF9"/>
    <w:rsid w:val="00A61E34"/>
    <w:rsid w:val="00A61E57"/>
    <w:rsid w:val="00A61E69"/>
    <w:rsid w:val="00A61EBB"/>
    <w:rsid w:val="00A61F23"/>
    <w:rsid w:val="00A62030"/>
    <w:rsid w:val="00A620F0"/>
    <w:rsid w:val="00A621A8"/>
    <w:rsid w:val="00A62495"/>
    <w:rsid w:val="00A624B0"/>
    <w:rsid w:val="00A624DF"/>
    <w:rsid w:val="00A62570"/>
    <w:rsid w:val="00A625FF"/>
    <w:rsid w:val="00A626C1"/>
    <w:rsid w:val="00A626E5"/>
    <w:rsid w:val="00A626F5"/>
    <w:rsid w:val="00A62720"/>
    <w:rsid w:val="00A62731"/>
    <w:rsid w:val="00A6277D"/>
    <w:rsid w:val="00A628BD"/>
    <w:rsid w:val="00A62900"/>
    <w:rsid w:val="00A629AE"/>
    <w:rsid w:val="00A62A65"/>
    <w:rsid w:val="00A62A96"/>
    <w:rsid w:val="00A62BC5"/>
    <w:rsid w:val="00A62C08"/>
    <w:rsid w:val="00A62CC0"/>
    <w:rsid w:val="00A62E42"/>
    <w:rsid w:val="00A62F4E"/>
    <w:rsid w:val="00A63074"/>
    <w:rsid w:val="00A63124"/>
    <w:rsid w:val="00A6313F"/>
    <w:rsid w:val="00A63151"/>
    <w:rsid w:val="00A632B0"/>
    <w:rsid w:val="00A63362"/>
    <w:rsid w:val="00A63498"/>
    <w:rsid w:val="00A6349D"/>
    <w:rsid w:val="00A63504"/>
    <w:rsid w:val="00A635B2"/>
    <w:rsid w:val="00A63608"/>
    <w:rsid w:val="00A63673"/>
    <w:rsid w:val="00A63A0E"/>
    <w:rsid w:val="00A63D22"/>
    <w:rsid w:val="00A63DE7"/>
    <w:rsid w:val="00A63DF4"/>
    <w:rsid w:val="00A63E4F"/>
    <w:rsid w:val="00A63E73"/>
    <w:rsid w:val="00A63F43"/>
    <w:rsid w:val="00A6406A"/>
    <w:rsid w:val="00A640EA"/>
    <w:rsid w:val="00A64218"/>
    <w:rsid w:val="00A64315"/>
    <w:rsid w:val="00A64720"/>
    <w:rsid w:val="00A6485E"/>
    <w:rsid w:val="00A64971"/>
    <w:rsid w:val="00A64BFF"/>
    <w:rsid w:val="00A64C32"/>
    <w:rsid w:val="00A64CC8"/>
    <w:rsid w:val="00A64D1E"/>
    <w:rsid w:val="00A64D54"/>
    <w:rsid w:val="00A64DED"/>
    <w:rsid w:val="00A64FA1"/>
    <w:rsid w:val="00A64FE8"/>
    <w:rsid w:val="00A64FF0"/>
    <w:rsid w:val="00A65062"/>
    <w:rsid w:val="00A652A0"/>
    <w:rsid w:val="00A652CA"/>
    <w:rsid w:val="00A65304"/>
    <w:rsid w:val="00A65357"/>
    <w:rsid w:val="00A654CC"/>
    <w:rsid w:val="00A654E2"/>
    <w:rsid w:val="00A65588"/>
    <w:rsid w:val="00A655AD"/>
    <w:rsid w:val="00A655D8"/>
    <w:rsid w:val="00A657CC"/>
    <w:rsid w:val="00A657D0"/>
    <w:rsid w:val="00A657F3"/>
    <w:rsid w:val="00A6589D"/>
    <w:rsid w:val="00A658B1"/>
    <w:rsid w:val="00A658CD"/>
    <w:rsid w:val="00A65A2F"/>
    <w:rsid w:val="00A65BAC"/>
    <w:rsid w:val="00A65CA6"/>
    <w:rsid w:val="00A65CCE"/>
    <w:rsid w:val="00A65E8C"/>
    <w:rsid w:val="00A65F2A"/>
    <w:rsid w:val="00A65F49"/>
    <w:rsid w:val="00A65FAC"/>
    <w:rsid w:val="00A65FC5"/>
    <w:rsid w:val="00A661A7"/>
    <w:rsid w:val="00A663B0"/>
    <w:rsid w:val="00A66488"/>
    <w:rsid w:val="00A66610"/>
    <w:rsid w:val="00A6665C"/>
    <w:rsid w:val="00A6665D"/>
    <w:rsid w:val="00A6673D"/>
    <w:rsid w:val="00A66896"/>
    <w:rsid w:val="00A668A2"/>
    <w:rsid w:val="00A66A66"/>
    <w:rsid w:val="00A66A9C"/>
    <w:rsid w:val="00A66B76"/>
    <w:rsid w:val="00A66D53"/>
    <w:rsid w:val="00A66D5B"/>
    <w:rsid w:val="00A66EBD"/>
    <w:rsid w:val="00A67112"/>
    <w:rsid w:val="00A671DD"/>
    <w:rsid w:val="00A671E1"/>
    <w:rsid w:val="00A67206"/>
    <w:rsid w:val="00A67251"/>
    <w:rsid w:val="00A6731D"/>
    <w:rsid w:val="00A6734B"/>
    <w:rsid w:val="00A6735D"/>
    <w:rsid w:val="00A674E2"/>
    <w:rsid w:val="00A675D4"/>
    <w:rsid w:val="00A67644"/>
    <w:rsid w:val="00A67681"/>
    <w:rsid w:val="00A676D8"/>
    <w:rsid w:val="00A67754"/>
    <w:rsid w:val="00A677A9"/>
    <w:rsid w:val="00A677D3"/>
    <w:rsid w:val="00A677DE"/>
    <w:rsid w:val="00A67813"/>
    <w:rsid w:val="00A678C0"/>
    <w:rsid w:val="00A678FC"/>
    <w:rsid w:val="00A67904"/>
    <w:rsid w:val="00A6794E"/>
    <w:rsid w:val="00A67952"/>
    <w:rsid w:val="00A679D1"/>
    <w:rsid w:val="00A67AE8"/>
    <w:rsid w:val="00A67CBD"/>
    <w:rsid w:val="00A67CFF"/>
    <w:rsid w:val="00A67D04"/>
    <w:rsid w:val="00A67E01"/>
    <w:rsid w:val="00A67EC8"/>
    <w:rsid w:val="00A700F0"/>
    <w:rsid w:val="00A701ED"/>
    <w:rsid w:val="00A70449"/>
    <w:rsid w:val="00A704CF"/>
    <w:rsid w:val="00A70521"/>
    <w:rsid w:val="00A7064E"/>
    <w:rsid w:val="00A70712"/>
    <w:rsid w:val="00A7072C"/>
    <w:rsid w:val="00A70834"/>
    <w:rsid w:val="00A70891"/>
    <w:rsid w:val="00A708D3"/>
    <w:rsid w:val="00A709B6"/>
    <w:rsid w:val="00A709D0"/>
    <w:rsid w:val="00A70BBF"/>
    <w:rsid w:val="00A70D0F"/>
    <w:rsid w:val="00A70D17"/>
    <w:rsid w:val="00A70DBC"/>
    <w:rsid w:val="00A70DC7"/>
    <w:rsid w:val="00A71000"/>
    <w:rsid w:val="00A7103B"/>
    <w:rsid w:val="00A710E6"/>
    <w:rsid w:val="00A71139"/>
    <w:rsid w:val="00A7114B"/>
    <w:rsid w:val="00A711F4"/>
    <w:rsid w:val="00A71205"/>
    <w:rsid w:val="00A71212"/>
    <w:rsid w:val="00A7121A"/>
    <w:rsid w:val="00A71236"/>
    <w:rsid w:val="00A7129B"/>
    <w:rsid w:val="00A71303"/>
    <w:rsid w:val="00A7138D"/>
    <w:rsid w:val="00A714C0"/>
    <w:rsid w:val="00A714FF"/>
    <w:rsid w:val="00A716D4"/>
    <w:rsid w:val="00A716D6"/>
    <w:rsid w:val="00A71783"/>
    <w:rsid w:val="00A71811"/>
    <w:rsid w:val="00A71875"/>
    <w:rsid w:val="00A71930"/>
    <w:rsid w:val="00A71939"/>
    <w:rsid w:val="00A71A44"/>
    <w:rsid w:val="00A71ABB"/>
    <w:rsid w:val="00A71B2E"/>
    <w:rsid w:val="00A71BCF"/>
    <w:rsid w:val="00A71BF1"/>
    <w:rsid w:val="00A71CDD"/>
    <w:rsid w:val="00A71DB3"/>
    <w:rsid w:val="00A71DE1"/>
    <w:rsid w:val="00A720CF"/>
    <w:rsid w:val="00A721C0"/>
    <w:rsid w:val="00A72281"/>
    <w:rsid w:val="00A722CB"/>
    <w:rsid w:val="00A7234C"/>
    <w:rsid w:val="00A72356"/>
    <w:rsid w:val="00A72366"/>
    <w:rsid w:val="00A72371"/>
    <w:rsid w:val="00A7257E"/>
    <w:rsid w:val="00A72647"/>
    <w:rsid w:val="00A72680"/>
    <w:rsid w:val="00A7272F"/>
    <w:rsid w:val="00A72775"/>
    <w:rsid w:val="00A727EA"/>
    <w:rsid w:val="00A72810"/>
    <w:rsid w:val="00A728D7"/>
    <w:rsid w:val="00A729B7"/>
    <w:rsid w:val="00A72A7F"/>
    <w:rsid w:val="00A72AF6"/>
    <w:rsid w:val="00A72CDF"/>
    <w:rsid w:val="00A72F20"/>
    <w:rsid w:val="00A73176"/>
    <w:rsid w:val="00A73191"/>
    <w:rsid w:val="00A731D8"/>
    <w:rsid w:val="00A731E7"/>
    <w:rsid w:val="00A73209"/>
    <w:rsid w:val="00A7321D"/>
    <w:rsid w:val="00A7354F"/>
    <w:rsid w:val="00A7359E"/>
    <w:rsid w:val="00A73601"/>
    <w:rsid w:val="00A737CB"/>
    <w:rsid w:val="00A738CD"/>
    <w:rsid w:val="00A73952"/>
    <w:rsid w:val="00A73965"/>
    <w:rsid w:val="00A739B7"/>
    <w:rsid w:val="00A739C2"/>
    <w:rsid w:val="00A739D5"/>
    <w:rsid w:val="00A739D7"/>
    <w:rsid w:val="00A73B76"/>
    <w:rsid w:val="00A73BCB"/>
    <w:rsid w:val="00A73BF7"/>
    <w:rsid w:val="00A73C11"/>
    <w:rsid w:val="00A73C30"/>
    <w:rsid w:val="00A73D64"/>
    <w:rsid w:val="00A73EF3"/>
    <w:rsid w:val="00A73F6E"/>
    <w:rsid w:val="00A73FD8"/>
    <w:rsid w:val="00A74032"/>
    <w:rsid w:val="00A740E1"/>
    <w:rsid w:val="00A74273"/>
    <w:rsid w:val="00A74350"/>
    <w:rsid w:val="00A7445D"/>
    <w:rsid w:val="00A745AB"/>
    <w:rsid w:val="00A745C0"/>
    <w:rsid w:val="00A746CF"/>
    <w:rsid w:val="00A74817"/>
    <w:rsid w:val="00A749B2"/>
    <w:rsid w:val="00A74A75"/>
    <w:rsid w:val="00A74BB7"/>
    <w:rsid w:val="00A74BC3"/>
    <w:rsid w:val="00A74D90"/>
    <w:rsid w:val="00A74F12"/>
    <w:rsid w:val="00A74F29"/>
    <w:rsid w:val="00A75058"/>
    <w:rsid w:val="00A75064"/>
    <w:rsid w:val="00A75156"/>
    <w:rsid w:val="00A75183"/>
    <w:rsid w:val="00A75197"/>
    <w:rsid w:val="00A75216"/>
    <w:rsid w:val="00A752FF"/>
    <w:rsid w:val="00A753A0"/>
    <w:rsid w:val="00A75529"/>
    <w:rsid w:val="00A75695"/>
    <w:rsid w:val="00A756B1"/>
    <w:rsid w:val="00A756DC"/>
    <w:rsid w:val="00A758E3"/>
    <w:rsid w:val="00A758EE"/>
    <w:rsid w:val="00A759A2"/>
    <w:rsid w:val="00A75A32"/>
    <w:rsid w:val="00A75A43"/>
    <w:rsid w:val="00A75A82"/>
    <w:rsid w:val="00A75AB0"/>
    <w:rsid w:val="00A75AD6"/>
    <w:rsid w:val="00A75B02"/>
    <w:rsid w:val="00A75BF2"/>
    <w:rsid w:val="00A75C66"/>
    <w:rsid w:val="00A75D04"/>
    <w:rsid w:val="00A75D1B"/>
    <w:rsid w:val="00A75E76"/>
    <w:rsid w:val="00A75E87"/>
    <w:rsid w:val="00A75ED3"/>
    <w:rsid w:val="00A75F14"/>
    <w:rsid w:val="00A75F4A"/>
    <w:rsid w:val="00A75F6C"/>
    <w:rsid w:val="00A76010"/>
    <w:rsid w:val="00A76081"/>
    <w:rsid w:val="00A7613D"/>
    <w:rsid w:val="00A76145"/>
    <w:rsid w:val="00A76152"/>
    <w:rsid w:val="00A76159"/>
    <w:rsid w:val="00A762BC"/>
    <w:rsid w:val="00A7640C"/>
    <w:rsid w:val="00A7645A"/>
    <w:rsid w:val="00A764B8"/>
    <w:rsid w:val="00A764CF"/>
    <w:rsid w:val="00A7654F"/>
    <w:rsid w:val="00A76576"/>
    <w:rsid w:val="00A76662"/>
    <w:rsid w:val="00A7676A"/>
    <w:rsid w:val="00A76778"/>
    <w:rsid w:val="00A76779"/>
    <w:rsid w:val="00A767BB"/>
    <w:rsid w:val="00A76814"/>
    <w:rsid w:val="00A768E5"/>
    <w:rsid w:val="00A7690F"/>
    <w:rsid w:val="00A76976"/>
    <w:rsid w:val="00A769E4"/>
    <w:rsid w:val="00A76A00"/>
    <w:rsid w:val="00A76A20"/>
    <w:rsid w:val="00A76A7E"/>
    <w:rsid w:val="00A76AF1"/>
    <w:rsid w:val="00A76C34"/>
    <w:rsid w:val="00A76CFF"/>
    <w:rsid w:val="00A76D37"/>
    <w:rsid w:val="00A7717C"/>
    <w:rsid w:val="00A771EA"/>
    <w:rsid w:val="00A7722F"/>
    <w:rsid w:val="00A77274"/>
    <w:rsid w:val="00A77317"/>
    <w:rsid w:val="00A773E2"/>
    <w:rsid w:val="00A774E0"/>
    <w:rsid w:val="00A774EA"/>
    <w:rsid w:val="00A775C5"/>
    <w:rsid w:val="00A7768B"/>
    <w:rsid w:val="00A77695"/>
    <w:rsid w:val="00A776EA"/>
    <w:rsid w:val="00A77785"/>
    <w:rsid w:val="00A7789D"/>
    <w:rsid w:val="00A778FD"/>
    <w:rsid w:val="00A77917"/>
    <w:rsid w:val="00A77940"/>
    <w:rsid w:val="00A77A5A"/>
    <w:rsid w:val="00A77B02"/>
    <w:rsid w:val="00A77B7A"/>
    <w:rsid w:val="00A77C16"/>
    <w:rsid w:val="00A77D5E"/>
    <w:rsid w:val="00A77DE0"/>
    <w:rsid w:val="00A77E20"/>
    <w:rsid w:val="00A77F6B"/>
    <w:rsid w:val="00A77FE6"/>
    <w:rsid w:val="00A77FF8"/>
    <w:rsid w:val="00A80106"/>
    <w:rsid w:val="00A8012A"/>
    <w:rsid w:val="00A80141"/>
    <w:rsid w:val="00A8015A"/>
    <w:rsid w:val="00A8017B"/>
    <w:rsid w:val="00A80250"/>
    <w:rsid w:val="00A8032E"/>
    <w:rsid w:val="00A803D0"/>
    <w:rsid w:val="00A804BC"/>
    <w:rsid w:val="00A804E0"/>
    <w:rsid w:val="00A80523"/>
    <w:rsid w:val="00A805B8"/>
    <w:rsid w:val="00A805CA"/>
    <w:rsid w:val="00A805D7"/>
    <w:rsid w:val="00A806F2"/>
    <w:rsid w:val="00A807D0"/>
    <w:rsid w:val="00A80810"/>
    <w:rsid w:val="00A8081D"/>
    <w:rsid w:val="00A808EB"/>
    <w:rsid w:val="00A80917"/>
    <w:rsid w:val="00A80964"/>
    <w:rsid w:val="00A80A18"/>
    <w:rsid w:val="00A80B5D"/>
    <w:rsid w:val="00A80C4B"/>
    <w:rsid w:val="00A8106A"/>
    <w:rsid w:val="00A810B4"/>
    <w:rsid w:val="00A810BF"/>
    <w:rsid w:val="00A81162"/>
    <w:rsid w:val="00A811DE"/>
    <w:rsid w:val="00A81236"/>
    <w:rsid w:val="00A81292"/>
    <w:rsid w:val="00A812DC"/>
    <w:rsid w:val="00A812E9"/>
    <w:rsid w:val="00A8145D"/>
    <w:rsid w:val="00A81627"/>
    <w:rsid w:val="00A817CD"/>
    <w:rsid w:val="00A817DA"/>
    <w:rsid w:val="00A8187C"/>
    <w:rsid w:val="00A818FE"/>
    <w:rsid w:val="00A819E7"/>
    <w:rsid w:val="00A819FF"/>
    <w:rsid w:val="00A81A5B"/>
    <w:rsid w:val="00A81A6C"/>
    <w:rsid w:val="00A81B3C"/>
    <w:rsid w:val="00A81BF4"/>
    <w:rsid w:val="00A81DEB"/>
    <w:rsid w:val="00A81E2A"/>
    <w:rsid w:val="00A81E8D"/>
    <w:rsid w:val="00A81ED5"/>
    <w:rsid w:val="00A81F25"/>
    <w:rsid w:val="00A81F7E"/>
    <w:rsid w:val="00A82018"/>
    <w:rsid w:val="00A8207F"/>
    <w:rsid w:val="00A820B7"/>
    <w:rsid w:val="00A8212C"/>
    <w:rsid w:val="00A82176"/>
    <w:rsid w:val="00A821BD"/>
    <w:rsid w:val="00A8225C"/>
    <w:rsid w:val="00A8229B"/>
    <w:rsid w:val="00A8233F"/>
    <w:rsid w:val="00A82351"/>
    <w:rsid w:val="00A82433"/>
    <w:rsid w:val="00A824E3"/>
    <w:rsid w:val="00A82504"/>
    <w:rsid w:val="00A82522"/>
    <w:rsid w:val="00A8253A"/>
    <w:rsid w:val="00A8262E"/>
    <w:rsid w:val="00A82636"/>
    <w:rsid w:val="00A82653"/>
    <w:rsid w:val="00A8266A"/>
    <w:rsid w:val="00A82697"/>
    <w:rsid w:val="00A82732"/>
    <w:rsid w:val="00A82746"/>
    <w:rsid w:val="00A82776"/>
    <w:rsid w:val="00A828A6"/>
    <w:rsid w:val="00A828CE"/>
    <w:rsid w:val="00A82902"/>
    <w:rsid w:val="00A82A5A"/>
    <w:rsid w:val="00A82B0B"/>
    <w:rsid w:val="00A82B11"/>
    <w:rsid w:val="00A82BDF"/>
    <w:rsid w:val="00A82C65"/>
    <w:rsid w:val="00A82C81"/>
    <w:rsid w:val="00A82E3A"/>
    <w:rsid w:val="00A82E9A"/>
    <w:rsid w:val="00A82F1A"/>
    <w:rsid w:val="00A82FF6"/>
    <w:rsid w:val="00A82FFF"/>
    <w:rsid w:val="00A8303E"/>
    <w:rsid w:val="00A8310A"/>
    <w:rsid w:val="00A83173"/>
    <w:rsid w:val="00A833DC"/>
    <w:rsid w:val="00A83490"/>
    <w:rsid w:val="00A83585"/>
    <w:rsid w:val="00A83662"/>
    <w:rsid w:val="00A83665"/>
    <w:rsid w:val="00A8367D"/>
    <w:rsid w:val="00A83901"/>
    <w:rsid w:val="00A83B88"/>
    <w:rsid w:val="00A83BAC"/>
    <w:rsid w:val="00A83C19"/>
    <w:rsid w:val="00A83C32"/>
    <w:rsid w:val="00A83CC2"/>
    <w:rsid w:val="00A83CCD"/>
    <w:rsid w:val="00A83D31"/>
    <w:rsid w:val="00A83E25"/>
    <w:rsid w:val="00A83F60"/>
    <w:rsid w:val="00A83FBA"/>
    <w:rsid w:val="00A84018"/>
    <w:rsid w:val="00A84032"/>
    <w:rsid w:val="00A8418A"/>
    <w:rsid w:val="00A8437E"/>
    <w:rsid w:val="00A843A9"/>
    <w:rsid w:val="00A84452"/>
    <w:rsid w:val="00A8445E"/>
    <w:rsid w:val="00A84476"/>
    <w:rsid w:val="00A844D2"/>
    <w:rsid w:val="00A844F5"/>
    <w:rsid w:val="00A84550"/>
    <w:rsid w:val="00A8467F"/>
    <w:rsid w:val="00A84825"/>
    <w:rsid w:val="00A84937"/>
    <w:rsid w:val="00A8494F"/>
    <w:rsid w:val="00A84ABD"/>
    <w:rsid w:val="00A84AC9"/>
    <w:rsid w:val="00A84B10"/>
    <w:rsid w:val="00A84BDE"/>
    <w:rsid w:val="00A84C35"/>
    <w:rsid w:val="00A84D0C"/>
    <w:rsid w:val="00A84DA2"/>
    <w:rsid w:val="00A84E0A"/>
    <w:rsid w:val="00A84E13"/>
    <w:rsid w:val="00A84ECD"/>
    <w:rsid w:val="00A84ED2"/>
    <w:rsid w:val="00A84FE1"/>
    <w:rsid w:val="00A850A2"/>
    <w:rsid w:val="00A85162"/>
    <w:rsid w:val="00A85399"/>
    <w:rsid w:val="00A853F9"/>
    <w:rsid w:val="00A85404"/>
    <w:rsid w:val="00A85544"/>
    <w:rsid w:val="00A8559E"/>
    <w:rsid w:val="00A85767"/>
    <w:rsid w:val="00A85775"/>
    <w:rsid w:val="00A857DD"/>
    <w:rsid w:val="00A85851"/>
    <w:rsid w:val="00A858C1"/>
    <w:rsid w:val="00A859B4"/>
    <w:rsid w:val="00A85A56"/>
    <w:rsid w:val="00A85B72"/>
    <w:rsid w:val="00A85BCE"/>
    <w:rsid w:val="00A85CA3"/>
    <w:rsid w:val="00A85CDC"/>
    <w:rsid w:val="00A85D71"/>
    <w:rsid w:val="00A85F8F"/>
    <w:rsid w:val="00A860B5"/>
    <w:rsid w:val="00A86193"/>
    <w:rsid w:val="00A861FB"/>
    <w:rsid w:val="00A86249"/>
    <w:rsid w:val="00A862BB"/>
    <w:rsid w:val="00A8636B"/>
    <w:rsid w:val="00A8637F"/>
    <w:rsid w:val="00A864C4"/>
    <w:rsid w:val="00A864DC"/>
    <w:rsid w:val="00A8663B"/>
    <w:rsid w:val="00A866CE"/>
    <w:rsid w:val="00A8676E"/>
    <w:rsid w:val="00A867AD"/>
    <w:rsid w:val="00A86866"/>
    <w:rsid w:val="00A868A6"/>
    <w:rsid w:val="00A868AA"/>
    <w:rsid w:val="00A868B2"/>
    <w:rsid w:val="00A869BD"/>
    <w:rsid w:val="00A86A20"/>
    <w:rsid w:val="00A86AA9"/>
    <w:rsid w:val="00A86B54"/>
    <w:rsid w:val="00A86C89"/>
    <w:rsid w:val="00A86E76"/>
    <w:rsid w:val="00A86E81"/>
    <w:rsid w:val="00A86F3B"/>
    <w:rsid w:val="00A86F55"/>
    <w:rsid w:val="00A87124"/>
    <w:rsid w:val="00A87133"/>
    <w:rsid w:val="00A871C3"/>
    <w:rsid w:val="00A87212"/>
    <w:rsid w:val="00A87276"/>
    <w:rsid w:val="00A87463"/>
    <w:rsid w:val="00A87479"/>
    <w:rsid w:val="00A87485"/>
    <w:rsid w:val="00A87496"/>
    <w:rsid w:val="00A874E5"/>
    <w:rsid w:val="00A87537"/>
    <w:rsid w:val="00A875B7"/>
    <w:rsid w:val="00A875BE"/>
    <w:rsid w:val="00A876E1"/>
    <w:rsid w:val="00A8772B"/>
    <w:rsid w:val="00A877D8"/>
    <w:rsid w:val="00A87842"/>
    <w:rsid w:val="00A879BE"/>
    <w:rsid w:val="00A87A37"/>
    <w:rsid w:val="00A87AB3"/>
    <w:rsid w:val="00A87B36"/>
    <w:rsid w:val="00A87BE6"/>
    <w:rsid w:val="00A87C60"/>
    <w:rsid w:val="00A87CB0"/>
    <w:rsid w:val="00A87CDC"/>
    <w:rsid w:val="00A87EB3"/>
    <w:rsid w:val="00A87FB4"/>
    <w:rsid w:val="00A900FB"/>
    <w:rsid w:val="00A90137"/>
    <w:rsid w:val="00A90325"/>
    <w:rsid w:val="00A903FE"/>
    <w:rsid w:val="00A9056A"/>
    <w:rsid w:val="00A906A0"/>
    <w:rsid w:val="00A90817"/>
    <w:rsid w:val="00A90878"/>
    <w:rsid w:val="00A908CF"/>
    <w:rsid w:val="00A90929"/>
    <w:rsid w:val="00A90955"/>
    <w:rsid w:val="00A90994"/>
    <w:rsid w:val="00A90A24"/>
    <w:rsid w:val="00A90AD0"/>
    <w:rsid w:val="00A90B67"/>
    <w:rsid w:val="00A90C71"/>
    <w:rsid w:val="00A90CDA"/>
    <w:rsid w:val="00A90E6C"/>
    <w:rsid w:val="00A90E9F"/>
    <w:rsid w:val="00A910D0"/>
    <w:rsid w:val="00A910E9"/>
    <w:rsid w:val="00A912C3"/>
    <w:rsid w:val="00A91314"/>
    <w:rsid w:val="00A91495"/>
    <w:rsid w:val="00A914C6"/>
    <w:rsid w:val="00A9151B"/>
    <w:rsid w:val="00A915F6"/>
    <w:rsid w:val="00A91615"/>
    <w:rsid w:val="00A916A8"/>
    <w:rsid w:val="00A91853"/>
    <w:rsid w:val="00A9198E"/>
    <w:rsid w:val="00A91BB6"/>
    <w:rsid w:val="00A91C8A"/>
    <w:rsid w:val="00A91CB7"/>
    <w:rsid w:val="00A91E63"/>
    <w:rsid w:val="00A91F76"/>
    <w:rsid w:val="00A9202E"/>
    <w:rsid w:val="00A92035"/>
    <w:rsid w:val="00A92046"/>
    <w:rsid w:val="00A92056"/>
    <w:rsid w:val="00A92110"/>
    <w:rsid w:val="00A92185"/>
    <w:rsid w:val="00A9221D"/>
    <w:rsid w:val="00A92311"/>
    <w:rsid w:val="00A9235C"/>
    <w:rsid w:val="00A9248D"/>
    <w:rsid w:val="00A9251A"/>
    <w:rsid w:val="00A92601"/>
    <w:rsid w:val="00A929BB"/>
    <w:rsid w:val="00A92AB4"/>
    <w:rsid w:val="00A92B7B"/>
    <w:rsid w:val="00A92B80"/>
    <w:rsid w:val="00A92CFB"/>
    <w:rsid w:val="00A92E1B"/>
    <w:rsid w:val="00A92FD6"/>
    <w:rsid w:val="00A93074"/>
    <w:rsid w:val="00A93152"/>
    <w:rsid w:val="00A934C9"/>
    <w:rsid w:val="00A9363C"/>
    <w:rsid w:val="00A9372C"/>
    <w:rsid w:val="00A93784"/>
    <w:rsid w:val="00A9378A"/>
    <w:rsid w:val="00A937C4"/>
    <w:rsid w:val="00A93822"/>
    <w:rsid w:val="00A93978"/>
    <w:rsid w:val="00A939A8"/>
    <w:rsid w:val="00A93B6F"/>
    <w:rsid w:val="00A93C5C"/>
    <w:rsid w:val="00A93DAE"/>
    <w:rsid w:val="00A93E4D"/>
    <w:rsid w:val="00A93E72"/>
    <w:rsid w:val="00A93EC4"/>
    <w:rsid w:val="00A93EF4"/>
    <w:rsid w:val="00A941D9"/>
    <w:rsid w:val="00A944D0"/>
    <w:rsid w:val="00A9451E"/>
    <w:rsid w:val="00A94548"/>
    <w:rsid w:val="00A945D8"/>
    <w:rsid w:val="00A946D6"/>
    <w:rsid w:val="00A94707"/>
    <w:rsid w:val="00A9477B"/>
    <w:rsid w:val="00A947A2"/>
    <w:rsid w:val="00A94836"/>
    <w:rsid w:val="00A94876"/>
    <w:rsid w:val="00A9491C"/>
    <w:rsid w:val="00A94957"/>
    <w:rsid w:val="00A94990"/>
    <w:rsid w:val="00A949D8"/>
    <w:rsid w:val="00A94B4A"/>
    <w:rsid w:val="00A94B91"/>
    <w:rsid w:val="00A94BFE"/>
    <w:rsid w:val="00A94C61"/>
    <w:rsid w:val="00A94ECC"/>
    <w:rsid w:val="00A950F6"/>
    <w:rsid w:val="00A95197"/>
    <w:rsid w:val="00A95286"/>
    <w:rsid w:val="00A95294"/>
    <w:rsid w:val="00A95371"/>
    <w:rsid w:val="00A953D3"/>
    <w:rsid w:val="00A95444"/>
    <w:rsid w:val="00A95486"/>
    <w:rsid w:val="00A956F1"/>
    <w:rsid w:val="00A95740"/>
    <w:rsid w:val="00A95818"/>
    <w:rsid w:val="00A95858"/>
    <w:rsid w:val="00A95BE6"/>
    <w:rsid w:val="00A95C6B"/>
    <w:rsid w:val="00A95C7A"/>
    <w:rsid w:val="00A95CB2"/>
    <w:rsid w:val="00A95D46"/>
    <w:rsid w:val="00A95DE7"/>
    <w:rsid w:val="00A961E9"/>
    <w:rsid w:val="00A9623A"/>
    <w:rsid w:val="00A96243"/>
    <w:rsid w:val="00A96251"/>
    <w:rsid w:val="00A96255"/>
    <w:rsid w:val="00A96280"/>
    <w:rsid w:val="00A962CB"/>
    <w:rsid w:val="00A9633C"/>
    <w:rsid w:val="00A964C0"/>
    <w:rsid w:val="00A96652"/>
    <w:rsid w:val="00A966FA"/>
    <w:rsid w:val="00A967BB"/>
    <w:rsid w:val="00A9682D"/>
    <w:rsid w:val="00A96980"/>
    <w:rsid w:val="00A969F4"/>
    <w:rsid w:val="00A96A17"/>
    <w:rsid w:val="00A96B31"/>
    <w:rsid w:val="00A96C29"/>
    <w:rsid w:val="00A96C75"/>
    <w:rsid w:val="00A96DA7"/>
    <w:rsid w:val="00A97040"/>
    <w:rsid w:val="00A97100"/>
    <w:rsid w:val="00A97186"/>
    <w:rsid w:val="00A9719B"/>
    <w:rsid w:val="00A9725B"/>
    <w:rsid w:val="00A972B2"/>
    <w:rsid w:val="00A972BE"/>
    <w:rsid w:val="00A97409"/>
    <w:rsid w:val="00A97536"/>
    <w:rsid w:val="00A9764C"/>
    <w:rsid w:val="00A97722"/>
    <w:rsid w:val="00A97761"/>
    <w:rsid w:val="00A977B5"/>
    <w:rsid w:val="00A978BF"/>
    <w:rsid w:val="00A978D6"/>
    <w:rsid w:val="00A97944"/>
    <w:rsid w:val="00A97964"/>
    <w:rsid w:val="00A9798C"/>
    <w:rsid w:val="00A97C2A"/>
    <w:rsid w:val="00A97CE5"/>
    <w:rsid w:val="00A97D74"/>
    <w:rsid w:val="00A97EFB"/>
    <w:rsid w:val="00A97F27"/>
    <w:rsid w:val="00A97FE5"/>
    <w:rsid w:val="00AA00E8"/>
    <w:rsid w:val="00AA015B"/>
    <w:rsid w:val="00AA018F"/>
    <w:rsid w:val="00AA027E"/>
    <w:rsid w:val="00AA047B"/>
    <w:rsid w:val="00AA0493"/>
    <w:rsid w:val="00AA04C6"/>
    <w:rsid w:val="00AA0643"/>
    <w:rsid w:val="00AA0833"/>
    <w:rsid w:val="00AA0879"/>
    <w:rsid w:val="00AA0A21"/>
    <w:rsid w:val="00AA0ADD"/>
    <w:rsid w:val="00AA0C8E"/>
    <w:rsid w:val="00AA0D49"/>
    <w:rsid w:val="00AA0D53"/>
    <w:rsid w:val="00AA0EAB"/>
    <w:rsid w:val="00AA0FC5"/>
    <w:rsid w:val="00AA1002"/>
    <w:rsid w:val="00AA1019"/>
    <w:rsid w:val="00AA108E"/>
    <w:rsid w:val="00AA1235"/>
    <w:rsid w:val="00AA1337"/>
    <w:rsid w:val="00AA1363"/>
    <w:rsid w:val="00AA1443"/>
    <w:rsid w:val="00AA14A6"/>
    <w:rsid w:val="00AA14AE"/>
    <w:rsid w:val="00AA14F5"/>
    <w:rsid w:val="00AA1549"/>
    <w:rsid w:val="00AA15C0"/>
    <w:rsid w:val="00AA15F3"/>
    <w:rsid w:val="00AA17A9"/>
    <w:rsid w:val="00AA1855"/>
    <w:rsid w:val="00AA186A"/>
    <w:rsid w:val="00AA18C4"/>
    <w:rsid w:val="00AA19C9"/>
    <w:rsid w:val="00AA1A45"/>
    <w:rsid w:val="00AA1B80"/>
    <w:rsid w:val="00AA1BA9"/>
    <w:rsid w:val="00AA1BB7"/>
    <w:rsid w:val="00AA1D2F"/>
    <w:rsid w:val="00AA1E39"/>
    <w:rsid w:val="00AA1EF8"/>
    <w:rsid w:val="00AA1F0B"/>
    <w:rsid w:val="00AA20E1"/>
    <w:rsid w:val="00AA2167"/>
    <w:rsid w:val="00AA234A"/>
    <w:rsid w:val="00AA236C"/>
    <w:rsid w:val="00AA254B"/>
    <w:rsid w:val="00AA26E2"/>
    <w:rsid w:val="00AA280A"/>
    <w:rsid w:val="00AA28F8"/>
    <w:rsid w:val="00AA29E3"/>
    <w:rsid w:val="00AA2B11"/>
    <w:rsid w:val="00AA2BDF"/>
    <w:rsid w:val="00AA2E18"/>
    <w:rsid w:val="00AA3168"/>
    <w:rsid w:val="00AA33CC"/>
    <w:rsid w:val="00AA345E"/>
    <w:rsid w:val="00AA36CE"/>
    <w:rsid w:val="00AA3885"/>
    <w:rsid w:val="00AA390E"/>
    <w:rsid w:val="00AA3947"/>
    <w:rsid w:val="00AA3A75"/>
    <w:rsid w:val="00AA3A7C"/>
    <w:rsid w:val="00AA3BEB"/>
    <w:rsid w:val="00AA3C3D"/>
    <w:rsid w:val="00AA3C7F"/>
    <w:rsid w:val="00AA3D4A"/>
    <w:rsid w:val="00AA3D5C"/>
    <w:rsid w:val="00AA3E4C"/>
    <w:rsid w:val="00AA3F09"/>
    <w:rsid w:val="00AA401A"/>
    <w:rsid w:val="00AA40B5"/>
    <w:rsid w:val="00AA4198"/>
    <w:rsid w:val="00AA41C9"/>
    <w:rsid w:val="00AA4558"/>
    <w:rsid w:val="00AA4576"/>
    <w:rsid w:val="00AA457B"/>
    <w:rsid w:val="00AA45B4"/>
    <w:rsid w:val="00AA465F"/>
    <w:rsid w:val="00AA46C6"/>
    <w:rsid w:val="00AA46CE"/>
    <w:rsid w:val="00AA46EE"/>
    <w:rsid w:val="00AA4703"/>
    <w:rsid w:val="00AA47CF"/>
    <w:rsid w:val="00AA486F"/>
    <w:rsid w:val="00AA48F5"/>
    <w:rsid w:val="00AA4B00"/>
    <w:rsid w:val="00AA4B26"/>
    <w:rsid w:val="00AA4B48"/>
    <w:rsid w:val="00AA4BAE"/>
    <w:rsid w:val="00AA4BCA"/>
    <w:rsid w:val="00AA4C46"/>
    <w:rsid w:val="00AA4CFB"/>
    <w:rsid w:val="00AA4D3A"/>
    <w:rsid w:val="00AA4D90"/>
    <w:rsid w:val="00AA4F42"/>
    <w:rsid w:val="00AA4F90"/>
    <w:rsid w:val="00AA505F"/>
    <w:rsid w:val="00AA5070"/>
    <w:rsid w:val="00AA5138"/>
    <w:rsid w:val="00AA51B4"/>
    <w:rsid w:val="00AA52B2"/>
    <w:rsid w:val="00AA532A"/>
    <w:rsid w:val="00AA544D"/>
    <w:rsid w:val="00AA544F"/>
    <w:rsid w:val="00AA5509"/>
    <w:rsid w:val="00AA557C"/>
    <w:rsid w:val="00AA576F"/>
    <w:rsid w:val="00AA5805"/>
    <w:rsid w:val="00AA5BA0"/>
    <w:rsid w:val="00AA5C21"/>
    <w:rsid w:val="00AA5D28"/>
    <w:rsid w:val="00AA5DC9"/>
    <w:rsid w:val="00AA5DDF"/>
    <w:rsid w:val="00AA5E3F"/>
    <w:rsid w:val="00AA5EE4"/>
    <w:rsid w:val="00AA60C6"/>
    <w:rsid w:val="00AA631B"/>
    <w:rsid w:val="00AA6383"/>
    <w:rsid w:val="00AA63D6"/>
    <w:rsid w:val="00AA64A1"/>
    <w:rsid w:val="00AA64CF"/>
    <w:rsid w:val="00AA6508"/>
    <w:rsid w:val="00AA66AF"/>
    <w:rsid w:val="00AA66F9"/>
    <w:rsid w:val="00AA671C"/>
    <w:rsid w:val="00AA6747"/>
    <w:rsid w:val="00AA67E1"/>
    <w:rsid w:val="00AA6846"/>
    <w:rsid w:val="00AA693F"/>
    <w:rsid w:val="00AA6971"/>
    <w:rsid w:val="00AA69A0"/>
    <w:rsid w:val="00AA6A1D"/>
    <w:rsid w:val="00AA6A34"/>
    <w:rsid w:val="00AA6A48"/>
    <w:rsid w:val="00AA6A65"/>
    <w:rsid w:val="00AA6B82"/>
    <w:rsid w:val="00AA6BA9"/>
    <w:rsid w:val="00AA6C73"/>
    <w:rsid w:val="00AA6D82"/>
    <w:rsid w:val="00AA6D84"/>
    <w:rsid w:val="00AA6F70"/>
    <w:rsid w:val="00AA6FD8"/>
    <w:rsid w:val="00AA7087"/>
    <w:rsid w:val="00AA70CA"/>
    <w:rsid w:val="00AA70FC"/>
    <w:rsid w:val="00AA7226"/>
    <w:rsid w:val="00AA72E8"/>
    <w:rsid w:val="00AA7442"/>
    <w:rsid w:val="00AA74FA"/>
    <w:rsid w:val="00AA7500"/>
    <w:rsid w:val="00AA75B3"/>
    <w:rsid w:val="00AA77AC"/>
    <w:rsid w:val="00AA7805"/>
    <w:rsid w:val="00AA78B3"/>
    <w:rsid w:val="00AA790A"/>
    <w:rsid w:val="00AA79A8"/>
    <w:rsid w:val="00AA7A17"/>
    <w:rsid w:val="00AA7A42"/>
    <w:rsid w:val="00AA7B36"/>
    <w:rsid w:val="00AA7B48"/>
    <w:rsid w:val="00AA7C5D"/>
    <w:rsid w:val="00AA7C80"/>
    <w:rsid w:val="00AA7DB8"/>
    <w:rsid w:val="00AA7EB0"/>
    <w:rsid w:val="00AA7F55"/>
    <w:rsid w:val="00AA7FA3"/>
    <w:rsid w:val="00AA7FDF"/>
    <w:rsid w:val="00AB0215"/>
    <w:rsid w:val="00AB025D"/>
    <w:rsid w:val="00AB0290"/>
    <w:rsid w:val="00AB02BF"/>
    <w:rsid w:val="00AB02C1"/>
    <w:rsid w:val="00AB0356"/>
    <w:rsid w:val="00AB038F"/>
    <w:rsid w:val="00AB03D3"/>
    <w:rsid w:val="00AB0633"/>
    <w:rsid w:val="00AB0738"/>
    <w:rsid w:val="00AB075F"/>
    <w:rsid w:val="00AB07BD"/>
    <w:rsid w:val="00AB07DF"/>
    <w:rsid w:val="00AB08E7"/>
    <w:rsid w:val="00AB091F"/>
    <w:rsid w:val="00AB093E"/>
    <w:rsid w:val="00AB0B17"/>
    <w:rsid w:val="00AB0F22"/>
    <w:rsid w:val="00AB0F46"/>
    <w:rsid w:val="00AB1196"/>
    <w:rsid w:val="00AB11A5"/>
    <w:rsid w:val="00AB1298"/>
    <w:rsid w:val="00AB129C"/>
    <w:rsid w:val="00AB1354"/>
    <w:rsid w:val="00AB1361"/>
    <w:rsid w:val="00AB137E"/>
    <w:rsid w:val="00AB1575"/>
    <w:rsid w:val="00AB168A"/>
    <w:rsid w:val="00AB1716"/>
    <w:rsid w:val="00AB174B"/>
    <w:rsid w:val="00AB1798"/>
    <w:rsid w:val="00AB17AB"/>
    <w:rsid w:val="00AB1A39"/>
    <w:rsid w:val="00AB1A83"/>
    <w:rsid w:val="00AB1B02"/>
    <w:rsid w:val="00AB1B22"/>
    <w:rsid w:val="00AB1B6E"/>
    <w:rsid w:val="00AB1C5D"/>
    <w:rsid w:val="00AB1D85"/>
    <w:rsid w:val="00AB1F6C"/>
    <w:rsid w:val="00AB202B"/>
    <w:rsid w:val="00AB20C8"/>
    <w:rsid w:val="00AB20EE"/>
    <w:rsid w:val="00AB213F"/>
    <w:rsid w:val="00AB2258"/>
    <w:rsid w:val="00AB22AA"/>
    <w:rsid w:val="00AB237A"/>
    <w:rsid w:val="00AB239C"/>
    <w:rsid w:val="00AB23CE"/>
    <w:rsid w:val="00AB23D2"/>
    <w:rsid w:val="00AB2441"/>
    <w:rsid w:val="00AB24A0"/>
    <w:rsid w:val="00AB24CC"/>
    <w:rsid w:val="00AB2517"/>
    <w:rsid w:val="00AB253C"/>
    <w:rsid w:val="00AB26E1"/>
    <w:rsid w:val="00AB2889"/>
    <w:rsid w:val="00AB29D2"/>
    <w:rsid w:val="00AB2A9C"/>
    <w:rsid w:val="00AB2B76"/>
    <w:rsid w:val="00AB2C2F"/>
    <w:rsid w:val="00AB2C37"/>
    <w:rsid w:val="00AB2C63"/>
    <w:rsid w:val="00AB2D84"/>
    <w:rsid w:val="00AB2DD8"/>
    <w:rsid w:val="00AB2DFE"/>
    <w:rsid w:val="00AB2F69"/>
    <w:rsid w:val="00AB2FAE"/>
    <w:rsid w:val="00AB3015"/>
    <w:rsid w:val="00AB3140"/>
    <w:rsid w:val="00AB314B"/>
    <w:rsid w:val="00AB31A3"/>
    <w:rsid w:val="00AB324E"/>
    <w:rsid w:val="00AB3274"/>
    <w:rsid w:val="00AB327D"/>
    <w:rsid w:val="00AB32B7"/>
    <w:rsid w:val="00AB3426"/>
    <w:rsid w:val="00AB343B"/>
    <w:rsid w:val="00AB355B"/>
    <w:rsid w:val="00AB3584"/>
    <w:rsid w:val="00AB3606"/>
    <w:rsid w:val="00AB3687"/>
    <w:rsid w:val="00AB36D7"/>
    <w:rsid w:val="00AB3854"/>
    <w:rsid w:val="00AB392D"/>
    <w:rsid w:val="00AB396C"/>
    <w:rsid w:val="00AB3A66"/>
    <w:rsid w:val="00AB3B06"/>
    <w:rsid w:val="00AB3B84"/>
    <w:rsid w:val="00AB3BD4"/>
    <w:rsid w:val="00AB3C15"/>
    <w:rsid w:val="00AB3C49"/>
    <w:rsid w:val="00AB3CA3"/>
    <w:rsid w:val="00AB3CEF"/>
    <w:rsid w:val="00AB3DFC"/>
    <w:rsid w:val="00AB3E69"/>
    <w:rsid w:val="00AB3ECB"/>
    <w:rsid w:val="00AB3F74"/>
    <w:rsid w:val="00AB3FD9"/>
    <w:rsid w:val="00AB4131"/>
    <w:rsid w:val="00AB414E"/>
    <w:rsid w:val="00AB4207"/>
    <w:rsid w:val="00AB4228"/>
    <w:rsid w:val="00AB45D9"/>
    <w:rsid w:val="00AB4679"/>
    <w:rsid w:val="00AB46A6"/>
    <w:rsid w:val="00AB46DC"/>
    <w:rsid w:val="00AB4732"/>
    <w:rsid w:val="00AB486B"/>
    <w:rsid w:val="00AB4992"/>
    <w:rsid w:val="00AB49F9"/>
    <w:rsid w:val="00AB4B2E"/>
    <w:rsid w:val="00AB4B4D"/>
    <w:rsid w:val="00AB4D60"/>
    <w:rsid w:val="00AB4D73"/>
    <w:rsid w:val="00AB4DD8"/>
    <w:rsid w:val="00AB4F79"/>
    <w:rsid w:val="00AB4FF2"/>
    <w:rsid w:val="00AB5063"/>
    <w:rsid w:val="00AB50D2"/>
    <w:rsid w:val="00AB5150"/>
    <w:rsid w:val="00AB51B2"/>
    <w:rsid w:val="00AB5262"/>
    <w:rsid w:val="00AB52E8"/>
    <w:rsid w:val="00AB53BF"/>
    <w:rsid w:val="00AB5429"/>
    <w:rsid w:val="00AB5648"/>
    <w:rsid w:val="00AB56A4"/>
    <w:rsid w:val="00AB56C0"/>
    <w:rsid w:val="00AB582C"/>
    <w:rsid w:val="00AB5830"/>
    <w:rsid w:val="00AB5848"/>
    <w:rsid w:val="00AB59DB"/>
    <w:rsid w:val="00AB5A9B"/>
    <w:rsid w:val="00AB5D9D"/>
    <w:rsid w:val="00AB5DC3"/>
    <w:rsid w:val="00AB5E70"/>
    <w:rsid w:val="00AB5EB7"/>
    <w:rsid w:val="00AB608E"/>
    <w:rsid w:val="00AB6090"/>
    <w:rsid w:val="00AB6164"/>
    <w:rsid w:val="00AB617D"/>
    <w:rsid w:val="00AB6226"/>
    <w:rsid w:val="00AB623E"/>
    <w:rsid w:val="00AB6250"/>
    <w:rsid w:val="00AB62E6"/>
    <w:rsid w:val="00AB6333"/>
    <w:rsid w:val="00AB633B"/>
    <w:rsid w:val="00AB6389"/>
    <w:rsid w:val="00AB647F"/>
    <w:rsid w:val="00AB65A8"/>
    <w:rsid w:val="00AB6667"/>
    <w:rsid w:val="00AB68AB"/>
    <w:rsid w:val="00AB68D8"/>
    <w:rsid w:val="00AB6917"/>
    <w:rsid w:val="00AB692D"/>
    <w:rsid w:val="00AB6C17"/>
    <w:rsid w:val="00AB6D47"/>
    <w:rsid w:val="00AB6DB9"/>
    <w:rsid w:val="00AB6DFD"/>
    <w:rsid w:val="00AB6E6F"/>
    <w:rsid w:val="00AB6ECB"/>
    <w:rsid w:val="00AB6F3A"/>
    <w:rsid w:val="00AB6F62"/>
    <w:rsid w:val="00AB6F75"/>
    <w:rsid w:val="00AB6F7B"/>
    <w:rsid w:val="00AB6FB9"/>
    <w:rsid w:val="00AB7004"/>
    <w:rsid w:val="00AB705B"/>
    <w:rsid w:val="00AB7205"/>
    <w:rsid w:val="00AB7248"/>
    <w:rsid w:val="00AB7331"/>
    <w:rsid w:val="00AB734F"/>
    <w:rsid w:val="00AB738F"/>
    <w:rsid w:val="00AB7410"/>
    <w:rsid w:val="00AB74CB"/>
    <w:rsid w:val="00AB7519"/>
    <w:rsid w:val="00AB7707"/>
    <w:rsid w:val="00AB771C"/>
    <w:rsid w:val="00AB7759"/>
    <w:rsid w:val="00AB77F2"/>
    <w:rsid w:val="00AB785E"/>
    <w:rsid w:val="00AB7861"/>
    <w:rsid w:val="00AB7A6E"/>
    <w:rsid w:val="00AB7B38"/>
    <w:rsid w:val="00AB7C48"/>
    <w:rsid w:val="00AB7C57"/>
    <w:rsid w:val="00AB7C87"/>
    <w:rsid w:val="00AB7CA6"/>
    <w:rsid w:val="00AB7E34"/>
    <w:rsid w:val="00AB7E8B"/>
    <w:rsid w:val="00AB7FBF"/>
    <w:rsid w:val="00AC0112"/>
    <w:rsid w:val="00AC034C"/>
    <w:rsid w:val="00AC036F"/>
    <w:rsid w:val="00AC03C1"/>
    <w:rsid w:val="00AC0611"/>
    <w:rsid w:val="00AC06BA"/>
    <w:rsid w:val="00AC06EB"/>
    <w:rsid w:val="00AC0753"/>
    <w:rsid w:val="00AC07D2"/>
    <w:rsid w:val="00AC0963"/>
    <w:rsid w:val="00AC0988"/>
    <w:rsid w:val="00AC0A80"/>
    <w:rsid w:val="00AC0B67"/>
    <w:rsid w:val="00AC0B7B"/>
    <w:rsid w:val="00AC0CEE"/>
    <w:rsid w:val="00AC0D6F"/>
    <w:rsid w:val="00AC0D8C"/>
    <w:rsid w:val="00AC0EFC"/>
    <w:rsid w:val="00AC0F84"/>
    <w:rsid w:val="00AC0FAF"/>
    <w:rsid w:val="00AC0FD0"/>
    <w:rsid w:val="00AC1020"/>
    <w:rsid w:val="00AC1144"/>
    <w:rsid w:val="00AC1181"/>
    <w:rsid w:val="00AC11A5"/>
    <w:rsid w:val="00AC11F0"/>
    <w:rsid w:val="00AC1262"/>
    <w:rsid w:val="00AC127F"/>
    <w:rsid w:val="00AC1339"/>
    <w:rsid w:val="00AC15AB"/>
    <w:rsid w:val="00AC15B2"/>
    <w:rsid w:val="00AC1651"/>
    <w:rsid w:val="00AC18DE"/>
    <w:rsid w:val="00AC1943"/>
    <w:rsid w:val="00AC1A01"/>
    <w:rsid w:val="00AC1A05"/>
    <w:rsid w:val="00AC1B03"/>
    <w:rsid w:val="00AC1CC2"/>
    <w:rsid w:val="00AC1E85"/>
    <w:rsid w:val="00AC1E8E"/>
    <w:rsid w:val="00AC1EE3"/>
    <w:rsid w:val="00AC1EE9"/>
    <w:rsid w:val="00AC1FB5"/>
    <w:rsid w:val="00AC2013"/>
    <w:rsid w:val="00AC20E9"/>
    <w:rsid w:val="00AC210A"/>
    <w:rsid w:val="00AC214A"/>
    <w:rsid w:val="00AC2163"/>
    <w:rsid w:val="00AC2196"/>
    <w:rsid w:val="00AC21F5"/>
    <w:rsid w:val="00AC244B"/>
    <w:rsid w:val="00AC24DA"/>
    <w:rsid w:val="00AC264D"/>
    <w:rsid w:val="00AC2699"/>
    <w:rsid w:val="00AC26E1"/>
    <w:rsid w:val="00AC281C"/>
    <w:rsid w:val="00AC2858"/>
    <w:rsid w:val="00AC2892"/>
    <w:rsid w:val="00AC28B2"/>
    <w:rsid w:val="00AC28C3"/>
    <w:rsid w:val="00AC2950"/>
    <w:rsid w:val="00AC29DE"/>
    <w:rsid w:val="00AC2ABC"/>
    <w:rsid w:val="00AC2B55"/>
    <w:rsid w:val="00AC2CCB"/>
    <w:rsid w:val="00AC2DDB"/>
    <w:rsid w:val="00AC2E0F"/>
    <w:rsid w:val="00AC2E54"/>
    <w:rsid w:val="00AC2EA1"/>
    <w:rsid w:val="00AC2F67"/>
    <w:rsid w:val="00AC2FBD"/>
    <w:rsid w:val="00AC302F"/>
    <w:rsid w:val="00AC30A7"/>
    <w:rsid w:val="00AC313A"/>
    <w:rsid w:val="00AC3167"/>
    <w:rsid w:val="00AC32C8"/>
    <w:rsid w:val="00AC3361"/>
    <w:rsid w:val="00AC3367"/>
    <w:rsid w:val="00AC33AF"/>
    <w:rsid w:val="00AC3427"/>
    <w:rsid w:val="00AC34B9"/>
    <w:rsid w:val="00AC3546"/>
    <w:rsid w:val="00AC35A1"/>
    <w:rsid w:val="00AC3785"/>
    <w:rsid w:val="00AC3795"/>
    <w:rsid w:val="00AC3854"/>
    <w:rsid w:val="00AC3A0F"/>
    <w:rsid w:val="00AC3BF8"/>
    <w:rsid w:val="00AC3C1A"/>
    <w:rsid w:val="00AC3CC2"/>
    <w:rsid w:val="00AC3F68"/>
    <w:rsid w:val="00AC4042"/>
    <w:rsid w:val="00AC4046"/>
    <w:rsid w:val="00AC40CC"/>
    <w:rsid w:val="00AC4215"/>
    <w:rsid w:val="00AC449F"/>
    <w:rsid w:val="00AC4568"/>
    <w:rsid w:val="00AC45AC"/>
    <w:rsid w:val="00AC45F1"/>
    <w:rsid w:val="00AC4626"/>
    <w:rsid w:val="00AC475C"/>
    <w:rsid w:val="00AC4815"/>
    <w:rsid w:val="00AC482E"/>
    <w:rsid w:val="00AC49CF"/>
    <w:rsid w:val="00AC49FE"/>
    <w:rsid w:val="00AC4A9C"/>
    <w:rsid w:val="00AC4B25"/>
    <w:rsid w:val="00AC4B84"/>
    <w:rsid w:val="00AC4B8F"/>
    <w:rsid w:val="00AC4CF4"/>
    <w:rsid w:val="00AC4D56"/>
    <w:rsid w:val="00AC4D57"/>
    <w:rsid w:val="00AC4D78"/>
    <w:rsid w:val="00AC4FBE"/>
    <w:rsid w:val="00AC508B"/>
    <w:rsid w:val="00AC50AB"/>
    <w:rsid w:val="00AC5166"/>
    <w:rsid w:val="00AC51DD"/>
    <w:rsid w:val="00AC5214"/>
    <w:rsid w:val="00AC541D"/>
    <w:rsid w:val="00AC5470"/>
    <w:rsid w:val="00AC55A7"/>
    <w:rsid w:val="00AC5678"/>
    <w:rsid w:val="00AC5771"/>
    <w:rsid w:val="00AC5812"/>
    <w:rsid w:val="00AC5876"/>
    <w:rsid w:val="00AC587F"/>
    <w:rsid w:val="00AC599F"/>
    <w:rsid w:val="00AC5A56"/>
    <w:rsid w:val="00AC5AE0"/>
    <w:rsid w:val="00AC5AF8"/>
    <w:rsid w:val="00AC5B1F"/>
    <w:rsid w:val="00AC5C09"/>
    <w:rsid w:val="00AC5D81"/>
    <w:rsid w:val="00AC5E4E"/>
    <w:rsid w:val="00AC5EED"/>
    <w:rsid w:val="00AC5F33"/>
    <w:rsid w:val="00AC6074"/>
    <w:rsid w:val="00AC62EB"/>
    <w:rsid w:val="00AC632D"/>
    <w:rsid w:val="00AC642C"/>
    <w:rsid w:val="00AC6438"/>
    <w:rsid w:val="00AC643F"/>
    <w:rsid w:val="00AC6465"/>
    <w:rsid w:val="00AC64B3"/>
    <w:rsid w:val="00AC64B9"/>
    <w:rsid w:val="00AC662F"/>
    <w:rsid w:val="00AC6690"/>
    <w:rsid w:val="00AC677E"/>
    <w:rsid w:val="00AC67CF"/>
    <w:rsid w:val="00AC67F2"/>
    <w:rsid w:val="00AC67F3"/>
    <w:rsid w:val="00AC692A"/>
    <w:rsid w:val="00AC69BE"/>
    <w:rsid w:val="00AC6A1E"/>
    <w:rsid w:val="00AC6A2B"/>
    <w:rsid w:val="00AC6ADD"/>
    <w:rsid w:val="00AC6B2E"/>
    <w:rsid w:val="00AC6D7B"/>
    <w:rsid w:val="00AC6D96"/>
    <w:rsid w:val="00AC6DC5"/>
    <w:rsid w:val="00AC6E69"/>
    <w:rsid w:val="00AC6F7D"/>
    <w:rsid w:val="00AC6FC7"/>
    <w:rsid w:val="00AC71DB"/>
    <w:rsid w:val="00AC723D"/>
    <w:rsid w:val="00AC7262"/>
    <w:rsid w:val="00AC72D7"/>
    <w:rsid w:val="00AC737E"/>
    <w:rsid w:val="00AC73FE"/>
    <w:rsid w:val="00AC7572"/>
    <w:rsid w:val="00AC75E9"/>
    <w:rsid w:val="00AC7616"/>
    <w:rsid w:val="00AC7636"/>
    <w:rsid w:val="00AC76C7"/>
    <w:rsid w:val="00AC78AC"/>
    <w:rsid w:val="00AC78E0"/>
    <w:rsid w:val="00AC7902"/>
    <w:rsid w:val="00AC79C4"/>
    <w:rsid w:val="00AC7A0B"/>
    <w:rsid w:val="00AC7A42"/>
    <w:rsid w:val="00AC7A43"/>
    <w:rsid w:val="00AC7A7F"/>
    <w:rsid w:val="00AC7B06"/>
    <w:rsid w:val="00AC7E1C"/>
    <w:rsid w:val="00AC7E59"/>
    <w:rsid w:val="00AD0060"/>
    <w:rsid w:val="00AD0065"/>
    <w:rsid w:val="00AD0067"/>
    <w:rsid w:val="00AD0207"/>
    <w:rsid w:val="00AD0270"/>
    <w:rsid w:val="00AD02D8"/>
    <w:rsid w:val="00AD0318"/>
    <w:rsid w:val="00AD051C"/>
    <w:rsid w:val="00AD0604"/>
    <w:rsid w:val="00AD060E"/>
    <w:rsid w:val="00AD0611"/>
    <w:rsid w:val="00AD061F"/>
    <w:rsid w:val="00AD066F"/>
    <w:rsid w:val="00AD06C5"/>
    <w:rsid w:val="00AD0709"/>
    <w:rsid w:val="00AD07CB"/>
    <w:rsid w:val="00AD07FA"/>
    <w:rsid w:val="00AD0891"/>
    <w:rsid w:val="00AD0A1E"/>
    <w:rsid w:val="00AD0A74"/>
    <w:rsid w:val="00AD0AAD"/>
    <w:rsid w:val="00AD0AEB"/>
    <w:rsid w:val="00AD0B44"/>
    <w:rsid w:val="00AD0BC0"/>
    <w:rsid w:val="00AD0C4D"/>
    <w:rsid w:val="00AD0CBA"/>
    <w:rsid w:val="00AD0EB5"/>
    <w:rsid w:val="00AD0FCC"/>
    <w:rsid w:val="00AD1028"/>
    <w:rsid w:val="00AD10BB"/>
    <w:rsid w:val="00AD111B"/>
    <w:rsid w:val="00AD120B"/>
    <w:rsid w:val="00AD1359"/>
    <w:rsid w:val="00AD14A6"/>
    <w:rsid w:val="00AD1523"/>
    <w:rsid w:val="00AD1566"/>
    <w:rsid w:val="00AD15F0"/>
    <w:rsid w:val="00AD16A9"/>
    <w:rsid w:val="00AD16F7"/>
    <w:rsid w:val="00AD175B"/>
    <w:rsid w:val="00AD1779"/>
    <w:rsid w:val="00AD1813"/>
    <w:rsid w:val="00AD18BE"/>
    <w:rsid w:val="00AD1920"/>
    <w:rsid w:val="00AD1982"/>
    <w:rsid w:val="00AD1AB5"/>
    <w:rsid w:val="00AD1B18"/>
    <w:rsid w:val="00AD1BC4"/>
    <w:rsid w:val="00AD1BD8"/>
    <w:rsid w:val="00AD1D51"/>
    <w:rsid w:val="00AD1E2B"/>
    <w:rsid w:val="00AD1E31"/>
    <w:rsid w:val="00AD1F8E"/>
    <w:rsid w:val="00AD1F9B"/>
    <w:rsid w:val="00AD1FBC"/>
    <w:rsid w:val="00AD2012"/>
    <w:rsid w:val="00AD20D9"/>
    <w:rsid w:val="00AD22F0"/>
    <w:rsid w:val="00AD23BB"/>
    <w:rsid w:val="00AD23FB"/>
    <w:rsid w:val="00AD2485"/>
    <w:rsid w:val="00AD25C1"/>
    <w:rsid w:val="00AD25C2"/>
    <w:rsid w:val="00AD2723"/>
    <w:rsid w:val="00AD27F5"/>
    <w:rsid w:val="00AD281F"/>
    <w:rsid w:val="00AD28D3"/>
    <w:rsid w:val="00AD294C"/>
    <w:rsid w:val="00AD2994"/>
    <w:rsid w:val="00AD299E"/>
    <w:rsid w:val="00AD2AE7"/>
    <w:rsid w:val="00AD2BBE"/>
    <w:rsid w:val="00AD2BC2"/>
    <w:rsid w:val="00AD2C5C"/>
    <w:rsid w:val="00AD2FD1"/>
    <w:rsid w:val="00AD32E0"/>
    <w:rsid w:val="00AD33A4"/>
    <w:rsid w:val="00AD33CB"/>
    <w:rsid w:val="00AD3481"/>
    <w:rsid w:val="00AD35A1"/>
    <w:rsid w:val="00AD37B4"/>
    <w:rsid w:val="00AD3821"/>
    <w:rsid w:val="00AD388E"/>
    <w:rsid w:val="00AD38EB"/>
    <w:rsid w:val="00AD3924"/>
    <w:rsid w:val="00AD3988"/>
    <w:rsid w:val="00AD3A35"/>
    <w:rsid w:val="00AD3B45"/>
    <w:rsid w:val="00AD3DCF"/>
    <w:rsid w:val="00AD3FC3"/>
    <w:rsid w:val="00AD4023"/>
    <w:rsid w:val="00AD42BC"/>
    <w:rsid w:val="00AD437B"/>
    <w:rsid w:val="00AD468A"/>
    <w:rsid w:val="00AD46A6"/>
    <w:rsid w:val="00AD46B2"/>
    <w:rsid w:val="00AD4838"/>
    <w:rsid w:val="00AD48F1"/>
    <w:rsid w:val="00AD4AA8"/>
    <w:rsid w:val="00AD4B75"/>
    <w:rsid w:val="00AD4BAC"/>
    <w:rsid w:val="00AD4BC9"/>
    <w:rsid w:val="00AD4C37"/>
    <w:rsid w:val="00AD4C45"/>
    <w:rsid w:val="00AD4F04"/>
    <w:rsid w:val="00AD5052"/>
    <w:rsid w:val="00AD51AE"/>
    <w:rsid w:val="00AD51B5"/>
    <w:rsid w:val="00AD537C"/>
    <w:rsid w:val="00AD5625"/>
    <w:rsid w:val="00AD577B"/>
    <w:rsid w:val="00AD58CC"/>
    <w:rsid w:val="00AD595A"/>
    <w:rsid w:val="00AD5972"/>
    <w:rsid w:val="00AD59B1"/>
    <w:rsid w:val="00AD5A50"/>
    <w:rsid w:val="00AD5A80"/>
    <w:rsid w:val="00AD5B9A"/>
    <w:rsid w:val="00AD5C0E"/>
    <w:rsid w:val="00AD5C6F"/>
    <w:rsid w:val="00AD5CA3"/>
    <w:rsid w:val="00AD5D1E"/>
    <w:rsid w:val="00AD5E0C"/>
    <w:rsid w:val="00AD5F1B"/>
    <w:rsid w:val="00AD5F49"/>
    <w:rsid w:val="00AD5F76"/>
    <w:rsid w:val="00AD5FA4"/>
    <w:rsid w:val="00AD600D"/>
    <w:rsid w:val="00AD6042"/>
    <w:rsid w:val="00AD6072"/>
    <w:rsid w:val="00AD6078"/>
    <w:rsid w:val="00AD60F5"/>
    <w:rsid w:val="00AD6107"/>
    <w:rsid w:val="00AD615C"/>
    <w:rsid w:val="00AD62B7"/>
    <w:rsid w:val="00AD635B"/>
    <w:rsid w:val="00AD63AC"/>
    <w:rsid w:val="00AD6425"/>
    <w:rsid w:val="00AD6504"/>
    <w:rsid w:val="00AD66E1"/>
    <w:rsid w:val="00AD699D"/>
    <w:rsid w:val="00AD6A11"/>
    <w:rsid w:val="00AD6B65"/>
    <w:rsid w:val="00AD6D33"/>
    <w:rsid w:val="00AD6D62"/>
    <w:rsid w:val="00AD6E28"/>
    <w:rsid w:val="00AD6EB2"/>
    <w:rsid w:val="00AD6EC7"/>
    <w:rsid w:val="00AD6F2B"/>
    <w:rsid w:val="00AD70BC"/>
    <w:rsid w:val="00AD7157"/>
    <w:rsid w:val="00AD715F"/>
    <w:rsid w:val="00AD7185"/>
    <w:rsid w:val="00AD7248"/>
    <w:rsid w:val="00AD7309"/>
    <w:rsid w:val="00AD7396"/>
    <w:rsid w:val="00AD73B4"/>
    <w:rsid w:val="00AD74A8"/>
    <w:rsid w:val="00AD74DD"/>
    <w:rsid w:val="00AD757B"/>
    <w:rsid w:val="00AD759E"/>
    <w:rsid w:val="00AD75E4"/>
    <w:rsid w:val="00AD7737"/>
    <w:rsid w:val="00AD78D4"/>
    <w:rsid w:val="00AD78F4"/>
    <w:rsid w:val="00AD78FD"/>
    <w:rsid w:val="00AD791B"/>
    <w:rsid w:val="00AD7A33"/>
    <w:rsid w:val="00AD7B03"/>
    <w:rsid w:val="00AD7B3B"/>
    <w:rsid w:val="00AD7BAB"/>
    <w:rsid w:val="00AD7D53"/>
    <w:rsid w:val="00AD7DF8"/>
    <w:rsid w:val="00AD7EF5"/>
    <w:rsid w:val="00AD7F0C"/>
    <w:rsid w:val="00AD7F69"/>
    <w:rsid w:val="00AD7FC6"/>
    <w:rsid w:val="00AE0022"/>
    <w:rsid w:val="00AE01CE"/>
    <w:rsid w:val="00AE01FF"/>
    <w:rsid w:val="00AE0236"/>
    <w:rsid w:val="00AE032F"/>
    <w:rsid w:val="00AE0351"/>
    <w:rsid w:val="00AE039B"/>
    <w:rsid w:val="00AE0409"/>
    <w:rsid w:val="00AE050E"/>
    <w:rsid w:val="00AE054E"/>
    <w:rsid w:val="00AE055C"/>
    <w:rsid w:val="00AE0699"/>
    <w:rsid w:val="00AE06F9"/>
    <w:rsid w:val="00AE0783"/>
    <w:rsid w:val="00AE078B"/>
    <w:rsid w:val="00AE0886"/>
    <w:rsid w:val="00AE08C3"/>
    <w:rsid w:val="00AE0984"/>
    <w:rsid w:val="00AE09D6"/>
    <w:rsid w:val="00AE0AAA"/>
    <w:rsid w:val="00AE0C3D"/>
    <w:rsid w:val="00AE0D8E"/>
    <w:rsid w:val="00AE0DAB"/>
    <w:rsid w:val="00AE0FE3"/>
    <w:rsid w:val="00AE1033"/>
    <w:rsid w:val="00AE1071"/>
    <w:rsid w:val="00AE11A3"/>
    <w:rsid w:val="00AE125C"/>
    <w:rsid w:val="00AE1330"/>
    <w:rsid w:val="00AE134F"/>
    <w:rsid w:val="00AE1367"/>
    <w:rsid w:val="00AE13E5"/>
    <w:rsid w:val="00AE148C"/>
    <w:rsid w:val="00AE14FA"/>
    <w:rsid w:val="00AE18EF"/>
    <w:rsid w:val="00AE19BF"/>
    <w:rsid w:val="00AE1A7C"/>
    <w:rsid w:val="00AE1B01"/>
    <w:rsid w:val="00AE1BA1"/>
    <w:rsid w:val="00AE1CD6"/>
    <w:rsid w:val="00AE1EBF"/>
    <w:rsid w:val="00AE1EC5"/>
    <w:rsid w:val="00AE1EF6"/>
    <w:rsid w:val="00AE1F25"/>
    <w:rsid w:val="00AE1FF0"/>
    <w:rsid w:val="00AE22B5"/>
    <w:rsid w:val="00AE2312"/>
    <w:rsid w:val="00AE2387"/>
    <w:rsid w:val="00AE2393"/>
    <w:rsid w:val="00AE2475"/>
    <w:rsid w:val="00AE2518"/>
    <w:rsid w:val="00AE258F"/>
    <w:rsid w:val="00AE26CA"/>
    <w:rsid w:val="00AE27C0"/>
    <w:rsid w:val="00AE2846"/>
    <w:rsid w:val="00AE2948"/>
    <w:rsid w:val="00AE2A0F"/>
    <w:rsid w:val="00AE2AFB"/>
    <w:rsid w:val="00AE2B0A"/>
    <w:rsid w:val="00AE2B52"/>
    <w:rsid w:val="00AE2DD3"/>
    <w:rsid w:val="00AE2E9A"/>
    <w:rsid w:val="00AE2ED8"/>
    <w:rsid w:val="00AE2EE2"/>
    <w:rsid w:val="00AE30DB"/>
    <w:rsid w:val="00AE3135"/>
    <w:rsid w:val="00AE31AF"/>
    <w:rsid w:val="00AE3373"/>
    <w:rsid w:val="00AE33D6"/>
    <w:rsid w:val="00AE340A"/>
    <w:rsid w:val="00AE3579"/>
    <w:rsid w:val="00AE3616"/>
    <w:rsid w:val="00AE3688"/>
    <w:rsid w:val="00AE3711"/>
    <w:rsid w:val="00AE371C"/>
    <w:rsid w:val="00AE3786"/>
    <w:rsid w:val="00AE389E"/>
    <w:rsid w:val="00AE38A5"/>
    <w:rsid w:val="00AE38AB"/>
    <w:rsid w:val="00AE39A3"/>
    <w:rsid w:val="00AE3A06"/>
    <w:rsid w:val="00AE3ABF"/>
    <w:rsid w:val="00AE3B33"/>
    <w:rsid w:val="00AE3B6A"/>
    <w:rsid w:val="00AE3B9C"/>
    <w:rsid w:val="00AE3BD7"/>
    <w:rsid w:val="00AE3C2D"/>
    <w:rsid w:val="00AE3C53"/>
    <w:rsid w:val="00AE3C9D"/>
    <w:rsid w:val="00AE3D44"/>
    <w:rsid w:val="00AE3E84"/>
    <w:rsid w:val="00AE3F31"/>
    <w:rsid w:val="00AE3F6D"/>
    <w:rsid w:val="00AE4217"/>
    <w:rsid w:val="00AE4252"/>
    <w:rsid w:val="00AE43B5"/>
    <w:rsid w:val="00AE44DD"/>
    <w:rsid w:val="00AE44E7"/>
    <w:rsid w:val="00AE452C"/>
    <w:rsid w:val="00AE4596"/>
    <w:rsid w:val="00AE45D6"/>
    <w:rsid w:val="00AE4694"/>
    <w:rsid w:val="00AE46F9"/>
    <w:rsid w:val="00AE4826"/>
    <w:rsid w:val="00AE499D"/>
    <w:rsid w:val="00AE4A2C"/>
    <w:rsid w:val="00AE4A52"/>
    <w:rsid w:val="00AE4CAE"/>
    <w:rsid w:val="00AE4F56"/>
    <w:rsid w:val="00AE4FAC"/>
    <w:rsid w:val="00AE5074"/>
    <w:rsid w:val="00AE50C2"/>
    <w:rsid w:val="00AE5172"/>
    <w:rsid w:val="00AE549E"/>
    <w:rsid w:val="00AE54EC"/>
    <w:rsid w:val="00AE5515"/>
    <w:rsid w:val="00AE5546"/>
    <w:rsid w:val="00AE55E9"/>
    <w:rsid w:val="00AE5616"/>
    <w:rsid w:val="00AE5A77"/>
    <w:rsid w:val="00AE5A86"/>
    <w:rsid w:val="00AE5C4E"/>
    <w:rsid w:val="00AE5C98"/>
    <w:rsid w:val="00AE5CA6"/>
    <w:rsid w:val="00AE5DC8"/>
    <w:rsid w:val="00AE5E08"/>
    <w:rsid w:val="00AE5F96"/>
    <w:rsid w:val="00AE5FBA"/>
    <w:rsid w:val="00AE62D1"/>
    <w:rsid w:val="00AE651F"/>
    <w:rsid w:val="00AE6599"/>
    <w:rsid w:val="00AE6776"/>
    <w:rsid w:val="00AE6938"/>
    <w:rsid w:val="00AE69C9"/>
    <w:rsid w:val="00AE6A4B"/>
    <w:rsid w:val="00AE6A63"/>
    <w:rsid w:val="00AE6A99"/>
    <w:rsid w:val="00AE6A9A"/>
    <w:rsid w:val="00AE6B12"/>
    <w:rsid w:val="00AE6B49"/>
    <w:rsid w:val="00AE6B64"/>
    <w:rsid w:val="00AE6BB9"/>
    <w:rsid w:val="00AE6BF5"/>
    <w:rsid w:val="00AE6DAC"/>
    <w:rsid w:val="00AE6DFB"/>
    <w:rsid w:val="00AE6E19"/>
    <w:rsid w:val="00AE6F3C"/>
    <w:rsid w:val="00AE6F73"/>
    <w:rsid w:val="00AE7019"/>
    <w:rsid w:val="00AE72E0"/>
    <w:rsid w:val="00AE7398"/>
    <w:rsid w:val="00AE7560"/>
    <w:rsid w:val="00AE75A9"/>
    <w:rsid w:val="00AE75B2"/>
    <w:rsid w:val="00AE75EA"/>
    <w:rsid w:val="00AE7649"/>
    <w:rsid w:val="00AE76A1"/>
    <w:rsid w:val="00AE76A5"/>
    <w:rsid w:val="00AE76C9"/>
    <w:rsid w:val="00AE77C8"/>
    <w:rsid w:val="00AE7953"/>
    <w:rsid w:val="00AE7957"/>
    <w:rsid w:val="00AE79CA"/>
    <w:rsid w:val="00AE7BCF"/>
    <w:rsid w:val="00AE7E6C"/>
    <w:rsid w:val="00AE7F5B"/>
    <w:rsid w:val="00AF018C"/>
    <w:rsid w:val="00AF0221"/>
    <w:rsid w:val="00AF0223"/>
    <w:rsid w:val="00AF029C"/>
    <w:rsid w:val="00AF0392"/>
    <w:rsid w:val="00AF06C2"/>
    <w:rsid w:val="00AF07B2"/>
    <w:rsid w:val="00AF0814"/>
    <w:rsid w:val="00AF0876"/>
    <w:rsid w:val="00AF095B"/>
    <w:rsid w:val="00AF0984"/>
    <w:rsid w:val="00AF0B4B"/>
    <w:rsid w:val="00AF0B74"/>
    <w:rsid w:val="00AF0BAF"/>
    <w:rsid w:val="00AF0CA4"/>
    <w:rsid w:val="00AF0CAC"/>
    <w:rsid w:val="00AF0CC7"/>
    <w:rsid w:val="00AF0D00"/>
    <w:rsid w:val="00AF0EE5"/>
    <w:rsid w:val="00AF0F66"/>
    <w:rsid w:val="00AF0F6A"/>
    <w:rsid w:val="00AF10B5"/>
    <w:rsid w:val="00AF10CB"/>
    <w:rsid w:val="00AF1125"/>
    <w:rsid w:val="00AF1131"/>
    <w:rsid w:val="00AF1418"/>
    <w:rsid w:val="00AF1515"/>
    <w:rsid w:val="00AF16A0"/>
    <w:rsid w:val="00AF16B9"/>
    <w:rsid w:val="00AF1716"/>
    <w:rsid w:val="00AF1821"/>
    <w:rsid w:val="00AF1893"/>
    <w:rsid w:val="00AF18D5"/>
    <w:rsid w:val="00AF1974"/>
    <w:rsid w:val="00AF199C"/>
    <w:rsid w:val="00AF1A19"/>
    <w:rsid w:val="00AF1A25"/>
    <w:rsid w:val="00AF1B9E"/>
    <w:rsid w:val="00AF1E14"/>
    <w:rsid w:val="00AF1E50"/>
    <w:rsid w:val="00AF1E5E"/>
    <w:rsid w:val="00AF1F86"/>
    <w:rsid w:val="00AF2111"/>
    <w:rsid w:val="00AF218B"/>
    <w:rsid w:val="00AF220E"/>
    <w:rsid w:val="00AF224A"/>
    <w:rsid w:val="00AF2401"/>
    <w:rsid w:val="00AF248F"/>
    <w:rsid w:val="00AF25CF"/>
    <w:rsid w:val="00AF26BB"/>
    <w:rsid w:val="00AF26D2"/>
    <w:rsid w:val="00AF26DB"/>
    <w:rsid w:val="00AF2722"/>
    <w:rsid w:val="00AF2736"/>
    <w:rsid w:val="00AF2861"/>
    <w:rsid w:val="00AF290A"/>
    <w:rsid w:val="00AF29A4"/>
    <w:rsid w:val="00AF2A0B"/>
    <w:rsid w:val="00AF2A5A"/>
    <w:rsid w:val="00AF2B59"/>
    <w:rsid w:val="00AF2B91"/>
    <w:rsid w:val="00AF2BBF"/>
    <w:rsid w:val="00AF2BF5"/>
    <w:rsid w:val="00AF2C98"/>
    <w:rsid w:val="00AF2D71"/>
    <w:rsid w:val="00AF2D7D"/>
    <w:rsid w:val="00AF2EEF"/>
    <w:rsid w:val="00AF2FF6"/>
    <w:rsid w:val="00AF306A"/>
    <w:rsid w:val="00AF307F"/>
    <w:rsid w:val="00AF308F"/>
    <w:rsid w:val="00AF319A"/>
    <w:rsid w:val="00AF3229"/>
    <w:rsid w:val="00AF322E"/>
    <w:rsid w:val="00AF326C"/>
    <w:rsid w:val="00AF3277"/>
    <w:rsid w:val="00AF32C0"/>
    <w:rsid w:val="00AF357A"/>
    <w:rsid w:val="00AF35F6"/>
    <w:rsid w:val="00AF36EC"/>
    <w:rsid w:val="00AF377B"/>
    <w:rsid w:val="00AF3858"/>
    <w:rsid w:val="00AF3898"/>
    <w:rsid w:val="00AF38BB"/>
    <w:rsid w:val="00AF38CB"/>
    <w:rsid w:val="00AF3A34"/>
    <w:rsid w:val="00AF3AA7"/>
    <w:rsid w:val="00AF3BE5"/>
    <w:rsid w:val="00AF3CCC"/>
    <w:rsid w:val="00AF40CB"/>
    <w:rsid w:val="00AF414D"/>
    <w:rsid w:val="00AF41BD"/>
    <w:rsid w:val="00AF4318"/>
    <w:rsid w:val="00AF432C"/>
    <w:rsid w:val="00AF4393"/>
    <w:rsid w:val="00AF440D"/>
    <w:rsid w:val="00AF44A0"/>
    <w:rsid w:val="00AF4626"/>
    <w:rsid w:val="00AF4688"/>
    <w:rsid w:val="00AF4744"/>
    <w:rsid w:val="00AF4746"/>
    <w:rsid w:val="00AF47AA"/>
    <w:rsid w:val="00AF47E0"/>
    <w:rsid w:val="00AF488A"/>
    <w:rsid w:val="00AF49AA"/>
    <w:rsid w:val="00AF4AA5"/>
    <w:rsid w:val="00AF4B11"/>
    <w:rsid w:val="00AF4B5A"/>
    <w:rsid w:val="00AF4BCD"/>
    <w:rsid w:val="00AF4C14"/>
    <w:rsid w:val="00AF4D04"/>
    <w:rsid w:val="00AF4EAE"/>
    <w:rsid w:val="00AF4F30"/>
    <w:rsid w:val="00AF4F86"/>
    <w:rsid w:val="00AF4F9E"/>
    <w:rsid w:val="00AF50C0"/>
    <w:rsid w:val="00AF50ED"/>
    <w:rsid w:val="00AF52BB"/>
    <w:rsid w:val="00AF52CF"/>
    <w:rsid w:val="00AF5382"/>
    <w:rsid w:val="00AF548F"/>
    <w:rsid w:val="00AF5667"/>
    <w:rsid w:val="00AF57FF"/>
    <w:rsid w:val="00AF5822"/>
    <w:rsid w:val="00AF5910"/>
    <w:rsid w:val="00AF5B34"/>
    <w:rsid w:val="00AF5B66"/>
    <w:rsid w:val="00AF5C6E"/>
    <w:rsid w:val="00AF5C78"/>
    <w:rsid w:val="00AF5D7F"/>
    <w:rsid w:val="00AF5D8C"/>
    <w:rsid w:val="00AF5F1B"/>
    <w:rsid w:val="00AF605F"/>
    <w:rsid w:val="00AF6200"/>
    <w:rsid w:val="00AF63B1"/>
    <w:rsid w:val="00AF63B6"/>
    <w:rsid w:val="00AF6417"/>
    <w:rsid w:val="00AF641C"/>
    <w:rsid w:val="00AF647C"/>
    <w:rsid w:val="00AF6698"/>
    <w:rsid w:val="00AF67E6"/>
    <w:rsid w:val="00AF686E"/>
    <w:rsid w:val="00AF6878"/>
    <w:rsid w:val="00AF68E7"/>
    <w:rsid w:val="00AF6A4E"/>
    <w:rsid w:val="00AF6B10"/>
    <w:rsid w:val="00AF6DD6"/>
    <w:rsid w:val="00AF6F7D"/>
    <w:rsid w:val="00AF71EA"/>
    <w:rsid w:val="00AF722B"/>
    <w:rsid w:val="00AF7289"/>
    <w:rsid w:val="00AF72F1"/>
    <w:rsid w:val="00AF73E4"/>
    <w:rsid w:val="00AF7447"/>
    <w:rsid w:val="00AF7474"/>
    <w:rsid w:val="00AF7476"/>
    <w:rsid w:val="00AF75B6"/>
    <w:rsid w:val="00AF765A"/>
    <w:rsid w:val="00AF7692"/>
    <w:rsid w:val="00AF7776"/>
    <w:rsid w:val="00AF7839"/>
    <w:rsid w:val="00AF7946"/>
    <w:rsid w:val="00AF7ADE"/>
    <w:rsid w:val="00AF7B5D"/>
    <w:rsid w:val="00AF7C32"/>
    <w:rsid w:val="00AF7CE9"/>
    <w:rsid w:val="00AF7D38"/>
    <w:rsid w:val="00AF7E65"/>
    <w:rsid w:val="00AF7F33"/>
    <w:rsid w:val="00AF7F7E"/>
    <w:rsid w:val="00B00030"/>
    <w:rsid w:val="00B00088"/>
    <w:rsid w:val="00B000D9"/>
    <w:rsid w:val="00B000E2"/>
    <w:rsid w:val="00B000E7"/>
    <w:rsid w:val="00B0011B"/>
    <w:rsid w:val="00B00403"/>
    <w:rsid w:val="00B0047E"/>
    <w:rsid w:val="00B00498"/>
    <w:rsid w:val="00B0053E"/>
    <w:rsid w:val="00B0053F"/>
    <w:rsid w:val="00B005A9"/>
    <w:rsid w:val="00B005F4"/>
    <w:rsid w:val="00B00975"/>
    <w:rsid w:val="00B00986"/>
    <w:rsid w:val="00B009D7"/>
    <w:rsid w:val="00B00A31"/>
    <w:rsid w:val="00B00A4E"/>
    <w:rsid w:val="00B00A52"/>
    <w:rsid w:val="00B00BC9"/>
    <w:rsid w:val="00B00BDC"/>
    <w:rsid w:val="00B00CC5"/>
    <w:rsid w:val="00B00CEF"/>
    <w:rsid w:val="00B00E10"/>
    <w:rsid w:val="00B01108"/>
    <w:rsid w:val="00B01117"/>
    <w:rsid w:val="00B01206"/>
    <w:rsid w:val="00B0138D"/>
    <w:rsid w:val="00B01434"/>
    <w:rsid w:val="00B01442"/>
    <w:rsid w:val="00B01494"/>
    <w:rsid w:val="00B014FA"/>
    <w:rsid w:val="00B01503"/>
    <w:rsid w:val="00B01522"/>
    <w:rsid w:val="00B015CD"/>
    <w:rsid w:val="00B016A8"/>
    <w:rsid w:val="00B01752"/>
    <w:rsid w:val="00B017C4"/>
    <w:rsid w:val="00B01824"/>
    <w:rsid w:val="00B01832"/>
    <w:rsid w:val="00B018E3"/>
    <w:rsid w:val="00B01B3A"/>
    <w:rsid w:val="00B01B69"/>
    <w:rsid w:val="00B01B85"/>
    <w:rsid w:val="00B01B90"/>
    <w:rsid w:val="00B01E80"/>
    <w:rsid w:val="00B01EC4"/>
    <w:rsid w:val="00B01F22"/>
    <w:rsid w:val="00B01FC7"/>
    <w:rsid w:val="00B0207D"/>
    <w:rsid w:val="00B02127"/>
    <w:rsid w:val="00B02265"/>
    <w:rsid w:val="00B02340"/>
    <w:rsid w:val="00B02362"/>
    <w:rsid w:val="00B023C7"/>
    <w:rsid w:val="00B023F9"/>
    <w:rsid w:val="00B02594"/>
    <w:rsid w:val="00B02664"/>
    <w:rsid w:val="00B02700"/>
    <w:rsid w:val="00B0287E"/>
    <w:rsid w:val="00B0291B"/>
    <w:rsid w:val="00B029F4"/>
    <w:rsid w:val="00B02B15"/>
    <w:rsid w:val="00B02B25"/>
    <w:rsid w:val="00B02B49"/>
    <w:rsid w:val="00B02BAA"/>
    <w:rsid w:val="00B02CE4"/>
    <w:rsid w:val="00B02E60"/>
    <w:rsid w:val="00B0301B"/>
    <w:rsid w:val="00B031E8"/>
    <w:rsid w:val="00B03286"/>
    <w:rsid w:val="00B032C4"/>
    <w:rsid w:val="00B033E1"/>
    <w:rsid w:val="00B033FE"/>
    <w:rsid w:val="00B03438"/>
    <w:rsid w:val="00B0349C"/>
    <w:rsid w:val="00B034E4"/>
    <w:rsid w:val="00B034FF"/>
    <w:rsid w:val="00B03521"/>
    <w:rsid w:val="00B035CB"/>
    <w:rsid w:val="00B03A5D"/>
    <w:rsid w:val="00B03AC3"/>
    <w:rsid w:val="00B03AE8"/>
    <w:rsid w:val="00B041CB"/>
    <w:rsid w:val="00B041E8"/>
    <w:rsid w:val="00B0427D"/>
    <w:rsid w:val="00B0430D"/>
    <w:rsid w:val="00B0438D"/>
    <w:rsid w:val="00B04465"/>
    <w:rsid w:val="00B04473"/>
    <w:rsid w:val="00B04476"/>
    <w:rsid w:val="00B04483"/>
    <w:rsid w:val="00B04621"/>
    <w:rsid w:val="00B04685"/>
    <w:rsid w:val="00B047D8"/>
    <w:rsid w:val="00B04874"/>
    <w:rsid w:val="00B04880"/>
    <w:rsid w:val="00B04904"/>
    <w:rsid w:val="00B04A31"/>
    <w:rsid w:val="00B04AAE"/>
    <w:rsid w:val="00B04BD3"/>
    <w:rsid w:val="00B04C8A"/>
    <w:rsid w:val="00B04D04"/>
    <w:rsid w:val="00B04D6C"/>
    <w:rsid w:val="00B04D8C"/>
    <w:rsid w:val="00B04DD5"/>
    <w:rsid w:val="00B04DF3"/>
    <w:rsid w:val="00B04F7C"/>
    <w:rsid w:val="00B0515E"/>
    <w:rsid w:val="00B051C4"/>
    <w:rsid w:val="00B05235"/>
    <w:rsid w:val="00B05277"/>
    <w:rsid w:val="00B052FC"/>
    <w:rsid w:val="00B0532E"/>
    <w:rsid w:val="00B05338"/>
    <w:rsid w:val="00B053F8"/>
    <w:rsid w:val="00B0544D"/>
    <w:rsid w:val="00B0555C"/>
    <w:rsid w:val="00B05592"/>
    <w:rsid w:val="00B05616"/>
    <w:rsid w:val="00B0567A"/>
    <w:rsid w:val="00B057F9"/>
    <w:rsid w:val="00B05862"/>
    <w:rsid w:val="00B0586C"/>
    <w:rsid w:val="00B05886"/>
    <w:rsid w:val="00B0588F"/>
    <w:rsid w:val="00B058DE"/>
    <w:rsid w:val="00B05A87"/>
    <w:rsid w:val="00B05AD6"/>
    <w:rsid w:val="00B05B52"/>
    <w:rsid w:val="00B05B63"/>
    <w:rsid w:val="00B05C43"/>
    <w:rsid w:val="00B05D0F"/>
    <w:rsid w:val="00B05D6A"/>
    <w:rsid w:val="00B05DC8"/>
    <w:rsid w:val="00B0605D"/>
    <w:rsid w:val="00B0620A"/>
    <w:rsid w:val="00B06374"/>
    <w:rsid w:val="00B0643E"/>
    <w:rsid w:val="00B06474"/>
    <w:rsid w:val="00B06506"/>
    <w:rsid w:val="00B065A8"/>
    <w:rsid w:val="00B067E4"/>
    <w:rsid w:val="00B067F5"/>
    <w:rsid w:val="00B068AB"/>
    <w:rsid w:val="00B068D3"/>
    <w:rsid w:val="00B06974"/>
    <w:rsid w:val="00B06A03"/>
    <w:rsid w:val="00B06B1C"/>
    <w:rsid w:val="00B06CE7"/>
    <w:rsid w:val="00B06E4E"/>
    <w:rsid w:val="00B06E79"/>
    <w:rsid w:val="00B06F51"/>
    <w:rsid w:val="00B06FAF"/>
    <w:rsid w:val="00B070A1"/>
    <w:rsid w:val="00B070ED"/>
    <w:rsid w:val="00B071A5"/>
    <w:rsid w:val="00B07282"/>
    <w:rsid w:val="00B07299"/>
    <w:rsid w:val="00B072BE"/>
    <w:rsid w:val="00B072C3"/>
    <w:rsid w:val="00B072DB"/>
    <w:rsid w:val="00B0736F"/>
    <w:rsid w:val="00B073AD"/>
    <w:rsid w:val="00B07411"/>
    <w:rsid w:val="00B0756E"/>
    <w:rsid w:val="00B075D9"/>
    <w:rsid w:val="00B07732"/>
    <w:rsid w:val="00B07791"/>
    <w:rsid w:val="00B07848"/>
    <w:rsid w:val="00B0795F"/>
    <w:rsid w:val="00B07A72"/>
    <w:rsid w:val="00B07AC1"/>
    <w:rsid w:val="00B07AD4"/>
    <w:rsid w:val="00B07AE4"/>
    <w:rsid w:val="00B07B84"/>
    <w:rsid w:val="00B07C0B"/>
    <w:rsid w:val="00B07CEE"/>
    <w:rsid w:val="00B07CFD"/>
    <w:rsid w:val="00B07D11"/>
    <w:rsid w:val="00B07DC5"/>
    <w:rsid w:val="00B07E17"/>
    <w:rsid w:val="00B07EF4"/>
    <w:rsid w:val="00B100B7"/>
    <w:rsid w:val="00B10145"/>
    <w:rsid w:val="00B10176"/>
    <w:rsid w:val="00B101B4"/>
    <w:rsid w:val="00B10279"/>
    <w:rsid w:val="00B10286"/>
    <w:rsid w:val="00B102CF"/>
    <w:rsid w:val="00B102F7"/>
    <w:rsid w:val="00B103E9"/>
    <w:rsid w:val="00B104EA"/>
    <w:rsid w:val="00B10513"/>
    <w:rsid w:val="00B10544"/>
    <w:rsid w:val="00B10591"/>
    <w:rsid w:val="00B105F6"/>
    <w:rsid w:val="00B1060B"/>
    <w:rsid w:val="00B106D8"/>
    <w:rsid w:val="00B10807"/>
    <w:rsid w:val="00B108EA"/>
    <w:rsid w:val="00B109E6"/>
    <w:rsid w:val="00B10A50"/>
    <w:rsid w:val="00B10A84"/>
    <w:rsid w:val="00B10AAA"/>
    <w:rsid w:val="00B10AC9"/>
    <w:rsid w:val="00B10D5A"/>
    <w:rsid w:val="00B10DA8"/>
    <w:rsid w:val="00B10DD4"/>
    <w:rsid w:val="00B10E3E"/>
    <w:rsid w:val="00B10E96"/>
    <w:rsid w:val="00B10EC5"/>
    <w:rsid w:val="00B10EF0"/>
    <w:rsid w:val="00B10FD3"/>
    <w:rsid w:val="00B1109E"/>
    <w:rsid w:val="00B110A5"/>
    <w:rsid w:val="00B110DE"/>
    <w:rsid w:val="00B110E1"/>
    <w:rsid w:val="00B111C4"/>
    <w:rsid w:val="00B11243"/>
    <w:rsid w:val="00B11323"/>
    <w:rsid w:val="00B11350"/>
    <w:rsid w:val="00B11392"/>
    <w:rsid w:val="00B11476"/>
    <w:rsid w:val="00B11496"/>
    <w:rsid w:val="00B114FD"/>
    <w:rsid w:val="00B1158E"/>
    <w:rsid w:val="00B1163E"/>
    <w:rsid w:val="00B11658"/>
    <w:rsid w:val="00B1167D"/>
    <w:rsid w:val="00B11682"/>
    <w:rsid w:val="00B116E6"/>
    <w:rsid w:val="00B117D8"/>
    <w:rsid w:val="00B117DE"/>
    <w:rsid w:val="00B11873"/>
    <w:rsid w:val="00B118C5"/>
    <w:rsid w:val="00B11AFA"/>
    <w:rsid w:val="00B11B2D"/>
    <w:rsid w:val="00B11B6E"/>
    <w:rsid w:val="00B11B84"/>
    <w:rsid w:val="00B11C4D"/>
    <w:rsid w:val="00B11C72"/>
    <w:rsid w:val="00B11D7C"/>
    <w:rsid w:val="00B11E91"/>
    <w:rsid w:val="00B11F8A"/>
    <w:rsid w:val="00B1212C"/>
    <w:rsid w:val="00B1222C"/>
    <w:rsid w:val="00B12242"/>
    <w:rsid w:val="00B1238C"/>
    <w:rsid w:val="00B12452"/>
    <w:rsid w:val="00B12576"/>
    <w:rsid w:val="00B125BB"/>
    <w:rsid w:val="00B126D2"/>
    <w:rsid w:val="00B1272C"/>
    <w:rsid w:val="00B12778"/>
    <w:rsid w:val="00B12A58"/>
    <w:rsid w:val="00B12A96"/>
    <w:rsid w:val="00B12AB5"/>
    <w:rsid w:val="00B12AFA"/>
    <w:rsid w:val="00B12B3D"/>
    <w:rsid w:val="00B12D71"/>
    <w:rsid w:val="00B12DB2"/>
    <w:rsid w:val="00B12E06"/>
    <w:rsid w:val="00B13091"/>
    <w:rsid w:val="00B130AC"/>
    <w:rsid w:val="00B13196"/>
    <w:rsid w:val="00B131E0"/>
    <w:rsid w:val="00B13294"/>
    <w:rsid w:val="00B133A2"/>
    <w:rsid w:val="00B133B1"/>
    <w:rsid w:val="00B134E3"/>
    <w:rsid w:val="00B13658"/>
    <w:rsid w:val="00B13684"/>
    <w:rsid w:val="00B136F9"/>
    <w:rsid w:val="00B13768"/>
    <w:rsid w:val="00B13779"/>
    <w:rsid w:val="00B137D9"/>
    <w:rsid w:val="00B137E7"/>
    <w:rsid w:val="00B1392F"/>
    <w:rsid w:val="00B13A0D"/>
    <w:rsid w:val="00B13A2A"/>
    <w:rsid w:val="00B13A2D"/>
    <w:rsid w:val="00B13AA8"/>
    <w:rsid w:val="00B13ADF"/>
    <w:rsid w:val="00B13AF9"/>
    <w:rsid w:val="00B13B86"/>
    <w:rsid w:val="00B13BE6"/>
    <w:rsid w:val="00B13BF6"/>
    <w:rsid w:val="00B13CF9"/>
    <w:rsid w:val="00B13E7C"/>
    <w:rsid w:val="00B14090"/>
    <w:rsid w:val="00B14092"/>
    <w:rsid w:val="00B140D7"/>
    <w:rsid w:val="00B14142"/>
    <w:rsid w:val="00B1416B"/>
    <w:rsid w:val="00B14222"/>
    <w:rsid w:val="00B143D4"/>
    <w:rsid w:val="00B147ED"/>
    <w:rsid w:val="00B147F0"/>
    <w:rsid w:val="00B148D4"/>
    <w:rsid w:val="00B148E6"/>
    <w:rsid w:val="00B14917"/>
    <w:rsid w:val="00B1491C"/>
    <w:rsid w:val="00B14988"/>
    <w:rsid w:val="00B14A45"/>
    <w:rsid w:val="00B14A8C"/>
    <w:rsid w:val="00B14AD8"/>
    <w:rsid w:val="00B14B01"/>
    <w:rsid w:val="00B14B57"/>
    <w:rsid w:val="00B14C99"/>
    <w:rsid w:val="00B14D97"/>
    <w:rsid w:val="00B14E5F"/>
    <w:rsid w:val="00B150F2"/>
    <w:rsid w:val="00B15432"/>
    <w:rsid w:val="00B155BA"/>
    <w:rsid w:val="00B15735"/>
    <w:rsid w:val="00B1576E"/>
    <w:rsid w:val="00B158D9"/>
    <w:rsid w:val="00B15A75"/>
    <w:rsid w:val="00B15AD6"/>
    <w:rsid w:val="00B15BC2"/>
    <w:rsid w:val="00B15CD5"/>
    <w:rsid w:val="00B15CD7"/>
    <w:rsid w:val="00B15DA2"/>
    <w:rsid w:val="00B15E04"/>
    <w:rsid w:val="00B15E46"/>
    <w:rsid w:val="00B1605A"/>
    <w:rsid w:val="00B1618C"/>
    <w:rsid w:val="00B16283"/>
    <w:rsid w:val="00B16345"/>
    <w:rsid w:val="00B163A2"/>
    <w:rsid w:val="00B163D0"/>
    <w:rsid w:val="00B16437"/>
    <w:rsid w:val="00B1645A"/>
    <w:rsid w:val="00B164B4"/>
    <w:rsid w:val="00B1651F"/>
    <w:rsid w:val="00B1661A"/>
    <w:rsid w:val="00B167E2"/>
    <w:rsid w:val="00B168DB"/>
    <w:rsid w:val="00B1693E"/>
    <w:rsid w:val="00B16970"/>
    <w:rsid w:val="00B16995"/>
    <w:rsid w:val="00B16996"/>
    <w:rsid w:val="00B169DC"/>
    <w:rsid w:val="00B16A18"/>
    <w:rsid w:val="00B16A8A"/>
    <w:rsid w:val="00B16B8C"/>
    <w:rsid w:val="00B16C93"/>
    <w:rsid w:val="00B16D64"/>
    <w:rsid w:val="00B16DDC"/>
    <w:rsid w:val="00B16F46"/>
    <w:rsid w:val="00B16F4C"/>
    <w:rsid w:val="00B16F51"/>
    <w:rsid w:val="00B16F94"/>
    <w:rsid w:val="00B16F98"/>
    <w:rsid w:val="00B17023"/>
    <w:rsid w:val="00B170A5"/>
    <w:rsid w:val="00B171F6"/>
    <w:rsid w:val="00B172BB"/>
    <w:rsid w:val="00B17322"/>
    <w:rsid w:val="00B174FB"/>
    <w:rsid w:val="00B175A3"/>
    <w:rsid w:val="00B175B1"/>
    <w:rsid w:val="00B1769B"/>
    <w:rsid w:val="00B176D6"/>
    <w:rsid w:val="00B176FD"/>
    <w:rsid w:val="00B17864"/>
    <w:rsid w:val="00B178ED"/>
    <w:rsid w:val="00B1798F"/>
    <w:rsid w:val="00B179D4"/>
    <w:rsid w:val="00B17A1B"/>
    <w:rsid w:val="00B17A46"/>
    <w:rsid w:val="00B17AF9"/>
    <w:rsid w:val="00B17BC6"/>
    <w:rsid w:val="00B17CAB"/>
    <w:rsid w:val="00B17E4F"/>
    <w:rsid w:val="00B17E6F"/>
    <w:rsid w:val="00B17ECB"/>
    <w:rsid w:val="00B17F05"/>
    <w:rsid w:val="00B17F45"/>
    <w:rsid w:val="00B17FC3"/>
    <w:rsid w:val="00B20048"/>
    <w:rsid w:val="00B2026F"/>
    <w:rsid w:val="00B2027E"/>
    <w:rsid w:val="00B20472"/>
    <w:rsid w:val="00B2053F"/>
    <w:rsid w:val="00B20547"/>
    <w:rsid w:val="00B205AF"/>
    <w:rsid w:val="00B205EB"/>
    <w:rsid w:val="00B2068A"/>
    <w:rsid w:val="00B206C9"/>
    <w:rsid w:val="00B20756"/>
    <w:rsid w:val="00B20772"/>
    <w:rsid w:val="00B20A47"/>
    <w:rsid w:val="00B20BB1"/>
    <w:rsid w:val="00B20CA1"/>
    <w:rsid w:val="00B20D18"/>
    <w:rsid w:val="00B20D60"/>
    <w:rsid w:val="00B20D8A"/>
    <w:rsid w:val="00B20DB5"/>
    <w:rsid w:val="00B20DFC"/>
    <w:rsid w:val="00B20E48"/>
    <w:rsid w:val="00B20EB2"/>
    <w:rsid w:val="00B20F23"/>
    <w:rsid w:val="00B20F3D"/>
    <w:rsid w:val="00B20F5B"/>
    <w:rsid w:val="00B2127E"/>
    <w:rsid w:val="00B21331"/>
    <w:rsid w:val="00B21452"/>
    <w:rsid w:val="00B2146A"/>
    <w:rsid w:val="00B21608"/>
    <w:rsid w:val="00B21621"/>
    <w:rsid w:val="00B21721"/>
    <w:rsid w:val="00B2179B"/>
    <w:rsid w:val="00B217B7"/>
    <w:rsid w:val="00B217F5"/>
    <w:rsid w:val="00B21802"/>
    <w:rsid w:val="00B2184E"/>
    <w:rsid w:val="00B219AF"/>
    <w:rsid w:val="00B21A31"/>
    <w:rsid w:val="00B21AD6"/>
    <w:rsid w:val="00B21AF3"/>
    <w:rsid w:val="00B21B3D"/>
    <w:rsid w:val="00B21B65"/>
    <w:rsid w:val="00B21B84"/>
    <w:rsid w:val="00B21BC9"/>
    <w:rsid w:val="00B21BE3"/>
    <w:rsid w:val="00B21CF1"/>
    <w:rsid w:val="00B21E6B"/>
    <w:rsid w:val="00B21EBA"/>
    <w:rsid w:val="00B21FBB"/>
    <w:rsid w:val="00B21FF8"/>
    <w:rsid w:val="00B22085"/>
    <w:rsid w:val="00B22148"/>
    <w:rsid w:val="00B2223C"/>
    <w:rsid w:val="00B22261"/>
    <w:rsid w:val="00B22267"/>
    <w:rsid w:val="00B2228E"/>
    <w:rsid w:val="00B22307"/>
    <w:rsid w:val="00B2238B"/>
    <w:rsid w:val="00B223DB"/>
    <w:rsid w:val="00B2241D"/>
    <w:rsid w:val="00B22470"/>
    <w:rsid w:val="00B224FA"/>
    <w:rsid w:val="00B2259E"/>
    <w:rsid w:val="00B225A1"/>
    <w:rsid w:val="00B2266B"/>
    <w:rsid w:val="00B2267B"/>
    <w:rsid w:val="00B226D5"/>
    <w:rsid w:val="00B22791"/>
    <w:rsid w:val="00B227DB"/>
    <w:rsid w:val="00B22823"/>
    <w:rsid w:val="00B2295A"/>
    <w:rsid w:val="00B22985"/>
    <w:rsid w:val="00B22AE8"/>
    <w:rsid w:val="00B22B45"/>
    <w:rsid w:val="00B22B75"/>
    <w:rsid w:val="00B22D50"/>
    <w:rsid w:val="00B22D58"/>
    <w:rsid w:val="00B22D73"/>
    <w:rsid w:val="00B22DD2"/>
    <w:rsid w:val="00B22DE3"/>
    <w:rsid w:val="00B22E6F"/>
    <w:rsid w:val="00B22F0F"/>
    <w:rsid w:val="00B22FED"/>
    <w:rsid w:val="00B230AE"/>
    <w:rsid w:val="00B2316A"/>
    <w:rsid w:val="00B23192"/>
    <w:rsid w:val="00B232DC"/>
    <w:rsid w:val="00B2335E"/>
    <w:rsid w:val="00B23395"/>
    <w:rsid w:val="00B23513"/>
    <w:rsid w:val="00B237BB"/>
    <w:rsid w:val="00B238E8"/>
    <w:rsid w:val="00B238FF"/>
    <w:rsid w:val="00B23A7D"/>
    <w:rsid w:val="00B23B2D"/>
    <w:rsid w:val="00B23BA3"/>
    <w:rsid w:val="00B23BE2"/>
    <w:rsid w:val="00B23BE6"/>
    <w:rsid w:val="00B23CEF"/>
    <w:rsid w:val="00B23D90"/>
    <w:rsid w:val="00B23DB5"/>
    <w:rsid w:val="00B23F51"/>
    <w:rsid w:val="00B24187"/>
    <w:rsid w:val="00B242A7"/>
    <w:rsid w:val="00B242AA"/>
    <w:rsid w:val="00B242AB"/>
    <w:rsid w:val="00B2432F"/>
    <w:rsid w:val="00B243FB"/>
    <w:rsid w:val="00B2443B"/>
    <w:rsid w:val="00B24464"/>
    <w:rsid w:val="00B24491"/>
    <w:rsid w:val="00B244AA"/>
    <w:rsid w:val="00B24588"/>
    <w:rsid w:val="00B2459F"/>
    <w:rsid w:val="00B245F8"/>
    <w:rsid w:val="00B247D2"/>
    <w:rsid w:val="00B24812"/>
    <w:rsid w:val="00B24864"/>
    <w:rsid w:val="00B249BF"/>
    <w:rsid w:val="00B24A26"/>
    <w:rsid w:val="00B24B13"/>
    <w:rsid w:val="00B24B1E"/>
    <w:rsid w:val="00B24B21"/>
    <w:rsid w:val="00B24B2E"/>
    <w:rsid w:val="00B24B44"/>
    <w:rsid w:val="00B24B45"/>
    <w:rsid w:val="00B24BBD"/>
    <w:rsid w:val="00B24C75"/>
    <w:rsid w:val="00B24D24"/>
    <w:rsid w:val="00B24DAD"/>
    <w:rsid w:val="00B24DDE"/>
    <w:rsid w:val="00B24EDE"/>
    <w:rsid w:val="00B24F0D"/>
    <w:rsid w:val="00B24F39"/>
    <w:rsid w:val="00B24F71"/>
    <w:rsid w:val="00B25258"/>
    <w:rsid w:val="00B2527A"/>
    <w:rsid w:val="00B25293"/>
    <w:rsid w:val="00B2531C"/>
    <w:rsid w:val="00B254D6"/>
    <w:rsid w:val="00B2551B"/>
    <w:rsid w:val="00B25697"/>
    <w:rsid w:val="00B256F9"/>
    <w:rsid w:val="00B25721"/>
    <w:rsid w:val="00B257B1"/>
    <w:rsid w:val="00B257D1"/>
    <w:rsid w:val="00B257E0"/>
    <w:rsid w:val="00B2589B"/>
    <w:rsid w:val="00B2590E"/>
    <w:rsid w:val="00B25A4F"/>
    <w:rsid w:val="00B25B07"/>
    <w:rsid w:val="00B25C70"/>
    <w:rsid w:val="00B25CA5"/>
    <w:rsid w:val="00B25DEA"/>
    <w:rsid w:val="00B25F06"/>
    <w:rsid w:val="00B25FC9"/>
    <w:rsid w:val="00B2617E"/>
    <w:rsid w:val="00B26242"/>
    <w:rsid w:val="00B26420"/>
    <w:rsid w:val="00B26449"/>
    <w:rsid w:val="00B2649D"/>
    <w:rsid w:val="00B2650D"/>
    <w:rsid w:val="00B265B0"/>
    <w:rsid w:val="00B26608"/>
    <w:rsid w:val="00B2662D"/>
    <w:rsid w:val="00B26750"/>
    <w:rsid w:val="00B26780"/>
    <w:rsid w:val="00B268A0"/>
    <w:rsid w:val="00B269A0"/>
    <w:rsid w:val="00B26A00"/>
    <w:rsid w:val="00B26B51"/>
    <w:rsid w:val="00B26BB0"/>
    <w:rsid w:val="00B26BC6"/>
    <w:rsid w:val="00B26BC7"/>
    <w:rsid w:val="00B26C02"/>
    <w:rsid w:val="00B26DFD"/>
    <w:rsid w:val="00B26E96"/>
    <w:rsid w:val="00B26EBF"/>
    <w:rsid w:val="00B26F6E"/>
    <w:rsid w:val="00B27055"/>
    <w:rsid w:val="00B27057"/>
    <w:rsid w:val="00B2705B"/>
    <w:rsid w:val="00B271C7"/>
    <w:rsid w:val="00B27201"/>
    <w:rsid w:val="00B27217"/>
    <w:rsid w:val="00B272E7"/>
    <w:rsid w:val="00B27365"/>
    <w:rsid w:val="00B274A1"/>
    <w:rsid w:val="00B2752B"/>
    <w:rsid w:val="00B27653"/>
    <w:rsid w:val="00B276F2"/>
    <w:rsid w:val="00B27707"/>
    <w:rsid w:val="00B27808"/>
    <w:rsid w:val="00B27896"/>
    <w:rsid w:val="00B27903"/>
    <w:rsid w:val="00B2795B"/>
    <w:rsid w:val="00B27978"/>
    <w:rsid w:val="00B27A34"/>
    <w:rsid w:val="00B27A97"/>
    <w:rsid w:val="00B27BD3"/>
    <w:rsid w:val="00B27C25"/>
    <w:rsid w:val="00B27C33"/>
    <w:rsid w:val="00B27C86"/>
    <w:rsid w:val="00B27CA0"/>
    <w:rsid w:val="00B27D35"/>
    <w:rsid w:val="00B27D98"/>
    <w:rsid w:val="00B27E02"/>
    <w:rsid w:val="00B27E10"/>
    <w:rsid w:val="00B27E34"/>
    <w:rsid w:val="00B30173"/>
    <w:rsid w:val="00B3019B"/>
    <w:rsid w:val="00B301BB"/>
    <w:rsid w:val="00B30268"/>
    <w:rsid w:val="00B3032E"/>
    <w:rsid w:val="00B30426"/>
    <w:rsid w:val="00B30757"/>
    <w:rsid w:val="00B307AA"/>
    <w:rsid w:val="00B3082F"/>
    <w:rsid w:val="00B308D5"/>
    <w:rsid w:val="00B30A68"/>
    <w:rsid w:val="00B30AA2"/>
    <w:rsid w:val="00B30AC6"/>
    <w:rsid w:val="00B30B32"/>
    <w:rsid w:val="00B30BC5"/>
    <w:rsid w:val="00B30C9A"/>
    <w:rsid w:val="00B30E34"/>
    <w:rsid w:val="00B30E6C"/>
    <w:rsid w:val="00B30EA9"/>
    <w:rsid w:val="00B30F47"/>
    <w:rsid w:val="00B30F5E"/>
    <w:rsid w:val="00B30FD8"/>
    <w:rsid w:val="00B31056"/>
    <w:rsid w:val="00B310CC"/>
    <w:rsid w:val="00B311B2"/>
    <w:rsid w:val="00B311C3"/>
    <w:rsid w:val="00B3120D"/>
    <w:rsid w:val="00B31270"/>
    <w:rsid w:val="00B31315"/>
    <w:rsid w:val="00B3132D"/>
    <w:rsid w:val="00B314D7"/>
    <w:rsid w:val="00B315E1"/>
    <w:rsid w:val="00B316D2"/>
    <w:rsid w:val="00B316F7"/>
    <w:rsid w:val="00B317A5"/>
    <w:rsid w:val="00B31808"/>
    <w:rsid w:val="00B31859"/>
    <w:rsid w:val="00B3187F"/>
    <w:rsid w:val="00B3193E"/>
    <w:rsid w:val="00B31961"/>
    <w:rsid w:val="00B31CAC"/>
    <w:rsid w:val="00B31D21"/>
    <w:rsid w:val="00B31DAE"/>
    <w:rsid w:val="00B31E20"/>
    <w:rsid w:val="00B31E67"/>
    <w:rsid w:val="00B31F77"/>
    <w:rsid w:val="00B32061"/>
    <w:rsid w:val="00B320E3"/>
    <w:rsid w:val="00B321C9"/>
    <w:rsid w:val="00B3221E"/>
    <w:rsid w:val="00B3228C"/>
    <w:rsid w:val="00B32295"/>
    <w:rsid w:val="00B32308"/>
    <w:rsid w:val="00B32321"/>
    <w:rsid w:val="00B3241D"/>
    <w:rsid w:val="00B325BC"/>
    <w:rsid w:val="00B326BF"/>
    <w:rsid w:val="00B3280B"/>
    <w:rsid w:val="00B3281A"/>
    <w:rsid w:val="00B32853"/>
    <w:rsid w:val="00B32E4E"/>
    <w:rsid w:val="00B32EF0"/>
    <w:rsid w:val="00B32F87"/>
    <w:rsid w:val="00B32FFC"/>
    <w:rsid w:val="00B33015"/>
    <w:rsid w:val="00B33024"/>
    <w:rsid w:val="00B3315A"/>
    <w:rsid w:val="00B33250"/>
    <w:rsid w:val="00B333C4"/>
    <w:rsid w:val="00B334F3"/>
    <w:rsid w:val="00B335E0"/>
    <w:rsid w:val="00B335EF"/>
    <w:rsid w:val="00B33610"/>
    <w:rsid w:val="00B33632"/>
    <w:rsid w:val="00B33654"/>
    <w:rsid w:val="00B3368A"/>
    <w:rsid w:val="00B336B3"/>
    <w:rsid w:val="00B3398D"/>
    <w:rsid w:val="00B339DB"/>
    <w:rsid w:val="00B33A9A"/>
    <w:rsid w:val="00B33AFC"/>
    <w:rsid w:val="00B33C15"/>
    <w:rsid w:val="00B33CB7"/>
    <w:rsid w:val="00B33D68"/>
    <w:rsid w:val="00B33D72"/>
    <w:rsid w:val="00B33E80"/>
    <w:rsid w:val="00B3400D"/>
    <w:rsid w:val="00B3404B"/>
    <w:rsid w:val="00B340E4"/>
    <w:rsid w:val="00B34138"/>
    <w:rsid w:val="00B3421E"/>
    <w:rsid w:val="00B3428E"/>
    <w:rsid w:val="00B342FB"/>
    <w:rsid w:val="00B34308"/>
    <w:rsid w:val="00B346E9"/>
    <w:rsid w:val="00B34790"/>
    <w:rsid w:val="00B347D3"/>
    <w:rsid w:val="00B349B3"/>
    <w:rsid w:val="00B34AB8"/>
    <w:rsid w:val="00B34B0F"/>
    <w:rsid w:val="00B34DA3"/>
    <w:rsid w:val="00B34FAA"/>
    <w:rsid w:val="00B34FAE"/>
    <w:rsid w:val="00B3504F"/>
    <w:rsid w:val="00B350F3"/>
    <w:rsid w:val="00B3510C"/>
    <w:rsid w:val="00B3511E"/>
    <w:rsid w:val="00B351F2"/>
    <w:rsid w:val="00B351F9"/>
    <w:rsid w:val="00B3521C"/>
    <w:rsid w:val="00B35273"/>
    <w:rsid w:val="00B352A1"/>
    <w:rsid w:val="00B35513"/>
    <w:rsid w:val="00B35538"/>
    <w:rsid w:val="00B35797"/>
    <w:rsid w:val="00B357D5"/>
    <w:rsid w:val="00B357E8"/>
    <w:rsid w:val="00B357F4"/>
    <w:rsid w:val="00B35853"/>
    <w:rsid w:val="00B358FA"/>
    <w:rsid w:val="00B35BE3"/>
    <w:rsid w:val="00B35CD0"/>
    <w:rsid w:val="00B35D14"/>
    <w:rsid w:val="00B35D4C"/>
    <w:rsid w:val="00B35DCA"/>
    <w:rsid w:val="00B35E38"/>
    <w:rsid w:val="00B35F10"/>
    <w:rsid w:val="00B3611C"/>
    <w:rsid w:val="00B3616A"/>
    <w:rsid w:val="00B363DF"/>
    <w:rsid w:val="00B363FC"/>
    <w:rsid w:val="00B364A2"/>
    <w:rsid w:val="00B3655B"/>
    <w:rsid w:val="00B365E7"/>
    <w:rsid w:val="00B367C1"/>
    <w:rsid w:val="00B36819"/>
    <w:rsid w:val="00B3686F"/>
    <w:rsid w:val="00B368F7"/>
    <w:rsid w:val="00B36944"/>
    <w:rsid w:val="00B369CA"/>
    <w:rsid w:val="00B36A17"/>
    <w:rsid w:val="00B36B4C"/>
    <w:rsid w:val="00B36BC5"/>
    <w:rsid w:val="00B36BCB"/>
    <w:rsid w:val="00B36C38"/>
    <w:rsid w:val="00B36C6F"/>
    <w:rsid w:val="00B36D87"/>
    <w:rsid w:val="00B36E33"/>
    <w:rsid w:val="00B36F25"/>
    <w:rsid w:val="00B36FFF"/>
    <w:rsid w:val="00B37009"/>
    <w:rsid w:val="00B3700C"/>
    <w:rsid w:val="00B3708E"/>
    <w:rsid w:val="00B371DB"/>
    <w:rsid w:val="00B3741A"/>
    <w:rsid w:val="00B37455"/>
    <w:rsid w:val="00B3746C"/>
    <w:rsid w:val="00B37474"/>
    <w:rsid w:val="00B374A1"/>
    <w:rsid w:val="00B37521"/>
    <w:rsid w:val="00B375D1"/>
    <w:rsid w:val="00B37673"/>
    <w:rsid w:val="00B376A7"/>
    <w:rsid w:val="00B3780A"/>
    <w:rsid w:val="00B37870"/>
    <w:rsid w:val="00B3789A"/>
    <w:rsid w:val="00B378DD"/>
    <w:rsid w:val="00B37970"/>
    <w:rsid w:val="00B37E38"/>
    <w:rsid w:val="00B37E3F"/>
    <w:rsid w:val="00B37E8E"/>
    <w:rsid w:val="00B400FF"/>
    <w:rsid w:val="00B40172"/>
    <w:rsid w:val="00B40173"/>
    <w:rsid w:val="00B401F7"/>
    <w:rsid w:val="00B403CC"/>
    <w:rsid w:val="00B4041E"/>
    <w:rsid w:val="00B40487"/>
    <w:rsid w:val="00B40678"/>
    <w:rsid w:val="00B406A6"/>
    <w:rsid w:val="00B406D9"/>
    <w:rsid w:val="00B40727"/>
    <w:rsid w:val="00B4072C"/>
    <w:rsid w:val="00B407A2"/>
    <w:rsid w:val="00B4089D"/>
    <w:rsid w:val="00B408AF"/>
    <w:rsid w:val="00B4099D"/>
    <w:rsid w:val="00B409D0"/>
    <w:rsid w:val="00B40A50"/>
    <w:rsid w:val="00B40AC1"/>
    <w:rsid w:val="00B40BFE"/>
    <w:rsid w:val="00B40C87"/>
    <w:rsid w:val="00B40CAC"/>
    <w:rsid w:val="00B40CFF"/>
    <w:rsid w:val="00B40D69"/>
    <w:rsid w:val="00B40DAA"/>
    <w:rsid w:val="00B40DB5"/>
    <w:rsid w:val="00B40F2A"/>
    <w:rsid w:val="00B41038"/>
    <w:rsid w:val="00B41140"/>
    <w:rsid w:val="00B411F8"/>
    <w:rsid w:val="00B41218"/>
    <w:rsid w:val="00B4124F"/>
    <w:rsid w:val="00B4139C"/>
    <w:rsid w:val="00B4145A"/>
    <w:rsid w:val="00B414A1"/>
    <w:rsid w:val="00B414AA"/>
    <w:rsid w:val="00B4155B"/>
    <w:rsid w:val="00B4171D"/>
    <w:rsid w:val="00B4178B"/>
    <w:rsid w:val="00B417F5"/>
    <w:rsid w:val="00B417F7"/>
    <w:rsid w:val="00B41905"/>
    <w:rsid w:val="00B419EF"/>
    <w:rsid w:val="00B41A33"/>
    <w:rsid w:val="00B41D17"/>
    <w:rsid w:val="00B42135"/>
    <w:rsid w:val="00B4229A"/>
    <w:rsid w:val="00B422C2"/>
    <w:rsid w:val="00B42352"/>
    <w:rsid w:val="00B42426"/>
    <w:rsid w:val="00B424FE"/>
    <w:rsid w:val="00B4255C"/>
    <w:rsid w:val="00B4274A"/>
    <w:rsid w:val="00B42829"/>
    <w:rsid w:val="00B4287C"/>
    <w:rsid w:val="00B42881"/>
    <w:rsid w:val="00B428DC"/>
    <w:rsid w:val="00B4294D"/>
    <w:rsid w:val="00B4295A"/>
    <w:rsid w:val="00B42987"/>
    <w:rsid w:val="00B42A0C"/>
    <w:rsid w:val="00B42A36"/>
    <w:rsid w:val="00B42AC4"/>
    <w:rsid w:val="00B42AF8"/>
    <w:rsid w:val="00B42C03"/>
    <w:rsid w:val="00B42C6C"/>
    <w:rsid w:val="00B42C7B"/>
    <w:rsid w:val="00B42CBC"/>
    <w:rsid w:val="00B42D4C"/>
    <w:rsid w:val="00B42D5E"/>
    <w:rsid w:val="00B42DC2"/>
    <w:rsid w:val="00B42E18"/>
    <w:rsid w:val="00B42EA8"/>
    <w:rsid w:val="00B42F5C"/>
    <w:rsid w:val="00B4302C"/>
    <w:rsid w:val="00B431AA"/>
    <w:rsid w:val="00B43222"/>
    <w:rsid w:val="00B4331C"/>
    <w:rsid w:val="00B43343"/>
    <w:rsid w:val="00B433EC"/>
    <w:rsid w:val="00B4341C"/>
    <w:rsid w:val="00B434C1"/>
    <w:rsid w:val="00B434F6"/>
    <w:rsid w:val="00B43699"/>
    <w:rsid w:val="00B4381D"/>
    <w:rsid w:val="00B4385C"/>
    <w:rsid w:val="00B43874"/>
    <w:rsid w:val="00B4389A"/>
    <w:rsid w:val="00B43924"/>
    <w:rsid w:val="00B43976"/>
    <w:rsid w:val="00B439C0"/>
    <w:rsid w:val="00B43A25"/>
    <w:rsid w:val="00B43AA7"/>
    <w:rsid w:val="00B43BE5"/>
    <w:rsid w:val="00B43C9E"/>
    <w:rsid w:val="00B43D05"/>
    <w:rsid w:val="00B43D70"/>
    <w:rsid w:val="00B43D87"/>
    <w:rsid w:val="00B43DFA"/>
    <w:rsid w:val="00B43E9E"/>
    <w:rsid w:val="00B43F5E"/>
    <w:rsid w:val="00B4410E"/>
    <w:rsid w:val="00B4429B"/>
    <w:rsid w:val="00B4446F"/>
    <w:rsid w:val="00B44487"/>
    <w:rsid w:val="00B44493"/>
    <w:rsid w:val="00B44514"/>
    <w:rsid w:val="00B44533"/>
    <w:rsid w:val="00B44542"/>
    <w:rsid w:val="00B4455D"/>
    <w:rsid w:val="00B4456F"/>
    <w:rsid w:val="00B44596"/>
    <w:rsid w:val="00B44667"/>
    <w:rsid w:val="00B4466A"/>
    <w:rsid w:val="00B44673"/>
    <w:rsid w:val="00B446BB"/>
    <w:rsid w:val="00B446EF"/>
    <w:rsid w:val="00B4477D"/>
    <w:rsid w:val="00B447B9"/>
    <w:rsid w:val="00B4480F"/>
    <w:rsid w:val="00B448A5"/>
    <w:rsid w:val="00B44A10"/>
    <w:rsid w:val="00B44A1A"/>
    <w:rsid w:val="00B44A20"/>
    <w:rsid w:val="00B44B50"/>
    <w:rsid w:val="00B44BB5"/>
    <w:rsid w:val="00B44C31"/>
    <w:rsid w:val="00B44E29"/>
    <w:rsid w:val="00B44E94"/>
    <w:rsid w:val="00B44FB1"/>
    <w:rsid w:val="00B45010"/>
    <w:rsid w:val="00B450DB"/>
    <w:rsid w:val="00B45379"/>
    <w:rsid w:val="00B4541F"/>
    <w:rsid w:val="00B454F1"/>
    <w:rsid w:val="00B4551A"/>
    <w:rsid w:val="00B45687"/>
    <w:rsid w:val="00B456B0"/>
    <w:rsid w:val="00B45742"/>
    <w:rsid w:val="00B4574D"/>
    <w:rsid w:val="00B45872"/>
    <w:rsid w:val="00B45889"/>
    <w:rsid w:val="00B45899"/>
    <w:rsid w:val="00B45968"/>
    <w:rsid w:val="00B45ABC"/>
    <w:rsid w:val="00B45ACF"/>
    <w:rsid w:val="00B45C31"/>
    <w:rsid w:val="00B45CC3"/>
    <w:rsid w:val="00B45D82"/>
    <w:rsid w:val="00B45DEA"/>
    <w:rsid w:val="00B45EAD"/>
    <w:rsid w:val="00B45EBC"/>
    <w:rsid w:val="00B4610A"/>
    <w:rsid w:val="00B4611C"/>
    <w:rsid w:val="00B4614E"/>
    <w:rsid w:val="00B46155"/>
    <w:rsid w:val="00B462A2"/>
    <w:rsid w:val="00B462A6"/>
    <w:rsid w:val="00B463B8"/>
    <w:rsid w:val="00B46453"/>
    <w:rsid w:val="00B464FE"/>
    <w:rsid w:val="00B4668A"/>
    <w:rsid w:val="00B4668C"/>
    <w:rsid w:val="00B46812"/>
    <w:rsid w:val="00B46984"/>
    <w:rsid w:val="00B46A3F"/>
    <w:rsid w:val="00B46BFA"/>
    <w:rsid w:val="00B46D12"/>
    <w:rsid w:val="00B46D45"/>
    <w:rsid w:val="00B46DF4"/>
    <w:rsid w:val="00B46E68"/>
    <w:rsid w:val="00B46EB4"/>
    <w:rsid w:val="00B46EDE"/>
    <w:rsid w:val="00B46F09"/>
    <w:rsid w:val="00B46F0E"/>
    <w:rsid w:val="00B46FBB"/>
    <w:rsid w:val="00B46FD1"/>
    <w:rsid w:val="00B4708E"/>
    <w:rsid w:val="00B470B7"/>
    <w:rsid w:val="00B470F0"/>
    <w:rsid w:val="00B47103"/>
    <w:rsid w:val="00B47141"/>
    <w:rsid w:val="00B4714F"/>
    <w:rsid w:val="00B4717F"/>
    <w:rsid w:val="00B47531"/>
    <w:rsid w:val="00B47622"/>
    <w:rsid w:val="00B47707"/>
    <w:rsid w:val="00B4770C"/>
    <w:rsid w:val="00B47776"/>
    <w:rsid w:val="00B4782E"/>
    <w:rsid w:val="00B478F0"/>
    <w:rsid w:val="00B47994"/>
    <w:rsid w:val="00B47A3F"/>
    <w:rsid w:val="00B47B60"/>
    <w:rsid w:val="00B47BD8"/>
    <w:rsid w:val="00B47C78"/>
    <w:rsid w:val="00B47D6D"/>
    <w:rsid w:val="00B47E94"/>
    <w:rsid w:val="00B47F38"/>
    <w:rsid w:val="00B500FA"/>
    <w:rsid w:val="00B501BE"/>
    <w:rsid w:val="00B50302"/>
    <w:rsid w:val="00B50414"/>
    <w:rsid w:val="00B50476"/>
    <w:rsid w:val="00B504AC"/>
    <w:rsid w:val="00B504CA"/>
    <w:rsid w:val="00B50537"/>
    <w:rsid w:val="00B506E5"/>
    <w:rsid w:val="00B506E9"/>
    <w:rsid w:val="00B506EA"/>
    <w:rsid w:val="00B507A6"/>
    <w:rsid w:val="00B507D5"/>
    <w:rsid w:val="00B507F4"/>
    <w:rsid w:val="00B50832"/>
    <w:rsid w:val="00B50980"/>
    <w:rsid w:val="00B50DB4"/>
    <w:rsid w:val="00B50EC2"/>
    <w:rsid w:val="00B51009"/>
    <w:rsid w:val="00B51213"/>
    <w:rsid w:val="00B5121F"/>
    <w:rsid w:val="00B51317"/>
    <w:rsid w:val="00B5133E"/>
    <w:rsid w:val="00B5133F"/>
    <w:rsid w:val="00B5149C"/>
    <w:rsid w:val="00B51502"/>
    <w:rsid w:val="00B516F9"/>
    <w:rsid w:val="00B5180F"/>
    <w:rsid w:val="00B51813"/>
    <w:rsid w:val="00B51977"/>
    <w:rsid w:val="00B519D8"/>
    <w:rsid w:val="00B51A49"/>
    <w:rsid w:val="00B51B87"/>
    <w:rsid w:val="00B51D6C"/>
    <w:rsid w:val="00B51DE6"/>
    <w:rsid w:val="00B51E0D"/>
    <w:rsid w:val="00B5207F"/>
    <w:rsid w:val="00B521C1"/>
    <w:rsid w:val="00B52297"/>
    <w:rsid w:val="00B52299"/>
    <w:rsid w:val="00B52300"/>
    <w:rsid w:val="00B524BB"/>
    <w:rsid w:val="00B5253C"/>
    <w:rsid w:val="00B5253E"/>
    <w:rsid w:val="00B5258A"/>
    <w:rsid w:val="00B52617"/>
    <w:rsid w:val="00B52768"/>
    <w:rsid w:val="00B5285F"/>
    <w:rsid w:val="00B52897"/>
    <w:rsid w:val="00B528A5"/>
    <w:rsid w:val="00B528B2"/>
    <w:rsid w:val="00B52B57"/>
    <w:rsid w:val="00B52D2B"/>
    <w:rsid w:val="00B52F01"/>
    <w:rsid w:val="00B52FD8"/>
    <w:rsid w:val="00B5307E"/>
    <w:rsid w:val="00B5309F"/>
    <w:rsid w:val="00B532AC"/>
    <w:rsid w:val="00B5335E"/>
    <w:rsid w:val="00B5343A"/>
    <w:rsid w:val="00B53470"/>
    <w:rsid w:val="00B5364C"/>
    <w:rsid w:val="00B537D3"/>
    <w:rsid w:val="00B53827"/>
    <w:rsid w:val="00B5383E"/>
    <w:rsid w:val="00B53843"/>
    <w:rsid w:val="00B5388C"/>
    <w:rsid w:val="00B53A5C"/>
    <w:rsid w:val="00B53A6A"/>
    <w:rsid w:val="00B53A8C"/>
    <w:rsid w:val="00B53C1D"/>
    <w:rsid w:val="00B53C40"/>
    <w:rsid w:val="00B53CBA"/>
    <w:rsid w:val="00B53D75"/>
    <w:rsid w:val="00B53D8F"/>
    <w:rsid w:val="00B53E10"/>
    <w:rsid w:val="00B53F3F"/>
    <w:rsid w:val="00B53FAA"/>
    <w:rsid w:val="00B54020"/>
    <w:rsid w:val="00B54063"/>
    <w:rsid w:val="00B540C7"/>
    <w:rsid w:val="00B54131"/>
    <w:rsid w:val="00B541F8"/>
    <w:rsid w:val="00B54351"/>
    <w:rsid w:val="00B5435D"/>
    <w:rsid w:val="00B5435F"/>
    <w:rsid w:val="00B543E1"/>
    <w:rsid w:val="00B54406"/>
    <w:rsid w:val="00B54438"/>
    <w:rsid w:val="00B5454F"/>
    <w:rsid w:val="00B545B1"/>
    <w:rsid w:val="00B5474F"/>
    <w:rsid w:val="00B54915"/>
    <w:rsid w:val="00B54B98"/>
    <w:rsid w:val="00B54C4B"/>
    <w:rsid w:val="00B54CA6"/>
    <w:rsid w:val="00B54EF3"/>
    <w:rsid w:val="00B54F17"/>
    <w:rsid w:val="00B54FCA"/>
    <w:rsid w:val="00B55042"/>
    <w:rsid w:val="00B550F1"/>
    <w:rsid w:val="00B55249"/>
    <w:rsid w:val="00B552A1"/>
    <w:rsid w:val="00B5530C"/>
    <w:rsid w:val="00B5535B"/>
    <w:rsid w:val="00B5542F"/>
    <w:rsid w:val="00B55455"/>
    <w:rsid w:val="00B55456"/>
    <w:rsid w:val="00B554E1"/>
    <w:rsid w:val="00B555E9"/>
    <w:rsid w:val="00B55745"/>
    <w:rsid w:val="00B5577F"/>
    <w:rsid w:val="00B55864"/>
    <w:rsid w:val="00B5588E"/>
    <w:rsid w:val="00B558B1"/>
    <w:rsid w:val="00B55AF8"/>
    <w:rsid w:val="00B55B6F"/>
    <w:rsid w:val="00B55C0E"/>
    <w:rsid w:val="00B55C77"/>
    <w:rsid w:val="00B55C79"/>
    <w:rsid w:val="00B55E5F"/>
    <w:rsid w:val="00B55F00"/>
    <w:rsid w:val="00B55F9C"/>
    <w:rsid w:val="00B56099"/>
    <w:rsid w:val="00B560B6"/>
    <w:rsid w:val="00B56167"/>
    <w:rsid w:val="00B5618E"/>
    <w:rsid w:val="00B56199"/>
    <w:rsid w:val="00B561CF"/>
    <w:rsid w:val="00B5626D"/>
    <w:rsid w:val="00B562DC"/>
    <w:rsid w:val="00B563BE"/>
    <w:rsid w:val="00B563C5"/>
    <w:rsid w:val="00B5641F"/>
    <w:rsid w:val="00B564AB"/>
    <w:rsid w:val="00B564C8"/>
    <w:rsid w:val="00B56551"/>
    <w:rsid w:val="00B5660D"/>
    <w:rsid w:val="00B56781"/>
    <w:rsid w:val="00B567BB"/>
    <w:rsid w:val="00B567DB"/>
    <w:rsid w:val="00B569F1"/>
    <w:rsid w:val="00B569F3"/>
    <w:rsid w:val="00B56BA0"/>
    <w:rsid w:val="00B56C7E"/>
    <w:rsid w:val="00B56CE0"/>
    <w:rsid w:val="00B56CF0"/>
    <w:rsid w:val="00B56D1F"/>
    <w:rsid w:val="00B56D75"/>
    <w:rsid w:val="00B56E11"/>
    <w:rsid w:val="00B56E19"/>
    <w:rsid w:val="00B56E32"/>
    <w:rsid w:val="00B56F94"/>
    <w:rsid w:val="00B57093"/>
    <w:rsid w:val="00B57410"/>
    <w:rsid w:val="00B574D2"/>
    <w:rsid w:val="00B574FD"/>
    <w:rsid w:val="00B577BF"/>
    <w:rsid w:val="00B57A11"/>
    <w:rsid w:val="00B57AC2"/>
    <w:rsid w:val="00B57AC8"/>
    <w:rsid w:val="00B57B52"/>
    <w:rsid w:val="00B57B59"/>
    <w:rsid w:val="00B57C5D"/>
    <w:rsid w:val="00B57D5B"/>
    <w:rsid w:val="00B57DF8"/>
    <w:rsid w:val="00B57E31"/>
    <w:rsid w:val="00B57E3B"/>
    <w:rsid w:val="00B57E90"/>
    <w:rsid w:val="00B57F42"/>
    <w:rsid w:val="00B6018A"/>
    <w:rsid w:val="00B6021C"/>
    <w:rsid w:val="00B60297"/>
    <w:rsid w:val="00B60305"/>
    <w:rsid w:val="00B603D9"/>
    <w:rsid w:val="00B6048B"/>
    <w:rsid w:val="00B60702"/>
    <w:rsid w:val="00B60780"/>
    <w:rsid w:val="00B60897"/>
    <w:rsid w:val="00B608BE"/>
    <w:rsid w:val="00B6092D"/>
    <w:rsid w:val="00B609D1"/>
    <w:rsid w:val="00B60C04"/>
    <w:rsid w:val="00B60E14"/>
    <w:rsid w:val="00B60EA4"/>
    <w:rsid w:val="00B60F52"/>
    <w:rsid w:val="00B6113D"/>
    <w:rsid w:val="00B611B8"/>
    <w:rsid w:val="00B611F2"/>
    <w:rsid w:val="00B61333"/>
    <w:rsid w:val="00B6134A"/>
    <w:rsid w:val="00B61391"/>
    <w:rsid w:val="00B6146E"/>
    <w:rsid w:val="00B615B1"/>
    <w:rsid w:val="00B615D8"/>
    <w:rsid w:val="00B619C2"/>
    <w:rsid w:val="00B619DC"/>
    <w:rsid w:val="00B61B65"/>
    <w:rsid w:val="00B61BC0"/>
    <w:rsid w:val="00B61CD2"/>
    <w:rsid w:val="00B61CEF"/>
    <w:rsid w:val="00B61DA5"/>
    <w:rsid w:val="00B61DF1"/>
    <w:rsid w:val="00B61F22"/>
    <w:rsid w:val="00B61FA4"/>
    <w:rsid w:val="00B62055"/>
    <w:rsid w:val="00B6213D"/>
    <w:rsid w:val="00B6218D"/>
    <w:rsid w:val="00B621BD"/>
    <w:rsid w:val="00B623F1"/>
    <w:rsid w:val="00B624D3"/>
    <w:rsid w:val="00B624D8"/>
    <w:rsid w:val="00B62588"/>
    <w:rsid w:val="00B6263C"/>
    <w:rsid w:val="00B626CB"/>
    <w:rsid w:val="00B6270E"/>
    <w:rsid w:val="00B6283E"/>
    <w:rsid w:val="00B628E8"/>
    <w:rsid w:val="00B62900"/>
    <w:rsid w:val="00B62945"/>
    <w:rsid w:val="00B629AD"/>
    <w:rsid w:val="00B62A3E"/>
    <w:rsid w:val="00B62A8C"/>
    <w:rsid w:val="00B62AAC"/>
    <w:rsid w:val="00B62BB1"/>
    <w:rsid w:val="00B62BD0"/>
    <w:rsid w:val="00B62CA3"/>
    <w:rsid w:val="00B62D20"/>
    <w:rsid w:val="00B62D32"/>
    <w:rsid w:val="00B62DC1"/>
    <w:rsid w:val="00B62E56"/>
    <w:rsid w:val="00B62ED5"/>
    <w:rsid w:val="00B62F64"/>
    <w:rsid w:val="00B62FBB"/>
    <w:rsid w:val="00B630B4"/>
    <w:rsid w:val="00B6321B"/>
    <w:rsid w:val="00B6338D"/>
    <w:rsid w:val="00B634F2"/>
    <w:rsid w:val="00B6355C"/>
    <w:rsid w:val="00B6369D"/>
    <w:rsid w:val="00B6389D"/>
    <w:rsid w:val="00B638D0"/>
    <w:rsid w:val="00B6391A"/>
    <w:rsid w:val="00B63962"/>
    <w:rsid w:val="00B63A51"/>
    <w:rsid w:val="00B63BF9"/>
    <w:rsid w:val="00B63D36"/>
    <w:rsid w:val="00B63D5E"/>
    <w:rsid w:val="00B63DF7"/>
    <w:rsid w:val="00B63DF8"/>
    <w:rsid w:val="00B63E06"/>
    <w:rsid w:val="00B63E10"/>
    <w:rsid w:val="00B63E49"/>
    <w:rsid w:val="00B64000"/>
    <w:rsid w:val="00B64063"/>
    <w:rsid w:val="00B640CF"/>
    <w:rsid w:val="00B641B2"/>
    <w:rsid w:val="00B642DD"/>
    <w:rsid w:val="00B64309"/>
    <w:rsid w:val="00B644EC"/>
    <w:rsid w:val="00B64699"/>
    <w:rsid w:val="00B64721"/>
    <w:rsid w:val="00B64795"/>
    <w:rsid w:val="00B649DF"/>
    <w:rsid w:val="00B64A45"/>
    <w:rsid w:val="00B64A70"/>
    <w:rsid w:val="00B64BDC"/>
    <w:rsid w:val="00B64CE9"/>
    <w:rsid w:val="00B64D6D"/>
    <w:rsid w:val="00B64D92"/>
    <w:rsid w:val="00B64D9A"/>
    <w:rsid w:val="00B64DFB"/>
    <w:rsid w:val="00B64E72"/>
    <w:rsid w:val="00B64EA4"/>
    <w:rsid w:val="00B64F42"/>
    <w:rsid w:val="00B64F4E"/>
    <w:rsid w:val="00B650C7"/>
    <w:rsid w:val="00B6519A"/>
    <w:rsid w:val="00B6535E"/>
    <w:rsid w:val="00B653A7"/>
    <w:rsid w:val="00B6545C"/>
    <w:rsid w:val="00B6547F"/>
    <w:rsid w:val="00B65600"/>
    <w:rsid w:val="00B65662"/>
    <w:rsid w:val="00B65690"/>
    <w:rsid w:val="00B656A5"/>
    <w:rsid w:val="00B658CD"/>
    <w:rsid w:val="00B659BC"/>
    <w:rsid w:val="00B659D9"/>
    <w:rsid w:val="00B65B1E"/>
    <w:rsid w:val="00B65BF7"/>
    <w:rsid w:val="00B65D96"/>
    <w:rsid w:val="00B65DB5"/>
    <w:rsid w:val="00B65E0D"/>
    <w:rsid w:val="00B6610D"/>
    <w:rsid w:val="00B661BF"/>
    <w:rsid w:val="00B66263"/>
    <w:rsid w:val="00B6627D"/>
    <w:rsid w:val="00B662B9"/>
    <w:rsid w:val="00B66478"/>
    <w:rsid w:val="00B664CF"/>
    <w:rsid w:val="00B664FD"/>
    <w:rsid w:val="00B66516"/>
    <w:rsid w:val="00B666C5"/>
    <w:rsid w:val="00B66724"/>
    <w:rsid w:val="00B66839"/>
    <w:rsid w:val="00B66862"/>
    <w:rsid w:val="00B66873"/>
    <w:rsid w:val="00B668A1"/>
    <w:rsid w:val="00B66B3E"/>
    <w:rsid w:val="00B66B8E"/>
    <w:rsid w:val="00B66D59"/>
    <w:rsid w:val="00B6702A"/>
    <w:rsid w:val="00B670CA"/>
    <w:rsid w:val="00B6718A"/>
    <w:rsid w:val="00B671EF"/>
    <w:rsid w:val="00B67264"/>
    <w:rsid w:val="00B672E7"/>
    <w:rsid w:val="00B6742E"/>
    <w:rsid w:val="00B6743B"/>
    <w:rsid w:val="00B674A4"/>
    <w:rsid w:val="00B674B6"/>
    <w:rsid w:val="00B67526"/>
    <w:rsid w:val="00B675F6"/>
    <w:rsid w:val="00B6765D"/>
    <w:rsid w:val="00B67851"/>
    <w:rsid w:val="00B67955"/>
    <w:rsid w:val="00B6797E"/>
    <w:rsid w:val="00B67999"/>
    <w:rsid w:val="00B679CF"/>
    <w:rsid w:val="00B67BB6"/>
    <w:rsid w:val="00B67C89"/>
    <w:rsid w:val="00B67CB8"/>
    <w:rsid w:val="00B67E93"/>
    <w:rsid w:val="00B7003E"/>
    <w:rsid w:val="00B700AA"/>
    <w:rsid w:val="00B70163"/>
    <w:rsid w:val="00B7017D"/>
    <w:rsid w:val="00B701A0"/>
    <w:rsid w:val="00B70243"/>
    <w:rsid w:val="00B70266"/>
    <w:rsid w:val="00B70424"/>
    <w:rsid w:val="00B70426"/>
    <w:rsid w:val="00B70428"/>
    <w:rsid w:val="00B70484"/>
    <w:rsid w:val="00B70514"/>
    <w:rsid w:val="00B707FA"/>
    <w:rsid w:val="00B7081A"/>
    <w:rsid w:val="00B7093C"/>
    <w:rsid w:val="00B70948"/>
    <w:rsid w:val="00B70959"/>
    <w:rsid w:val="00B70982"/>
    <w:rsid w:val="00B709C4"/>
    <w:rsid w:val="00B709EB"/>
    <w:rsid w:val="00B70A6D"/>
    <w:rsid w:val="00B70A6E"/>
    <w:rsid w:val="00B70B95"/>
    <w:rsid w:val="00B70CD5"/>
    <w:rsid w:val="00B70DA4"/>
    <w:rsid w:val="00B70E56"/>
    <w:rsid w:val="00B70EE3"/>
    <w:rsid w:val="00B70EF8"/>
    <w:rsid w:val="00B70F89"/>
    <w:rsid w:val="00B710C0"/>
    <w:rsid w:val="00B710C3"/>
    <w:rsid w:val="00B71157"/>
    <w:rsid w:val="00B71290"/>
    <w:rsid w:val="00B715FD"/>
    <w:rsid w:val="00B716B4"/>
    <w:rsid w:val="00B716B7"/>
    <w:rsid w:val="00B718E7"/>
    <w:rsid w:val="00B71A4F"/>
    <w:rsid w:val="00B71B12"/>
    <w:rsid w:val="00B71C9D"/>
    <w:rsid w:val="00B71D7F"/>
    <w:rsid w:val="00B71EDA"/>
    <w:rsid w:val="00B71F0C"/>
    <w:rsid w:val="00B71F8C"/>
    <w:rsid w:val="00B71FC9"/>
    <w:rsid w:val="00B71FF4"/>
    <w:rsid w:val="00B7201D"/>
    <w:rsid w:val="00B7209D"/>
    <w:rsid w:val="00B720F5"/>
    <w:rsid w:val="00B72266"/>
    <w:rsid w:val="00B723A9"/>
    <w:rsid w:val="00B723FA"/>
    <w:rsid w:val="00B7240C"/>
    <w:rsid w:val="00B724D9"/>
    <w:rsid w:val="00B72570"/>
    <w:rsid w:val="00B72594"/>
    <w:rsid w:val="00B726AE"/>
    <w:rsid w:val="00B7275B"/>
    <w:rsid w:val="00B7276B"/>
    <w:rsid w:val="00B727DA"/>
    <w:rsid w:val="00B7281D"/>
    <w:rsid w:val="00B72893"/>
    <w:rsid w:val="00B72937"/>
    <w:rsid w:val="00B72A62"/>
    <w:rsid w:val="00B72A75"/>
    <w:rsid w:val="00B72AE2"/>
    <w:rsid w:val="00B72AEA"/>
    <w:rsid w:val="00B72B76"/>
    <w:rsid w:val="00B72BA1"/>
    <w:rsid w:val="00B72C7D"/>
    <w:rsid w:val="00B72D9D"/>
    <w:rsid w:val="00B72E2A"/>
    <w:rsid w:val="00B72EB1"/>
    <w:rsid w:val="00B72F37"/>
    <w:rsid w:val="00B72FEE"/>
    <w:rsid w:val="00B73123"/>
    <w:rsid w:val="00B73139"/>
    <w:rsid w:val="00B732C2"/>
    <w:rsid w:val="00B732E1"/>
    <w:rsid w:val="00B73477"/>
    <w:rsid w:val="00B7349B"/>
    <w:rsid w:val="00B7349D"/>
    <w:rsid w:val="00B734F4"/>
    <w:rsid w:val="00B7351D"/>
    <w:rsid w:val="00B73742"/>
    <w:rsid w:val="00B7388E"/>
    <w:rsid w:val="00B7393A"/>
    <w:rsid w:val="00B73B1C"/>
    <w:rsid w:val="00B73B35"/>
    <w:rsid w:val="00B73BC4"/>
    <w:rsid w:val="00B73C83"/>
    <w:rsid w:val="00B73CEE"/>
    <w:rsid w:val="00B73E42"/>
    <w:rsid w:val="00B73F0D"/>
    <w:rsid w:val="00B73F3B"/>
    <w:rsid w:val="00B73F8A"/>
    <w:rsid w:val="00B74056"/>
    <w:rsid w:val="00B74420"/>
    <w:rsid w:val="00B744CF"/>
    <w:rsid w:val="00B74524"/>
    <w:rsid w:val="00B74544"/>
    <w:rsid w:val="00B745AE"/>
    <w:rsid w:val="00B74608"/>
    <w:rsid w:val="00B74635"/>
    <w:rsid w:val="00B746FE"/>
    <w:rsid w:val="00B74700"/>
    <w:rsid w:val="00B7480F"/>
    <w:rsid w:val="00B74913"/>
    <w:rsid w:val="00B74A20"/>
    <w:rsid w:val="00B74A67"/>
    <w:rsid w:val="00B74D3B"/>
    <w:rsid w:val="00B74E0B"/>
    <w:rsid w:val="00B74E47"/>
    <w:rsid w:val="00B74EDC"/>
    <w:rsid w:val="00B74F8E"/>
    <w:rsid w:val="00B74FAA"/>
    <w:rsid w:val="00B75064"/>
    <w:rsid w:val="00B75225"/>
    <w:rsid w:val="00B75319"/>
    <w:rsid w:val="00B755B3"/>
    <w:rsid w:val="00B756B3"/>
    <w:rsid w:val="00B756FE"/>
    <w:rsid w:val="00B757AC"/>
    <w:rsid w:val="00B7590D"/>
    <w:rsid w:val="00B75936"/>
    <w:rsid w:val="00B75A19"/>
    <w:rsid w:val="00B75ADA"/>
    <w:rsid w:val="00B75D32"/>
    <w:rsid w:val="00B75D54"/>
    <w:rsid w:val="00B75DD6"/>
    <w:rsid w:val="00B75EEB"/>
    <w:rsid w:val="00B75EFA"/>
    <w:rsid w:val="00B75EFD"/>
    <w:rsid w:val="00B7608F"/>
    <w:rsid w:val="00B760A9"/>
    <w:rsid w:val="00B76104"/>
    <w:rsid w:val="00B7614D"/>
    <w:rsid w:val="00B761FA"/>
    <w:rsid w:val="00B767E7"/>
    <w:rsid w:val="00B768E3"/>
    <w:rsid w:val="00B7698C"/>
    <w:rsid w:val="00B76A02"/>
    <w:rsid w:val="00B76AF7"/>
    <w:rsid w:val="00B76C9A"/>
    <w:rsid w:val="00B76DB2"/>
    <w:rsid w:val="00B76E16"/>
    <w:rsid w:val="00B76F56"/>
    <w:rsid w:val="00B7709C"/>
    <w:rsid w:val="00B77397"/>
    <w:rsid w:val="00B7739B"/>
    <w:rsid w:val="00B773CA"/>
    <w:rsid w:val="00B7744A"/>
    <w:rsid w:val="00B774F4"/>
    <w:rsid w:val="00B7755B"/>
    <w:rsid w:val="00B77566"/>
    <w:rsid w:val="00B775E7"/>
    <w:rsid w:val="00B7767A"/>
    <w:rsid w:val="00B777A4"/>
    <w:rsid w:val="00B77803"/>
    <w:rsid w:val="00B77873"/>
    <w:rsid w:val="00B778F3"/>
    <w:rsid w:val="00B779EA"/>
    <w:rsid w:val="00B77B1F"/>
    <w:rsid w:val="00B77C55"/>
    <w:rsid w:val="00B77CE4"/>
    <w:rsid w:val="00B77D67"/>
    <w:rsid w:val="00B77D77"/>
    <w:rsid w:val="00B77E5F"/>
    <w:rsid w:val="00B77EC5"/>
    <w:rsid w:val="00B80012"/>
    <w:rsid w:val="00B80117"/>
    <w:rsid w:val="00B8019B"/>
    <w:rsid w:val="00B801AE"/>
    <w:rsid w:val="00B801D4"/>
    <w:rsid w:val="00B80222"/>
    <w:rsid w:val="00B80324"/>
    <w:rsid w:val="00B8037B"/>
    <w:rsid w:val="00B804C4"/>
    <w:rsid w:val="00B804CE"/>
    <w:rsid w:val="00B80625"/>
    <w:rsid w:val="00B80647"/>
    <w:rsid w:val="00B8070E"/>
    <w:rsid w:val="00B8076B"/>
    <w:rsid w:val="00B80899"/>
    <w:rsid w:val="00B808ED"/>
    <w:rsid w:val="00B808FC"/>
    <w:rsid w:val="00B809A6"/>
    <w:rsid w:val="00B80B21"/>
    <w:rsid w:val="00B80B5F"/>
    <w:rsid w:val="00B80C1F"/>
    <w:rsid w:val="00B80CDE"/>
    <w:rsid w:val="00B80DF0"/>
    <w:rsid w:val="00B80E0F"/>
    <w:rsid w:val="00B80FE0"/>
    <w:rsid w:val="00B81000"/>
    <w:rsid w:val="00B81032"/>
    <w:rsid w:val="00B8106E"/>
    <w:rsid w:val="00B8109C"/>
    <w:rsid w:val="00B810CC"/>
    <w:rsid w:val="00B811A9"/>
    <w:rsid w:val="00B81258"/>
    <w:rsid w:val="00B812BE"/>
    <w:rsid w:val="00B81400"/>
    <w:rsid w:val="00B81630"/>
    <w:rsid w:val="00B8185E"/>
    <w:rsid w:val="00B819C6"/>
    <w:rsid w:val="00B81B08"/>
    <w:rsid w:val="00B81B55"/>
    <w:rsid w:val="00B81B8F"/>
    <w:rsid w:val="00B81BFC"/>
    <w:rsid w:val="00B81C7B"/>
    <w:rsid w:val="00B81D91"/>
    <w:rsid w:val="00B81E16"/>
    <w:rsid w:val="00B81EC1"/>
    <w:rsid w:val="00B81FD3"/>
    <w:rsid w:val="00B81FEC"/>
    <w:rsid w:val="00B81FF1"/>
    <w:rsid w:val="00B8207D"/>
    <w:rsid w:val="00B82399"/>
    <w:rsid w:val="00B82432"/>
    <w:rsid w:val="00B82508"/>
    <w:rsid w:val="00B82534"/>
    <w:rsid w:val="00B8270D"/>
    <w:rsid w:val="00B828EE"/>
    <w:rsid w:val="00B8295E"/>
    <w:rsid w:val="00B829EF"/>
    <w:rsid w:val="00B829FA"/>
    <w:rsid w:val="00B82A7D"/>
    <w:rsid w:val="00B82AF6"/>
    <w:rsid w:val="00B82B14"/>
    <w:rsid w:val="00B82E37"/>
    <w:rsid w:val="00B82E50"/>
    <w:rsid w:val="00B82E54"/>
    <w:rsid w:val="00B82F3D"/>
    <w:rsid w:val="00B82FB8"/>
    <w:rsid w:val="00B82FBA"/>
    <w:rsid w:val="00B82FC2"/>
    <w:rsid w:val="00B82FE4"/>
    <w:rsid w:val="00B83097"/>
    <w:rsid w:val="00B8315C"/>
    <w:rsid w:val="00B83177"/>
    <w:rsid w:val="00B831B3"/>
    <w:rsid w:val="00B8323B"/>
    <w:rsid w:val="00B832CE"/>
    <w:rsid w:val="00B832FF"/>
    <w:rsid w:val="00B83331"/>
    <w:rsid w:val="00B8341D"/>
    <w:rsid w:val="00B83499"/>
    <w:rsid w:val="00B8366B"/>
    <w:rsid w:val="00B83718"/>
    <w:rsid w:val="00B83760"/>
    <w:rsid w:val="00B83765"/>
    <w:rsid w:val="00B83943"/>
    <w:rsid w:val="00B8394E"/>
    <w:rsid w:val="00B839B6"/>
    <w:rsid w:val="00B83B00"/>
    <w:rsid w:val="00B83C06"/>
    <w:rsid w:val="00B83D8C"/>
    <w:rsid w:val="00B83DBD"/>
    <w:rsid w:val="00B83EA9"/>
    <w:rsid w:val="00B83FA6"/>
    <w:rsid w:val="00B83FCC"/>
    <w:rsid w:val="00B84022"/>
    <w:rsid w:val="00B84137"/>
    <w:rsid w:val="00B8433E"/>
    <w:rsid w:val="00B84372"/>
    <w:rsid w:val="00B843CF"/>
    <w:rsid w:val="00B843D9"/>
    <w:rsid w:val="00B844AC"/>
    <w:rsid w:val="00B84583"/>
    <w:rsid w:val="00B8469C"/>
    <w:rsid w:val="00B846FE"/>
    <w:rsid w:val="00B84797"/>
    <w:rsid w:val="00B847D4"/>
    <w:rsid w:val="00B84800"/>
    <w:rsid w:val="00B8481C"/>
    <w:rsid w:val="00B84872"/>
    <w:rsid w:val="00B848BF"/>
    <w:rsid w:val="00B84AA4"/>
    <w:rsid w:val="00B84AA8"/>
    <w:rsid w:val="00B84B56"/>
    <w:rsid w:val="00B84DFD"/>
    <w:rsid w:val="00B84EE7"/>
    <w:rsid w:val="00B84EF2"/>
    <w:rsid w:val="00B84F98"/>
    <w:rsid w:val="00B84FF6"/>
    <w:rsid w:val="00B8507B"/>
    <w:rsid w:val="00B85098"/>
    <w:rsid w:val="00B850B3"/>
    <w:rsid w:val="00B85132"/>
    <w:rsid w:val="00B85217"/>
    <w:rsid w:val="00B85228"/>
    <w:rsid w:val="00B85342"/>
    <w:rsid w:val="00B853D3"/>
    <w:rsid w:val="00B85413"/>
    <w:rsid w:val="00B856E7"/>
    <w:rsid w:val="00B85790"/>
    <w:rsid w:val="00B857AE"/>
    <w:rsid w:val="00B8582A"/>
    <w:rsid w:val="00B858F3"/>
    <w:rsid w:val="00B859B8"/>
    <w:rsid w:val="00B859DD"/>
    <w:rsid w:val="00B85AA9"/>
    <w:rsid w:val="00B85B80"/>
    <w:rsid w:val="00B85B94"/>
    <w:rsid w:val="00B85C39"/>
    <w:rsid w:val="00B85DB1"/>
    <w:rsid w:val="00B85DF8"/>
    <w:rsid w:val="00B85EC2"/>
    <w:rsid w:val="00B86066"/>
    <w:rsid w:val="00B86118"/>
    <w:rsid w:val="00B8612E"/>
    <w:rsid w:val="00B861AF"/>
    <w:rsid w:val="00B862B2"/>
    <w:rsid w:val="00B86381"/>
    <w:rsid w:val="00B86403"/>
    <w:rsid w:val="00B86482"/>
    <w:rsid w:val="00B865AD"/>
    <w:rsid w:val="00B86628"/>
    <w:rsid w:val="00B867BA"/>
    <w:rsid w:val="00B86903"/>
    <w:rsid w:val="00B869BC"/>
    <w:rsid w:val="00B869F1"/>
    <w:rsid w:val="00B86A2F"/>
    <w:rsid w:val="00B86BA3"/>
    <w:rsid w:val="00B86C20"/>
    <w:rsid w:val="00B86C60"/>
    <w:rsid w:val="00B86D42"/>
    <w:rsid w:val="00B86FAE"/>
    <w:rsid w:val="00B870D0"/>
    <w:rsid w:val="00B8727E"/>
    <w:rsid w:val="00B873FB"/>
    <w:rsid w:val="00B874D5"/>
    <w:rsid w:val="00B8757F"/>
    <w:rsid w:val="00B876F8"/>
    <w:rsid w:val="00B87767"/>
    <w:rsid w:val="00B8779E"/>
    <w:rsid w:val="00B877F2"/>
    <w:rsid w:val="00B8792B"/>
    <w:rsid w:val="00B87949"/>
    <w:rsid w:val="00B879B0"/>
    <w:rsid w:val="00B879C3"/>
    <w:rsid w:val="00B87A27"/>
    <w:rsid w:val="00B87AC0"/>
    <w:rsid w:val="00B87B7E"/>
    <w:rsid w:val="00B87C5C"/>
    <w:rsid w:val="00B87D3E"/>
    <w:rsid w:val="00B87D4D"/>
    <w:rsid w:val="00B87E14"/>
    <w:rsid w:val="00B901C0"/>
    <w:rsid w:val="00B901F1"/>
    <w:rsid w:val="00B90272"/>
    <w:rsid w:val="00B903CB"/>
    <w:rsid w:val="00B905FB"/>
    <w:rsid w:val="00B90649"/>
    <w:rsid w:val="00B90694"/>
    <w:rsid w:val="00B906CB"/>
    <w:rsid w:val="00B90723"/>
    <w:rsid w:val="00B9073F"/>
    <w:rsid w:val="00B907D9"/>
    <w:rsid w:val="00B90839"/>
    <w:rsid w:val="00B9090A"/>
    <w:rsid w:val="00B9097B"/>
    <w:rsid w:val="00B90B5F"/>
    <w:rsid w:val="00B90C2C"/>
    <w:rsid w:val="00B90CA4"/>
    <w:rsid w:val="00B90E7C"/>
    <w:rsid w:val="00B90F44"/>
    <w:rsid w:val="00B91003"/>
    <w:rsid w:val="00B91144"/>
    <w:rsid w:val="00B91170"/>
    <w:rsid w:val="00B91270"/>
    <w:rsid w:val="00B91304"/>
    <w:rsid w:val="00B913FF"/>
    <w:rsid w:val="00B9147E"/>
    <w:rsid w:val="00B91758"/>
    <w:rsid w:val="00B917A9"/>
    <w:rsid w:val="00B9185E"/>
    <w:rsid w:val="00B918AA"/>
    <w:rsid w:val="00B918B2"/>
    <w:rsid w:val="00B919A7"/>
    <w:rsid w:val="00B91BD0"/>
    <w:rsid w:val="00B91C1E"/>
    <w:rsid w:val="00B91C5A"/>
    <w:rsid w:val="00B91CF4"/>
    <w:rsid w:val="00B91D63"/>
    <w:rsid w:val="00B91D74"/>
    <w:rsid w:val="00B91D77"/>
    <w:rsid w:val="00B91DBF"/>
    <w:rsid w:val="00B91E39"/>
    <w:rsid w:val="00B91FA8"/>
    <w:rsid w:val="00B9201B"/>
    <w:rsid w:val="00B920E8"/>
    <w:rsid w:val="00B921A9"/>
    <w:rsid w:val="00B922DC"/>
    <w:rsid w:val="00B9230F"/>
    <w:rsid w:val="00B9232C"/>
    <w:rsid w:val="00B923EE"/>
    <w:rsid w:val="00B9248A"/>
    <w:rsid w:val="00B924DB"/>
    <w:rsid w:val="00B9256D"/>
    <w:rsid w:val="00B925A7"/>
    <w:rsid w:val="00B92634"/>
    <w:rsid w:val="00B927CB"/>
    <w:rsid w:val="00B928B5"/>
    <w:rsid w:val="00B92922"/>
    <w:rsid w:val="00B92976"/>
    <w:rsid w:val="00B929B3"/>
    <w:rsid w:val="00B929D6"/>
    <w:rsid w:val="00B92A73"/>
    <w:rsid w:val="00B92AAC"/>
    <w:rsid w:val="00B92B35"/>
    <w:rsid w:val="00B92D25"/>
    <w:rsid w:val="00B92D94"/>
    <w:rsid w:val="00B92E26"/>
    <w:rsid w:val="00B92E84"/>
    <w:rsid w:val="00B93023"/>
    <w:rsid w:val="00B930C9"/>
    <w:rsid w:val="00B930E1"/>
    <w:rsid w:val="00B93264"/>
    <w:rsid w:val="00B9330D"/>
    <w:rsid w:val="00B9331F"/>
    <w:rsid w:val="00B93357"/>
    <w:rsid w:val="00B934CE"/>
    <w:rsid w:val="00B93542"/>
    <w:rsid w:val="00B935A9"/>
    <w:rsid w:val="00B9365F"/>
    <w:rsid w:val="00B937BF"/>
    <w:rsid w:val="00B93819"/>
    <w:rsid w:val="00B9383C"/>
    <w:rsid w:val="00B93930"/>
    <w:rsid w:val="00B93A9F"/>
    <w:rsid w:val="00B93B82"/>
    <w:rsid w:val="00B93E5B"/>
    <w:rsid w:val="00B93EAC"/>
    <w:rsid w:val="00B93EFF"/>
    <w:rsid w:val="00B93F70"/>
    <w:rsid w:val="00B93F88"/>
    <w:rsid w:val="00B93F89"/>
    <w:rsid w:val="00B940CF"/>
    <w:rsid w:val="00B9411B"/>
    <w:rsid w:val="00B94168"/>
    <w:rsid w:val="00B94194"/>
    <w:rsid w:val="00B94252"/>
    <w:rsid w:val="00B94271"/>
    <w:rsid w:val="00B942FF"/>
    <w:rsid w:val="00B94394"/>
    <w:rsid w:val="00B943AE"/>
    <w:rsid w:val="00B94560"/>
    <w:rsid w:val="00B945A7"/>
    <w:rsid w:val="00B945A8"/>
    <w:rsid w:val="00B94630"/>
    <w:rsid w:val="00B946ED"/>
    <w:rsid w:val="00B94754"/>
    <w:rsid w:val="00B94811"/>
    <w:rsid w:val="00B948BA"/>
    <w:rsid w:val="00B94918"/>
    <w:rsid w:val="00B9491A"/>
    <w:rsid w:val="00B94A6F"/>
    <w:rsid w:val="00B94B7D"/>
    <w:rsid w:val="00B94B99"/>
    <w:rsid w:val="00B94ECE"/>
    <w:rsid w:val="00B94EDC"/>
    <w:rsid w:val="00B94F3A"/>
    <w:rsid w:val="00B95170"/>
    <w:rsid w:val="00B951CA"/>
    <w:rsid w:val="00B95416"/>
    <w:rsid w:val="00B95688"/>
    <w:rsid w:val="00B9569F"/>
    <w:rsid w:val="00B9573A"/>
    <w:rsid w:val="00B95761"/>
    <w:rsid w:val="00B95866"/>
    <w:rsid w:val="00B95878"/>
    <w:rsid w:val="00B95A86"/>
    <w:rsid w:val="00B95AF2"/>
    <w:rsid w:val="00B95BF3"/>
    <w:rsid w:val="00B95EF1"/>
    <w:rsid w:val="00B9620E"/>
    <w:rsid w:val="00B96418"/>
    <w:rsid w:val="00B96419"/>
    <w:rsid w:val="00B965EE"/>
    <w:rsid w:val="00B9687C"/>
    <w:rsid w:val="00B968D7"/>
    <w:rsid w:val="00B96A75"/>
    <w:rsid w:val="00B96B01"/>
    <w:rsid w:val="00B96C8E"/>
    <w:rsid w:val="00B96D49"/>
    <w:rsid w:val="00B96F04"/>
    <w:rsid w:val="00B97031"/>
    <w:rsid w:val="00B97118"/>
    <w:rsid w:val="00B97152"/>
    <w:rsid w:val="00B971AF"/>
    <w:rsid w:val="00B972DF"/>
    <w:rsid w:val="00B9736D"/>
    <w:rsid w:val="00B973EA"/>
    <w:rsid w:val="00B9745A"/>
    <w:rsid w:val="00B974C0"/>
    <w:rsid w:val="00B974FF"/>
    <w:rsid w:val="00B975BA"/>
    <w:rsid w:val="00B977E6"/>
    <w:rsid w:val="00B9784D"/>
    <w:rsid w:val="00B978F1"/>
    <w:rsid w:val="00B9794B"/>
    <w:rsid w:val="00B97A53"/>
    <w:rsid w:val="00B97A65"/>
    <w:rsid w:val="00B97B90"/>
    <w:rsid w:val="00B97BEA"/>
    <w:rsid w:val="00B97BEC"/>
    <w:rsid w:val="00B97DC7"/>
    <w:rsid w:val="00B97E1A"/>
    <w:rsid w:val="00B97E8B"/>
    <w:rsid w:val="00B97F93"/>
    <w:rsid w:val="00B97FC2"/>
    <w:rsid w:val="00BA00A0"/>
    <w:rsid w:val="00BA00C4"/>
    <w:rsid w:val="00BA00DD"/>
    <w:rsid w:val="00BA0240"/>
    <w:rsid w:val="00BA02D3"/>
    <w:rsid w:val="00BA0391"/>
    <w:rsid w:val="00BA03A5"/>
    <w:rsid w:val="00BA0476"/>
    <w:rsid w:val="00BA0616"/>
    <w:rsid w:val="00BA062D"/>
    <w:rsid w:val="00BA06A0"/>
    <w:rsid w:val="00BA06C3"/>
    <w:rsid w:val="00BA06F0"/>
    <w:rsid w:val="00BA07F3"/>
    <w:rsid w:val="00BA080E"/>
    <w:rsid w:val="00BA0AB7"/>
    <w:rsid w:val="00BA0B18"/>
    <w:rsid w:val="00BA0C13"/>
    <w:rsid w:val="00BA0C4D"/>
    <w:rsid w:val="00BA0DA5"/>
    <w:rsid w:val="00BA0DC1"/>
    <w:rsid w:val="00BA0F03"/>
    <w:rsid w:val="00BA1071"/>
    <w:rsid w:val="00BA10B1"/>
    <w:rsid w:val="00BA10C8"/>
    <w:rsid w:val="00BA1123"/>
    <w:rsid w:val="00BA1329"/>
    <w:rsid w:val="00BA1347"/>
    <w:rsid w:val="00BA149B"/>
    <w:rsid w:val="00BA151F"/>
    <w:rsid w:val="00BA15A1"/>
    <w:rsid w:val="00BA1613"/>
    <w:rsid w:val="00BA1632"/>
    <w:rsid w:val="00BA1640"/>
    <w:rsid w:val="00BA1646"/>
    <w:rsid w:val="00BA1AB0"/>
    <w:rsid w:val="00BA1B1B"/>
    <w:rsid w:val="00BA1BED"/>
    <w:rsid w:val="00BA1DCF"/>
    <w:rsid w:val="00BA1F85"/>
    <w:rsid w:val="00BA1FA8"/>
    <w:rsid w:val="00BA2307"/>
    <w:rsid w:val="00BA232D"/>
    <w:rsid w:val="00BA23C6"/>
    <w:rsid w:val="00BA23CC"/>
    <w:rsid w:val="00BA2428"/>
    <w:rsid w:val="00BA2483"/>
    <w:rsid w:val="00BA2492"/>
    <w:rsid w:val="00BA2497"/>
    <w:rsid w:val="00BA269E"/>
    <w:rsid w:val="00BA26F2"/>
    <w:rsid w:val="00BA27DB"/>
    <w:rsid w:val="00BA29CB"/>
    <w:rsid w:val="00BA2A86"/>
    <w:rsid w:val="00BA2C48"/>
    <w:rsid w:val="00BA2CF4"/>
    <w:rsid w:val="00BA2DE0"/>
    <w:rsid w:val="00BA2E98"/>
    <w:rsid w:val="00BA2FA5"/>
    <w:rsid w:val="00BA30FC"/>
    <w:rsid w:val="00BA31F6"/>
    <w:rsid w:val="00BA325A"/>
    <w:rsid w:val="00BA3313"/>
    <w:rsid w:val="00BA33A0"/>
    <w:rsid w:val="00BA3599"/>
    <w:rsid w:val="00BA35DD"/>
    <w:rsid w:val="00BA3637"/>
    <w:rsid w:val="00BA3646"/>
    <w:rsid w:val="00BA37BE"/>
    <w:rsid w:val="00BA37C7"/>
    <w:rsid w:val="00BA37E1"/>
    <w:rsid w:val="00BA3805"/>
    <w:rsid w:val="00BA391A"/>
    <w:rsid w:val="00BA3920"/>
    <w:rsid w:val="00BA3B1E"/>
    <w:rsid w:val="00BA3BD2"/>
    <w:rsid w:val="00BA3C0F"/>
    <w:rsid w:val="00BA3DC2"/>
    <w:rsid w:val="00BA3E52"/>
    <w:rsid w:val="00BA3E84"/>
    <w:rsid w:val="00BA3F09"/>
    <w:rsid w:val="00BA3F9B"/>
    <w:rsid w:val="00BA3FE4"/>
    <w:rsid w:val="00BA41CE"/>
    <w:rsid w:val="00BA41EE"/>
    <w:rsid w:val="00BA420C"/>
    <w:rsid w:val="00BA43CD"/>
    <w:rsid w:val="00BA43F4"/>
    <w:rsid w:val="00BA44F9"/>
    <w:rsid w:val="00BA452E"/>
    <w:rsid w:val="00BA4587"/>
    <w:rsid w:val="00BA45CA"/>
    <w:rsid w:val="00BA4637"/>
    <w:rsid w:val="00BA489C"/>
    <w:rsid w:val="00BA4B4F"/>
    <w:rsid w:val="00BA4D5E"/>
    <w:rsid w:val="00BA4DCD"/>
    <w:rsid w:val="00BA4EDF"/>
    <w:rsid w:val="00BA4F94"/>
    <w:rsid w:val="00BA500C"/>
    <w:rsid w:val="00BA501E"/>
    <w:rsid w:val="00BA5122"/>
    <w:rsid w:val="00BA534E"/>
    <w:rsid w:val="00BA5402"/>
    <w:rsid w:val="00BA55BA"/>
    <w:rsid w:val="00BA55C6"/>
    <w:rsid w:val="00BA55F9"/>
    <w:rsid w:val="00BA562A"/>
    <w:rsid w:val="00BA5671"/>
    <w:rsid w:val="00BA56A2"/>
    <w:rsid w:val="00BA5852"/>
    <w:rsid w:val="00BA585B"/>
    <w:rsid w:val="00BA5A1C"/>
    <w:rsid w:val="00BA5C57"/>
    <w:rsid w:val="00BA5EDC"/>
    <w:rsid w:val="00BA5F46"/>
    <w:rsid w:val="00BA5FA6"/>
    <w:rsid w:val="00BA6092"/>
    <w:rsid w:val="00BA60DD"/>
    <w:rsid w:val="00BA6304"/>
    <w:rsid w:val="00BA630E"/>
    <w:rsid w:val="00BA633D"/>
    <w:rsid w:val="00BA6459"/>
    <w:rsid w:val="00BA64E0"/>
    <w:rsid w:val="00BA65D9"/>
    <w:rsid w:val="00BA6633"/>
    <w:rsid w:val="00BA66B1"/>
    <w:rsid w:val="00BA66D6"/>
    <w:rsid w:val="00BA6769"/>
    <w:rsid w:val="00BA6800"/>
    <w:rsid w:val="00BA689E"/>
    <w:rsid w:val="00BA6916"/>
    <w:rsid w:val="00BA6943"/>
    <w:rsid w:val="00BA695B"/>
    <w:rsid w:val="00BA69B8"/>
    <w:rsid w:val="00BA6A4F"/>
    <w:rsid w:val="00BA6AC5"/>
    <w:rsid w:val="00BA6BFC"/>
    <w:rsid w:val="00BA6CB0"/>
    <w:rsid w:val="00BA6EC5"/>
    <w:rsid w:val="00BA6F7C"/>
    <w:rsid w:val="00BA705C"/>
    <w:rsid w:val="00BA7156"/>
    <w:rsid w:val="00BA71EC"/>
    <w:rsid w:val="00BA72EB"/>
    <w:rsid w:val="00BA74C6"/>
    <w:rsid w:val="00BA75CC"/>
    <w:rsid w:val="00BA762A"/>
    <w:rsid w:val="00BA7633"/>
    <w:rsid w:val="00BA76D4"/>
    <w:rsid w:val="00BA76EC"/>
    <w:rsid w:val="00BA779A"/>
    <w:rsid w:val="00BA77C9"/>
    <w:rsid w:val="00BA77FC"/>
    <w:rsid w:val="00BA7843"/>
    <w:rsid w:val="00BA7973"/>
    <w:rsid w:val="00BA7999"/>
    <w:rsid w:val="00BA799F"/>
    <w:rsid w:val="00BA79CE"/>
    <w:rsid w:val="00BA7A2B"/>
    <w:rsid w:val="00BA7B17"/>
    <w:rsid w:val="00BA7B32"/>
    <w:rsid w:val="00BA7B48"/>
    <w:rsid w:val="00BA7BFD"/>
    <w:rsid w:val="00BA7C43"/>
    <w:rsid w:val="00BA7CD5"/>
    <w:rsid w:val="00BA7EE6"/>
    <w:rsid w:val="00BB0018"/>
    <w:rsid w:val="00BB00D8"/>
    <w:rsid w:val="00BB01B4"/>
    <w:rsid w:val="00BB08F3"/>
    <w:rsid w:val="00BB0925"/>
    <w:rsid w:val="00BB0B12"/>
    <w:rsid w:val="00BB0BB6"/>
    <w:rsid w:val="00BB0BC5"/>
    <w:rsid w:val="00BB0CB6"/>
    <w:rsid w:val="00BB0CCB"/>
    <w:rsid w:val="00BB0D32"/>
    <w:rsid w:val="00BB0DFF"/>
    <w:rsid w:val="00BB0E53"/>
    <w:rsid w:val="00BB0F35"/>
    <w:rsid w:val="00BB1051"/>
    <w:rsid w:val="00BB10D1"/>
    <w:rsid w:val="00BB1100"/>
    <w:rsid w:val="00BB1169"/>
    <w:rsid w:val="00BB1177"/>
    <w:rsid w:val="00BB1192"/>
    <w:rsid w:val="00BB1210"/>
    <w:rsid w:val="00BB1262"/>
    <w:rsid w:val="00BB12E8"/>
    <w:rsid w:val="00BB14D0"/>
    <w:rsid w:val="00BB15D0"/>
    <w:rsid w:val="00BB17DC"/>
    <w:rsid w:val="00BB18BF"/>
    <w:rsid w:val="00BB1A16"/>
    <w:rsid w:val="00BB1A79"/>
    <w:rsid w:val="00BB1B8C"/>
    <w:rsid w:val="00BB1BF5"/>
    <w:rsid w:val="00BB1C20"/>
    <w:rsid w:val="00BB1CA0"/>
    <w:rsid w:val="00BB1DB7"/>
    <w:rsid w:val="00BB1E08"/>
    <w:rsid w:val="00BB201E"/>
    <w:rsid w:val="00BB2030"/>
    <w:rsid w:val="00BB2084"/>
    <w:rsid w:val="00BB20E2"/>
    <w:rsid w:val="00BB21F9"/>
    <w:rsid w:val="00BB230E"/>
    <w:rsid w:val="00BB2402"/>
    <w:rsid w:val="00BB2439"/>
    <w:rsid w:val="00BB2442"/>
    <w:rsid w:val="00BB24DE"/>
    <w:rsid w:val="00BB255A"/>
    <w:rsid w:val="00BB25AB"/>
    <w:rsid w:val="00BB25D9"/>
    <w:rsid w:val="00BB26A6"/>
    <w:rsid w:val="00BB27EE"/>
    <w:rsid w:val="00BB2825"/>
    <w:rsid w:val="00BB2857"/>
    <w:rsid w:val="00BB2881"/>
    <w:rsid w:val="00BB28ED"/>
    <w:rsid w:val="00BB2971"/>
    <w:rsid w:val="00BB29C2"/>
    <w:rsid w:val="00BB29FD"/>
    <w:rsid w:val="00BB2A4C"/>
    <w:rsid w:val="00BB2B5B"/>
    <w:rsid w:val="00BB2B86"/>
    <w:rsid w:val="00BB2BBB"/>
    <w:rsid w:val="00BB3090"/>
    <w:rsid w:val="00BB314C"/>
    <w:rsid w:val="00BB31F8"/>
    <w:rsid w:val="00BB3328"/>
    <w:rsid w:val="00BB335F"/>
    <w:rsid w:val="00BB3380"/>
    <w:rsid w:val="00BB33F3"/>
    <w:rsid w:val="00BB3437"/>
    <w:rsid w:val="00BB3452"/>
    <w:rsid w:val="00BB3529"/>
    <w:rsid w:val="00BB35E9"/>
    <w:rsid w:val="00BB36BA"/>
    <w:rsid w:val="00BB3712"/>
    <w:rsid w:val="00BB3776"/>
    <w:rsid w:val="00BB37B6"/>
    <w:rsid w:val="00BB3858"/>
    <w:rsid w:val="00BB393C"/>
    <w:rsid w:val="00BB39A7"/>
    <w:rsid w:val="00BB3A1A"/>
    <w:rsid w:val="00BB3B23"/>
    <w:rsid w:val="00BB3BC0"/>
    <w:rsid w:val="00BB3BC7"/>
    <w:rsid w:val="00BB3BCF"/>
    <w:rsid w:val="00BB3D0B"/>
    <w:rsid w:val="00BB3E77"/>
    <w:rsid w:val="00BB4017"/>
    <w:rsid w:val="00BB406E"/>
    <w:rsid w:val="00BB4173"/>
    <w:rsid w:val="00BB434E"/>
    <w:rsid w:val="00BB45C9"/>
    <w:rsid w:val="00BB4862"/>
    <w:rsid w:val="00BB4886"/>
    <w:rsid w:val="00BB48BD"/>
    <w:rsid w:val="00BB495B"/>
    <w:rsid w:val="00BB495F"/>
    <w:rsid w:val="00BB499F"/>
    <w:rsid w:val="00BB49C5"/>
    <w:rsid w:val="00BB49F2"/>
    <w:rsid w:val="00BB4A1C"/>
    <w:rsid w:val="00BB4A46"/>
    <w:rsid w:val="00BB4A4B"/>
    <w:rsid w:val="00BB4A60"/>
    <w:rsid w:val="00BB4B34"/>
    <w:rsid w:val="00BB4B56"/>
    <w:rsid w:val="00BB4BAE"/>
    <w:rsid w:val="00BB4C81"/>
    <w:rsid w:val="00BB4CE8"/>
    <w:rsid w:val="00BB4D2A"/>
    <w:rsid w:val="00BB4D4E"/>
    <w:rsid w:val="00BB4D82"/>
    <w:rsid w:val="00BB4DB6"/>
    <w:rsid w:val="00BB4DC9"/>
    <w:rsid w:val="00BB4DD7"/>
    <w:rsid w:val="00BB4E8F"/>
    <w:rsid w:val="00BB4EBF"/>
    <w:rsid w:val="00BB4F66"/>
    <w:rsid w:val="00BB4F9A"/>
    <w:rsid w:val="00BB503C"/>
    <w:rsid w:val="00BB5080"/>
    <w:rsid w:val="00BB5107"/>
    <w:rsid w:val="00BB514A"/>
    <w:rsid w:val="00BB5154"/>
    <w:rsid w:val="00BB531B"/>
    <w:rsid w:val="00BB53BA"/>
    <w:rsid w:val="00BB5479"/>
    <w:rsid w:val="00BB5483"/>
    <w:rsid w:val="00BB5509"/>
    <w:rsid w:val="00BB550B"/>
    <w:rsid w:val="00BB5534"/>
    <w:rsid w:val="00BB56B1"/>
    <w:rsid w:val="00BB56E0"/>
    <w:rsid w:val="00BB56E7"/>
    <w:rsid w:val="00BB5714"/>
    <w:rsid w:val="00BB5799"/>
    <w:rsid w:val="00BB5843"/>
    <w:rsid w:val="00BB59BB"/>
    <w:rsid w:val="00BB59E5"/>
    <w:rsid w:val="00BB5B35"/>
    <w:rsid w:val="00BB5D61"/>
    <w:rsid w:val="00BB5F43"/>
    <w:rsid w:val="00BB605D"/>
    <w:rsid w:val="00BB617A"/>
    <w:rsid w:val="00BB617B"/>
    <w:rsid w:val="00BB6194"/>
    <w:rsid w:val="00BB621E"/>
    <w:rsid w:val="00BB6234"/>
    <w:rsid w:val="00BB6265"/>
    <w:rsid w:val="00BB62AD"/>
    <w:rsid w:val="00BB62CF"/>
    <w:rsid w:val="00BB640B"/>
    <w:rsid w:val="00BB64E4"/>
    <w:rsid w:val="00BB6544"/>
    <w:rsid w:val="00BB6554"/>
    <w:rsid w:val="00BB65CC"/>
    <w:rsid w:val="00BB660D"/>
    <w:rsid w:val="00BB6999"/>
    <w:rsid w:val="00BB69E8"/>
    <w:rsid w:val="00BB6A9D"/>
    <w:rsid w:val="00BB6B4B"/>
    <w:rsid w:val="00BB6B90"/>
    <w:rsid w:val="00BB6BD1"/>
    <w:rsid w:val="00BB6C6A"/>
    <w:rsid w:val="00BB6D95"/>
    <w:rsid w:val="00BB6DBA"/>
    <w:rsid w:val="00BB6E5B"/>
    <w:rsid w:val="00BB6EDC"/>
    <w:rsid w:val="00BB6F64"/>
    <w:rsid w:val="00BB6FF3"/>
    <w:rsid w:val="00BB7024"/>
    <w:rsid w:val="00BB70B7"/>
    <w:rsid w:val="00BB7257"/>
    <w:rsid w:val="00BB72A2"/>
    <w:rsid w:val="00BB7329"/>
    <w:rsid w:val="00BB7388"/>
    <w:rsid w:val="00BB73E6"/>
    <w:rsid w:val="00BB7526"/>
    <w:rsid w:val="00BB7578"/>
    <w:rsid w:val="00BB75A5"/>
    <w:rsid w:val="00BB779B"/>
    <w:rsid w:val="00BB7889"/>
    <w:rsid w:val="00BB788E"/>
    <w:rsid w:val="00BB78AC"/>
    <w:rsid w:val="00BB790F"/>
    <w:rsid w:val="00BB7994"/>
    <w:rsid w:val="00BB7A16"/>
    <w:rsid w:val="00BB7B39"/>
    <w:rsid w:val="00BB7B9D"/>
    <w:rsid w:val="00BB7C0E"/>
    <w:rsid w:val="00BB7C71"/>
    <w:rsid w:val="00BB7CF4"/>
    <w:rsid w:val="00BB7DCF"/>
    <w:rsid w:val="00BB7E0E"/>
    <w:rsid w:val="00BB7E61"/>
    <w:rsid w:val="00BB7E76"/>
    <w:rsid w:val="00BC0098"/>
    <w:rsid w:val="00BC00E1"/>
    <w:rsid w:val="00BC0222"/>
    <w:rsid w:val="00BC0230"/>
    <w:rsid w:val="00BC02B0"/>
    <w:rsid w:val="00BC02C3"/>
    <w:rsid w:val="00BC0318"/>
    <w:rsid w:val="00BC0391"/>
    <w:rsid w:val="00BC03D4"/>
    <w:rsid w:val="00BC03E7"/>
    <w:rsid w:val="00BC0493"/>
    <w:rsid w:val="00BC061A"/>
    <w:rsid w:val="00BC0697"/>
    <w:rsid w:val="00BC072E"/>
    <w:rsid w:val="00BC07F9"/>
    <w:rsid w:val="00BC08ED"/>
    <w:rsid w:val="00BC08F9"/>
    <w:rsid w:val="00BC0900"/>
    <w:rsid w:val="00BC09B3"/>
    <w:rsid w:val="00BC0A89"/>
    <w:rsid w:val="00BC0B8D"/>
    <w:rsid w:val="00BC0C2A"/>
    <w:rsid w:val="00BC0D75"/>
    <w:rsid w:val="00BC0D9F"/>
    <w:rsid w:val="00BC0DF6"/>
    <w:rsid w:val="00BC0DFB"/>
    <w:rsid w:val="00BC0E51"/>
    <w:rsid w:val="00BC0F06"/>
    <w:rsid w:val="00BC0F62"/>
    <w:rsid w:val="00BC104F"/>
    <w:rsid w:val="00BC1074"/>
    <w:rsid w:val="00BC11A4"/>
    <w:rsid w:val="00BC1348"/>
    <w:rsid w:val="00BC136D"/>
    <w:rsid w:val="00BC149E"/>
    <w:rsid w:val="00BC1545"/>
    <w:rsid w:val="00BC1577"/>
    <w:rsid w:val="00BC15BF"/>
    <w:rsid w:val="00BC1673"/>
    <w:rsid w:val="00BC1846"/>
    <w:rsid w:val="00BC187B"/>
    <w:rsid w:val="00BC19B5"/>
    <w:rsid w:val="00BC19D0"/>
    <w:rsid w:val="00BC1AB8"/>
    <w:rsid w:val="00BC1B6D"/>
    <w:rsid w:val="00BC1D30"/>
    <w:rsid w:val="00BC1DB2"/>
    <w:rsid w:val="00BC1DC7"/>
    <w:rsid w:val="00BC1DEA"/>
    <w:rsid w:val="00BC1F4A"/>
    <w:rsid w:val="00BC205F"/>
    <w:rsid w:val="00BC2093"/>
    <w:rsid w:val="00BC223B"/>
    <w:rsid w:val="00BC22FC"/>
    <w:rsid w:val="00BC232E"/>
    <w:rsid w:val="00BC2392"/>
    <w:rsid w:val="00BC24A5"/>
    <w:rsid w:val="00BC24D3"/>
    <w:rsid w:val="00BC2585"/>
    <w:rsid w:val="00BC279A"/>
    <w:rsid w:val="00BC27A9"/>
    <w:rsid w:val="00BC2935"/>
    <w:rsid w:val="00BC2945"/>
    <w:rsid w:val="00BC2A64"/>
    <w:rsid w:val="00BC2C03"/>
    <w:rsid w:val="00BC2C7B"/>
    <w:rsid w:val="00BC2CE0"/>
    <w:rsid w:val="00BC2E37"/>
    <w:rsid w:val="00BC300C"/>
    <w:rsid w:val="00BC3136"/>
    <w:rsid w:val="00BC3187"/>
    <w:rsid w:val="00BC3198"/>
    <w:rsid w:val="00BC322E"/>
    <w:rsid w:val="00BC3346"/>
    <w:rsid w:val="00BC33A6"/>
    <w:rsid w:val="00BC354C"/>
    <w:rsid w:val="00BC35D1"/>
    <w:rsid w:val="00BC372A"/>
    <w:rsid w:val="00BC38A2"/>
    <w:rsid w:val="00BC38AE"/>
    <w:rsid w:val="00BC38E1"/>
    <w:rsid w:val="00BC3B2D"/>
    <w:rsid w:val="00BC3BE2"/>
    <w:rsid w:val="00BC3C08"/>
    <w:rsid w:val="00BC3C5F"/>
    <w:rsid w:val="00BC3C8D"/>
    <w:rsid w:val="00BC3D55"/>
    <w:rsid w:val="00BC3DF2"/>
    <w:rsid w:val="00BC3F49"/>
    <w:rsid w:val="00BC3F98"/>
    <w:rsid w:val="00BC400E"/>
    <w:rsid w:val="00BC4056"/>
    <w:rsid w:val="00BC40D3"/>
    <w:rsid w:val="00BC410F"/>
    <w:rsid w:val="00BC4647"/>
    <w:rsid w:val="00BC4675"/>
    <w:rsid w:val="00BC472E"/>
    <w:rsid w:val="00BC4777"/>
    <w:rsid w:val="00BC48BA"/>
    <w:rsid w:val="00BC48E7"/>
    <w:rsid w:val="00BC4A19"/>
    <w:rsid w:val="00BC4A3E"/>
    <w:rsid w:val="00BC4AA6"/>
    <w:rsid w:val="00BC4B20"/>
    <w:rsid w:val="00BC4B3A"/>
    <w:rsid w:val="00BC4FC8"/>
    <w:rsid w:val="00BC5045"/>
    <w:rsid w:val="00BC5208"/>
    <w:rsid w:val="00BC5209"/>
    <w:rsid w:val="00BC52B4"/>
    <w:rsid w:val="00BC541D"/>
    <w:rsid w:val="00BC54EF"/>
    <w:rsid w:val="00BC5544"/>
    <w:rsid w:val="00BC5645"/>
    <w:rsid w:val="00BC5741"/>
    <w:rsid w:val="00BC5775"/>
    <w:rsid w:val="00BC579B"/>
    <w:rsid w:val="00BC589F"/>
    <w:rsid w:val="00BC5917"/>
    <w:rsid w:val="00BC5A94"/>
    <w:rsid w:val="00BC5BB8"/>
    <w:rsid w:val="00BC5BDA"/>
    <w:rsid w:val="00BC5BE9"/>
    <w:rsid w:val="00BC5BF8"/>
    <w:rsid w:val="00BC5C70"/>
    <w:rsid w:val="00BC5C71"/>
    <w:rsid w:val="00BC5DDD"/>
    <w:rsid w:val="00BC5DED"/>
    <w:rsid w:val="00BC5E3B"/>
    <w:rsid w:val="00BC5EC6"/>
    <w:rsid w:val="00BC601A"/>
    <w:rsid w:val="00BC612C"/>
    <w:rsid w:val="00BC61CF"/>
    <w:rsid w:val="00BC61FA"/>
    <w:rsid w:val="00BC62B6"/>
    <w:rsid w:val="00BC6353"/>
    <w:rsid w:val="00BC6397"/>
    <w:rsid w:val="00BC6453"/>
    <w:rsid w:val="00BC660E"/>
    <w:rsid w:val="00BC661E"/>
    <w:rsid w:val="00BC665A"/>
    <w:rsid w:val="00BC6668"/>
    <w:rsid w:val="00BC672A"/>
    <w:rsid w:val="00BC68A5"/>
    <w:rsid w:val="00BC6C42"/>
    <w:rsid w:val="00BC6F12"/>
    <w:rsid w:val="00BC6F9C"/>
    <w:rsid w:val="00BC7030"/>
    <w:rsid w:val="00BC70D8"/>
    <w:rsid w:val="00BC7124"/>
    <w:rsid w:val="00BC7141"/>
    <w:rsid w:val="00BC72F5"/>
    <w:rsid w:val="00BC74D8"/>
    <w:rsid w:val="00BC75C7"/>
    <w:rsid w:val="00BC765F"/>
    <w:rsid w:val="00BC7784"/>
    <w:rsid w:val="00BC78C1"/>
    <w:rsid w:val="00BC7949"/>
    <w:rsid w:val="00BC7A0B"/>
    <w:rsid w:val="00BC7A1B"/>
    <w:rsid w:val="00BC7B69"/>
    <w:rsid w:val="00BC7BFD"/>
    <w:rsid w:val="00BC7C92"/>
    <w:rsid w:val="00BC7CDB"/>
    <w:rsid w:val="00BC7D3D"/>
    <w:rsid w:val="00BC7D8F"/>
    <w:rsid w:val="00BC7E21"/>
    <w:rsid w:val="00BC7E96"/>
    <w:rsid w:val="00BC7F3B"/>
    <w:rsid w:val="00BC7F47"/>
    <w:rsid w:val="00BC7F72"/>
    <w:rsid w:val="00BD00A9"/>
    <w:rsid w:val="00BD01CC"/>
    <w:rsid w:val="00BD0257"/>
    <w:rsid w:val="00BD028B"/>
    <w:rsid w:val="00BD0393"/>
    <w:rsid w:val="00BD03C3"/>
    <w:rsid w:val="00BD03E0"/>
    <w:rsid w:val="00BD04F7"/>
    <w:rsid w:val="00BD0512"/>
    <w:rsid w:val="00BD0514"/>
    <w:rsid w:val="00BD055F"/>
    <w:rsid w:val="00BD0775"/>
    <w:rsid w:val="00BD0776"/>
    <w:rsid w:val="00BD0869"/>
    <w:rsid w:val="00BD0AB4"/>
    <w:rsid w:val="00BD0F36"/>
    <w:rsid w:val="00BD104A"/>
    <w:rsid w:val="00BD1220"/>
    <w:rsid w:val="00BD1303"/>
    <w:rsid w:val="00BD131B"/>
    <w:rsid w:val="00BD1332"/>
    <w:rsid w:val="00BD1657"/>
    <w:rsid w:val="00BD16EA"/>
    <w:rsid w:val="00BD1765"/>
    <w:rsid w:val="00BD1B25"/>
    <w:rsid w:val="00BD1BA7"/>
    <w:rsid w:val="00BD1C6C"/>
    <w:rsid w:val="00BD1C6F"/>
    <w:rsid w:val="00BD1CB2"/>
    <w:rsid w:val="00BD1EE6"/>
    <w:rsid w:val="00BD1F1C"/>
    <w:rsid w:val="00BD20C1"/>
    <w:rsid w:val="00BD20F2"/>
    <w:rsid w:val="00BD21EF"/>
    <w:rsid w:val="00BD224B"/>
    <w:rsid w:val="00BD23DB"/>
    <w:rsid w:val="00BD23EE"/>
    <w:rsid w:val="00BD23F2"/>
    <w:rsid w:val="00BD241C"/>
    <w:rsid w:val="00BD24DD"/>
    <w:rsid w:val="00BD24F9"/>
    <w:rsid w:val="00BD2750"/>
    <w:rsid w:val="00BD2980"/>
    <w:rsid w:val="00BD2A9C"/>
    <w:rsid w:val="00BD2B45"/>
    <w:rsid w:val="00BD2B51"/>
    <w:rsid w:val="00BD2C41"/>
    <w:rsid w:val="00BD2D33"/>
    <w:rsid w:val="00BD2EB8"/>
    <w:rsid w:val="00BD3040"/>
    <w:rsid w:val="00BD3060"/>
    <w:rsid w:val="00BD31F1"/>
    <w:rsid w:val="00BD3277"/>
    <w:rsid w:val="00BD3403"/>
    <w:rsid w:val="00BD3406"/>
    <w:rsid w:val="00BD3489"/>
    <w:rsid w:val="00BD3496"/>
    <w:rsid w:val="00BD3538"/>
    <w:rsid w:val="00BD356A"/>
    <w:rsid w:val="00BD356C"/>
    <w:rsid w:val="00BD35F5"/>
    <w:rsid w:val="00BD35FC"/>
    <w:rsid w:val="00BD365D"/>
    <w:rsid w:val="00BD3711"/>
    <w:rsid w:val="00BD394C"/>
    <w:rsid w:val="00BD3AEA"/>
    <w:rsid w:val="00BD3B5B"/>
    <w:rsid w:val="00BD3BD8"/>
    <w:rsid w:val="00BD3CF0"/>
    <w:rsid w:val="00BD3D91"/>
    <w:rsid w:val="00BD3D94"/>
    <w:rsid w:val="00BD3DEF"/>
    <w:rsid w:val="00BD3E73"/>
    <w:rsid w:val="00BD3E8D"/>
    <w:rsid w:val="00BD3E9E"/>
    <w:rsid w:val="00BD3EE9"/>
    <w:rsid w:val="00BD3FAB"/>
    <w:rsid w:val="00BD42D7"/>
    <w:rsid w:val="00BD455B"/>
    <w:rsid w:val="00BD4563"/>
    <w:rsid w:val="00BD4619"/>
    <w:rsid w:val="00BD46A4"/>
    <w:rsid w:val="00BD47F5"/>
    <w:rsid w:val="00BD484C"/>
    <w:rsid w:val="00BD493E"/>
    <w:rsid w:val="00BD4B14"/>
    <w:rsid w:val="00BD4E74"/>
    <w:rsid w:val="00BD4FEB"/>
    <w:rsid w:val="00BD4FF8"/>
    <w:rsid w:val="00BD5003"/>
    <w:rsid w:val="00BD50AD"/>
    <w:rsid w:val="00BD50ED"/>
    <w:rsid w:val="00BD5151"/>
    <w:rsid w:val="00BD5187"/>
    <w:rsid w:val="00BD51DC"/>
    <w:rsid w:val="00BD52BB"/>
    <w:rsid w:val="00BD5309"/>
    <w:rsid w:val="00BD54B7"/>
    <w:rsid w:val="00BD575F"/>
    <w:rsid w:val="00BD576B"/>
    <w:rsid w:val="00BD581C"/>
    <w:rsid w:val="00BD58BA"/>
    <w:rsid w:val="00BD5BEC"/>
    <w:rsid w:val="00BD5C2C"/>
    <w:rsid w:val="00BD5C8E"/>
    <w:rsid w:val="00BD60D1"/>
    <w:rsid w:val="00BD6191"/>
    <w:rsid w:val="00BD61F0"/>
    <w:rsid w:val="00BD6236"/>
    <w:rsid w:val="00BD62C0"/>
    <w:rsid w:val="00BD631C"/>
    <w:rsid w:val="00BD6372"/>
    <w:rsid w:val="00BD64D9"/>
    <w:rsid w:val="00BD64EE"/>
    <w:rsid w:val="00BD6568"/>
    <w:rsid w:val="00BD65F0"/>
    <w:rsid w:val="00BD68DF"/>
    <w:rsid w:val="00BD68EF"/>
    <w:rsid w:val="00BD6902"/>
    <w:rsid w:val="00BD6996"/>
    <w:rsid w:val="00BD69EB"/>
    <w:rsid w:val="00BD6B3C"/>
    <w:rsid w:val="00BD6B42"/>
    <w:rsid w:val="00BD6CBC"/>
    <w:rsid w:val="00BD6CE5"/>
    <w:rsid w:val="00BD6CED"/>
    <w:rsid w:val="00BD6D19"/>
    <w:rsid w:val="00BD6DDC"/>
    <w:rsid w:val="00BD6DFF"/>
    <w:rsid w:val="00BD6EBD"/>
    <w:rsid w:val="00BD6F12"/>
    <w:rsid w:val="00BD6F22"/>
    <w:rsid w:val="00BD6F32"/>
    <w:rsid w:val="00BD6F63"/>
    <w:rsid w:val="00BD6F7D"/>
    <w:rsid w:val="00BD7099"/>
    <w:rsid w:val="00BD7401"/>
    <w:rsid w:val="00BD745E"/>
    <w:rsid w:val="00BD7470"/>
    <w:rsid w:val="00BD749A"/>
    <w:rsid w:val="00BD74D1"/>
    <w:rsid w:val="00BD75A7"/>
    <w:rsid w:val="00BD77D4"/>
    <w:rsid w:val="00BD7837"/>
    <w:rsid w:val="00BD7890"/>
    <w:rsid w:val="00BD7973"/>
    <w:rsid w:val="00BD7A31"/>
    <w:rsid w:val="00BD7BA0"/>
    <w:rsid w:val="00BD7C99"/>
    <w:rsid w:val="00BD7CD1"/>
    <w:rsid w:val="00BD7E30"/>
    <w:rsid w:val="00BD7E36"/>
    <w:rsid w:val="00BD7E5C"/>
    <w:rsid w:val="00BE009D"/>
    <w:rsid w:val="00BE00DF"/>
    <w:rsid w:val="00BE00EB"/>
    <w:rsid w:val="00BE016B"/>
    <w:rsid w:val="00BE01F9"/>
    <w:rsid w:val="00BE0207"/>
    <w:rsid w:val="00BE0228"/>
    <w:rsid w:val="00BE0232"/>
    <w:rsid w:val="00BE03A1"/>
    <w:rsid w:val="00BE0423"/>
    <w:rsid w:val="00BE0429"/>
    <w:rsid w:val="00BE044B"/>
    <w:rsid w:val="00BE048B"/>
    <w:rsid w:val="00BE0559"/>
    <w:rsid w:val="00BE05E5"/>
    <w:rsid w:val="00BE0694"/>
    <w:rsid w:val="00BE073E"/>
    <w:rsid w:val="00BE076E"/>
    <w:rsid w:val="00BE0937"/>
    <w:rsid w:val="00BE0B65"/>
    <w:rsid w:val="00BE0D4A"/>
    <w:rsid w:val="00BE0E2D"/>
    <w:rsid w:val="00BE0EE2"/>
    <w:rsid w:val="00BE0F57"/>
    <w:rsid w:val="00BE10D5"/>
    <w:rsid w:val="00BE112F"/>
    <w:rsid w:val="00BE1194"/>
    <w:rsid w:val="00BE12B7"/>
    <w:rsid w:val="00BE148D"/>
    <w:rsid w:val="00BE1552"/>
    <w:rsid w:val="00BE15A1"/>
    <w:rsid w:val="00BE1716"/>
    <w:rsid w:val="00BE1753"/>
    <w:rsid w:val="00BE1875"/>
    <w:rsid w:val="00BE187D"/>
    <w:rsid w:val="00BE1901"/>
    <w:rsid w:val="00BE197E"/>
    <w:rsid w:val="00BE1CC5"/>
    <w:rsid w:val="00BE1CDE"/>
    <w:rsid w:val="00BE1D28"/>
    <w:rsid w:val="00BE1DFC"/>
    <w:rsid w:val="00BE1E2D"/>
    <w:rsid w:val="00BE1E42"/>
    <w:rsid w:val="00BE1E64"/>
    <w:rsid w:val="00BE1F6B"/>
    <w:rsid w:val="00BE1F74"/>
    <w:rsid w:val="00BE21E5"/>
    <w:rsid w:val="00BE2286"/>
    <w:rsid w:val="00BE228B"/>
    <w:rsid w:val="00BE2351"/>
    <w:rsid w:val="00BE237A"/>
    <w:rsid w:val="00BE23A6"/>
    <w:rsid w:val="00BE23B7"/>
    <w:rsid w:val="00BE2688"/>
    <w:rsid w:val="00BE27C6"/>
    <w:rsid w:val="00BE2A13"/>
    <w:rsid w:val="00BE2AD2"/>
    <w:rsid w:val="00BE2AF5"/>
    <w:rsid w:val="00BE2B98"/>
    <w:rsid w:val="00BE2B9B"/>
    <w:rsid w:val="00BE2BF7"/>
    <w:rsid w:val="00BE2C1C"/>
    <w:rsid w:val="00BE2C26"/>
    <w:rsid w:val="00BE2CD7"/>
    <w:rsid w:val="00BE2D2C"/>
    <w:rsid w:val="00BE2ECD"/>
    <w:rsid w:val="00BE2EFC"/>
    <w:rsid w:val="00BE2F36"/>
    <w:rsid w:val="00BE317A"/>
    <w:rsid w:val="00BE3211"/>
    <w:rsid w:val="00BE3220"/>
    <w:rsid w:val="00BE3388"/>
    <w:rsid w:val="00BE3501"/>
    <w:rsid w:val="00BE36E8"/>
    <w:rsid w:val="00BE396C"/>
    <w:rsid w:val="00BE3A0E"/>
    <w:rsid w:val="00BE3A6F"/>
    <w:rsid w:val="00BE3B18"/>
    <w:rsid w:val="00BE3BA8"/>
    <w:rsid w:val="00BE3BD0"/>
    <w:rsid w:val="00BE3C58"/>
    <w:rsid w:val="00BE3D75"/>
    <w:rsid w:val="00BE3E3A"/>
    <w:rsid w:val="00BE3E85"/>
    <w:rsid w:val="00BE3F0C"/>
    <w:rsid w:val="00BE3F30"/>
    <w:rsid w:val="00BE3F8D"/>
    <w:rsid w:val="00BE3FD8"/>
    <w:rsid w:val="00BE407A"/>
    <w:rsid w:val="00BE412F"/>
    <w:rsid w:val="00BE41BB"/>
    <w:rsid w:val="00BE41C8"/>
    <w:rsid w:val="00BE4259"/>
    <w:rsid w:val="00BE432E"/>
    <w:rsid w:val="00BE43C8"/>
    <w:rsid w:val="00BE4434"/>
    <w:rsid w:val="00BE4523"/>
    <w:rsid w:val="00BE45F4"/>
    <w:rsid w:val="00BE4870"/>
    <w:rsid w:val="00BE48D0"/>
    <w:rsid w:val="00BE4959"/>
    <w:rsid w:val="00BE4A1F"/>
    <w:rsid w:val="00BE4A24"/>
    <w:rsid w:val="00BE4A46"/>
    <w:rsid w:val="00BE4A82"/>
    <w:rsid w:val="00BE4B08"/>
    <w:rsid w:val="00BE4B3E"/>
    <w:rsid w:val="00BE4D6F"/>
    <w:rsid w:val="00BE4D9C"/>
    <w:rsid w:val="00BE4DA6"/>
    <w:rsid w:val="00BE4E6C"/>
    <w:rsid w:val="00BE5034"/>
    <w:rsid w:val="00BE5087"/>
    <w:rsid w:val="00BE50EA"/>
    <w:rsid w:val="00BE5127"/>
    <w:rsid w:val="00BE5171"/>
    <w:rsid w:val="00BE51B6"/>
    <w:rsid w:val="00BE51C5"/>
    <w:rsid w:val="00BE5209"/>
    <w:rsid w:val="00BE5304"/>
    <w:rsid w:val="00BE537D"/>
    <w:rsid w:val="00BE53C7"/>
    <w:rsid w:val="00BE541A"/>
    <w:rsid w:val="00BE545F"/>
    <w:rsid w:val="00BE5494"/>
    <w:rsid w:val="00BE5552"/>
    <w:rsid w:val="00BE5694"/>
    <w:rsid w:val="00BE56D1"/>
    <w:rsid w:val="00BE5794"/>
    <w:rsid w:val="00BE5881"/>
    <w:rsid w:val="00BE5976"/>
    <w:rsid w:val="00BE59D9"/>
    <w:rsid w:val="00BE5A14"/>
    <w:rsid w:val="00BE5B68"/>
    <w:rsid w:val="00BE5BB9"/>
    <w:rsid w:val="00BE5BE1"/>
    <w:rsid w:val="00BE5C34"/>
    <w:rsid w:val="00BE5DB2"/>
    <w:rsid w:val="00BE61D2"/>
    <w:rsid w:val="00BE61D5"/>
    <w:rsid w:val="00BE62DF"/>
    <w:rsid w:val="00BE6349"/>
    <w:rsid w:val="00BE637C"/>
    <w:rsid w:val="00BE642B"/>
    <w:rsid w:val="00BE6534"/>
    <w:rsid w:val="00BE6631"/>
    <w:rsid w:val="00BE677F"/>
    <w:rsid w:val="00BE6933"/>
    <w:rsid w:val="00BE6950"/>
    <w:rsid w:val="00BE69AC"/>
    <w:rsid w:val="00BE69D5"/>
    <w:rsid w:val="00BE69FD"/>
    <w:rsid w:val="00BE6AB1"/>
    <w:rsid w:val="00BE6AE9"/>
    <w:rsid w:val="00BE6B93"/>
    <w:rsid w:val="00BE6C62"/>
    <w:rsid w:val="00BE6E25"/>
    <w:rsid w:val="00BE6E8D"/>
    <w:rsid w:val="00BE6F17"/>
    <w:rsid w:val="00BE6F4B"/>
    <w:rsid w:val="00BE7078"/>
    <w:rsid w:val="00BE70CB"/>
    <w:rsid w:val="00BE71EF"/>
    <w:rsid w:val="00BE7206"/>
    <w:rsid w:val="00BE7264"/>
    <w:rsid w:val="00BE74FB"/>
    <w:rsid w:val="00BE75DB"/>
    <w:rsid w:val="00BE75F7"/>
    <w:rsid w:val="00BE771E"/>
    <w:rsid w:val="00BE7790"/>
    <w:rsid w:val="00BE779A"/>
    <w:rsid w:val="00BE79F5"/>
    <w:rsid w:val="00BE7B96"/>
    <w:rsid w:val="00BE7BB9"/>
    <w:rsid w:val="00BE7D15"/>
    <w:rsid w:val="00BE7D95"/>
    <w:rsid w:val="00BE7DE2"/>
    <w:rsid w:val="00BE7E9F"/>
    <w:rsid w:val="00BE7ED8"/>
    <w:rsid w:val="00BE7F09"/>
    <w:rsid w:val="00BE7F40"/>
    <w:rsid w:val="00BE7FB0"/>
    <w:rsid w:val="00BF01EC"/>
    <w:rsid w:val="00BF025A"/>
    <w:rsid w:val="00BF02A6"/>
    <w:rsid w:val="00BF0319"/>
    <w:rsid w:val="00BF0386"/>
    <w:rsid w:val="00BF0423"/>
    <w:rsid w:val="00BF044A"/>
    <w:rsid w:val="00BF04E5"/>
    <w:rsid w:val="00BF04F5"/>
    <w:rsid w:val="00BF05FE"/>
    <w:rsid w:val="00BF060F"/>
    <w:rsid w:val="00BF0636"/>
    <w:rsid w:val="00BF065C"/>
    <w:rsid w:val="00BF0666"/>
    <w:rsid w:val="00BF0718"/>
    <w:rsid w:val="00BF076B"/>
    <w:rsid w:val="00BF0A25"/>
    <w:rsid w:val="00BF0A73"/>
    <w:rsid w:val="00BF0A7B"/>
    <w:rsid w:val="00BF0A9D"/>
    <w:rsid w:val="00BF0BC3"/>
    <w:rsid w:val="00BF0BD5"/>
    <w:rsid w:val="00BF0BEC"/>
    <w:rsid w:val="00BF0DAD"/>
    <w:rsid w:val="00BF0F33"/>
    <w:rsid w:val="00BF10A4"/>
    <w:rsid w:val="00BF10B1"/>
    <w:rsid w:val="00BF10FC"/>
    <w:rsid w:val="00BF136D"/>
    <w:rsid w:val="00BF1517"/>
    <w:rsid w:val="00BF16AA"/>
    <w:rsid w:val="00BF172B"/>
    <w:rsid w:val="00BF19CC"/>
    <w:rsid w:val="00BF1A35"/>
    <w:rsid w:val="00BF1B7D"/>
    <w:rsid w:val="00BF1C33"/>
    <w:rsid w:val="00BF1CE0"/>
    <w:rsid w:val="00BF1E15"/>
    <w:rsid w:val="00BF1E90"/>
    <w:rsid w:val="00BF1F70"/>
    <w:rsid w:val="00BF1FA8"/>
    <w:rsid w:val="00BF1FBC"/>
    <w:rsid w:val="00BF2037"/>
    <w:rsid w:val="00BF2073"/>
    <w:rsid w:val="00BF20C8"/>
    <w:rsid w:val="00BF20FA"/>
    <w:rsid w:val="00BF222E"/>
    <w:rsid w:val="00BF22BF"/>
    <w:rsid w:val="00BF2463"/>
    <w:rsid w:val="00BF298E"/>
    <w:rsid w:val="00BF2A15"/>
    <w:rsid w:val="00BF2A85"/>
    <w:rsid w:val="00BF2B01"/>
    <w:rsid w:val="00BF2B08"/>
    <w:rsid w:val="00BF2B65"/>
    <w:rsid w:val="00BF2C28"/>
    <w:rsid w:val="00BF2D61"/>
    <w:rsid w:val="00BF2DBB"/>
    <w:rsid w:val="00BF2E7F"/>
    <w:rsid w:val="00BF2F78"/>
    <w:rsid w:val="00BF3020"/>
    <w:rsid w:val="00BF310D"/>
    <w:rsid w:val="00BF3198"/>
    <w:rsid w:val="00BF31F2"/>
    <w:rsid w:val="00BF3261"/>
    <w:rsid w:val="00BF3423"/>
    <w:rsid w:val="00BF34F1"/>
    <w:rsid w:val="00BF34F2"/>
    <w:rsid w:val="00BF37B3"/>
    <w:rsid w:val="00BF3808"/>
    <w:rsid w:val="00BF381E"/>
    <w:rsid w:val="00BF3897"/>
    <w:rsid w:val="00BF3A15"/>
    <w:rsid w:val="00BF3B32"/>
    <w:rsid w:val="00BF3CE4"/>
    <w:rsid w:val="00BF4005"/>
    <w:rsid w:val="00BF40B5"/>
    <w:rsid w:val="00BF4143"/>
    <w:rsid w:val="00BF4306"/>
    <w:rsid w:val="00BF43D8"/>
    <w:rsid w:val="00BF44A1"/>
    <w:rsid w:val="00BF44DD"/>
    <w:rsid w:val="00BF4504"/>
    <w:rsid w:val="00BF4531"/>
    <w:rsid w:val="00BF458A"/>
    <w:rsid w:val="00BF4639"/>
    <w:rsid w:val="00BF46B3"/>
    <w:rsid w:val="00BF46C6"/>
    <w:rsid w:val="00BF4777"/>
    <w:rsid w:val="00BF4976"/>
    <w:rsid w:val="00BF49BA"/>
    <w:rsid w:val="00BF4B12"/>
    <w:rsid w:val="00BF4BFD"/>
    <w:rsid w:val="00BF4C31"/>
    <w:rsid w:val="00BF4D23"/>
    <w:rsid w:val="00BF4DC1"/>
    <w:rsid w:val="00BF4E04"/>
    <w:rsid w:val="00BF4F10"/>
    <w:rsid w:val="00BF4FC8"/>
    <w:rsid w:val="00BF505D"/>
    <w:rsid w:val="00BF52CF"/>
    <w:rsid w:val="00BF5478"/>
    <w:rsid w:val="00BF551A"/>
    <w:rsid w:val="00BF56D0"/>
    <w:rsid w:val="00BF56E2"/>
    <w:rsid w:val="00BF572A"/>
    <w:rsid w:val="00BF576C"/>
    <w:rsid w:val="00BF5775"/>
    <w:rsid w:val="00BF582B"/>
    <w:rsid w:val="00BF58B7"/>
    <w:rsid w:val="00BF58EE"/>
    <w:rsid w:val="00BF58F8"/>
    <w:rsid w:val="00BF5AA2"/>
    <w:rsid w:val="00BF5AC6"/>
    <w:rsid w:val="00BF5B16"/>
    <w:rsid w:val="00BF5B42"/>
    <w:rsid w:val="00BF5B68"/>
    <w:rsid w:val="00BF5B83"/>
    <w:rsid w:val="00BF5E7A"/>
    <w:rsid w:val="00BF5EF2"/>
    <w:rsid w:val="00BF5F45"/>
    <w:rsid w:val="00BF6044"/>
    <w:rsid w:val="00BF60C1"/>
    <w:rsid w:val="00BF6155"/>
    <w:rsid w:val="00BF6262"/>
    <w:rsid w:val="00BF62AD"/>
    <w:rsid w:val="00BF635D"/>
    <w:rsid w:val="00BF6397"/>
    <w:rsid w:val="00BF63EC"/>
    <w:rsid w:val="00BF64A7"/>
    <w:rsid w:val="00BF64E0"/>
    <w:rsid w:val="00BF65EA"/>
    <w:rsid w:val="00BF65EC"/>
    <w:rsid w:val="00BF66ED"/>
    <w:rsid w:val="00BF6709"/>
    <w:rsid w:val="00BF6723"/>
    <w:rsid w:val="00BF6787"/>
    <w:rsid w:val="00BF6803"/>
    <w:rsid w:val="00BF6877"/>
    <w:rsid w:val="00BF69A5"/>
    <w:rsid w:val="00BF6AD1"/>
    <w:rsid w:val="00BF6BDB"/>
    <w:rsid w:val="00BF6F82"/>
    <w:rsid w:val="00BF6FDE"/>
    <w:rsid w:val="00BF70B5"/>
    <w:rsid w:val="00BF70E2"/>
    <w:rsid w:val="00BF71DB"/>
    <w:rsid w:val="00BF72C1"/>
    <w:rsid w:val="00BF7396"/>
    <w:rsid w:val="00BF73D2"/>
    <w:rsid w:val="00BF7863"/>
    <w:rsid w:val="00BF7A28"/>
    <w:rsid w:val="00BF7B37"/>
    <w:rsid w:val="00BF7B7C"/>
    <w:rsid w:val="00BF7CB7"/>
    <w:rsid w:val="00BF7DD0"/>
    <w:rsid w:val="00BF7E37"/>
    <w:rsid w:val="00BF7FEC"/>
    <w:rsid w:val="00BF7FFD"/>
    <w:rsid w:val="00C000B6"/>
    <w:rsid w:val="00C00354"/>
    <w:rsid w:val="00C00371"/>
    <w:rsid w:val="00C003D9"/>
    <w:rsid w:val="00C00509"/>
    <w:rsid w:val="00C0051A"/>
    <w:rsid w:val="00C005C3"/>
    <w:rsid w:val="00C005F7"/>
    <w:rsid w:val="00C0065F"/>
    <w:rsid w:val="00C0093B"/>
    <w:rsid w:val="00C00A04"/>
    <w:rsid w:val="00C00A29"/>
    <w:rsid w:val="00C00B70"/>
    <w:rsid w:val="00C00C6E"/>
    <w:rsid w:val="00C00D6B"/>
    <w:rsid w:val="00C00DCF"/>
    <w:rsid w:val="00C00E01"/>
    <w:rsid w:val="00C00E80"/>
    <w:rsid w:val="00C00F0E"/>
    <w:rsid w:val="00C00F93"/>
    <w:rsid w:val="00C01002"/>
    <w:rsid w:val="00C01084"/>
    <w:rsid w:val="00C011AF"/>
    <w:rsid w:val="00C014BE"/>
    <w:rsid w:val="00C014F5"/>
    <w:rsid w:val="00C015CD"/>
    <w:rsid w:val="00C016D8"/>
    <w:rsid w:val="00C01744"/>
    <w:rsid w:val="00C017E1"/>
    <w:rsid w:val="00C01AA6"/>
    <w:rsid w:val="00C01AD8"/>
    <w:rsid w:val="00C01AF0"/>
    <w:rsid w:val="00C01C5B"/>
    <w:rsid w:val="00C01C8D"/>
    <w:rsid w:val="00C01DCA"/>
    <w:rsid w:val="00C01F47"/>
    <w:rsid w:val="00C01F61"/>
    <w:rsid w:val="00C01FBB"/>
    <w:rsid w:val="00C01FC8"/>
    <w:rsid w:val="00C02023"/>
    <w:rsid w:val="00C020FC"/>
    <w:rsid w:val="00C02146"/>
    <w:rsid w:val="00C0217C"/>
    <w:rsid w:val="00C02217"/>
    <w:rsid w:val="00C0222B"/>
    <w:rsid w:val="00C022C0"/>
    <w:rsid w:val="00C0235D"/>
    <w:rsid w:val="00C0237F"/>
    <w:rsid w:val="00C023B5"/>
    <w:rsid w:val="00C024A0"/>
    <w:rsid w:val="00C02638"/>
    <w:rsid w:val="00C027BD"/>
    <w:rsid w:val="00C02811"/>
    <w:rsid w:val="00C0288F"/>
    <w:rsid w:val="00C028DC"/>
    <w:rsid w:val="00C02958"/>
    <w:rsid w:val="00C02992"/>
    <w:rsid w:val="00C02A2E"/>
    <w:rsid w:val="00C02B0D"/>
    <w:rsid w:val="00C02B86"/>
    <w:rsid w:val="00C02B87"/>
    <w:rsid w:val="00C02BE9"/>
    <w:rsid w:val="00C02C64"/>
    <w:rsid w:val="00C02EBB"/>
    <w:rsid w:val="00C02F2D"/>
    <w:rsid w:val="00C02FBA"/>
    <w:rsid w:val="00C03034"/>
    <w:rsid w:val="00C032F8"/>
    <w:rsid w:val="00C0332C"/>
    <w:rsid w:val="00C03439"/>
    <w:rsid w:val="00C03462"/>
    <w:rsid w:val="00C0350E"/>
    <w:rsid w:val="00C03619"/>
    <w:rsid w:val="00C036CB"/>
    <w:rsid w:val="00C03740"/>
    <w:rsid w:val="00C0378F"/>
    <w:rsid w:val="00C037CA"/>
    <w:rsid w:val="00C037D0"/>
    <w:rsid w:val="00C03853"/>
    <w:rsid w:val="00C038FF"/>
    <w:rsid w:val="00C0397E"/>
    <w:rsid w:val="00C03B27"/>
    <w:rsid w:val="00C03B2B"/>
    <w:rsid w:val="00C03C1F"/>
    <w:rsid w:val="00C03CCC"/>
    <w:rsid w:val="00C03E7D"/>
    <w:rsid w:val="00C03ED2"/>
    <w:rsid w:val="00C03F8C"/>
    <w:rsid w:val="00C0400F"/>
    <w:rsid w:val="00C04083"/>
    <w:rsid w:val="00C04175"/>
    <w:rsid w:val="00C0430C"/>
    <w:rsid w:val="00C04354"/>
    <w:rsid w:val="00C0438E"/>
    <w:rsid w:val="00C04413"/>
    <w:rsid w:val="00C045D8"/>
    <w:rsid w:val="00C045E2"/>
    <w:rsid w:val="00C045F9"/>
    <w:rsid w:val="00C04638"/>
    <w:rsid w:val="00C046B0"/>
    <w:rsid w:val="00C04790"/>
    <w:rsid w:val="00C048A9"/>
    <w:rsid w:val="00C04911"/>
    <w:rsid w:val="00C04B91"/>
    <w:rsid w:val="00C04C21"/>
    <w:rsid w:val="00C04C2D"/>
    <w:rsid w:val="00C04C60"/>
    <w:rsid w:val="00C04DB5"/>
    <w:rsid w:val="00C04E68"/>
    <w:rsid w:val="00C04E84"/>
    <w:rsid w:val="00C05001"/>
    <w:rsid w:val="00C05057"/>
    <w:rsid w:val="00C05121"/>
    <w:rsid w:val="00C051D8"/>
    <w:rsid w:val="00C05249"/>
    <w:rsid w:val="00C05450"/>
    <w:rsid w:val="00C054BD"/>
    <w:rsid w:val="00C0560D"/>
    <w:rsid w:val="00C0572E"/>
    <w:rsid w:val="00C0587A"/>
    <w:rsid w:val="00C05952"/>
    <w:rsid w:val="00C059C7"/>
    <w:rsid w:val="00C05ACD"/>
    <w:rsid w:val="00C05AE0"/>
    <w:rsid w:val="00C05B5C"/>
    <w:rsid w:val="00C05C1C"/>
    <w:rsid w:val="00C05C26"/>
    <w:rsid w:val="00C05CD5"/>
    <w:rsid w:val="00C05D4B"/>
    <w:rsid w:val="00C05DFC"/>
    <w:rsid w:val="00C0609E"/>
    <w:rsid w:val="00C0626B"/>
    <w:rsid w:val="00C062F5"/>
    <w:rsid w:val="00C0636D"/>
    <w:rsid w:val="00C063E0"/>
    <w:rsid w:val="00C06609"/>
    <w:rsid w:val="00C066BC"/>
    <w:rsid w:val="00C0676C"/>
    <w:rsid w:val="00C0680C"/>
    <w:rsid w:val="00C068F8"/>
    <w:rsid w:val="00C0693F"/>
    <w:rsid w:val="00C06A25"/>
    <w:rsid w:val="00C06FB9"/>
    <w:rsid w:val="00C07111"/>
    <w:rsid w:val="00C07241"/>
    <w:rsid w:val="00C072E7"/>
    <w:rsid w:val="00C0741D"/>
    <w:rsid w:val="00C0745E"/>
    <w:rsid w:val="00C07493"/>
    <w:rsid w:val="00C075EA"/>
    <w:rsid w:val="00C0769E"/>
    <w:rsid w:val="00C077D5"/>
    <w:rsid w:val="00C077E1"/>
    <w:rsid w:val="00C07857"/>
    <w:rsid w:val="00C07962"/>
    <w:rsid w:val="00C079A6"/>
    <w:rsid w:val="00C07D38"/>
    <w:rsid w:val="00C07D43"/>
    <w:rsid w:val="00C07D79"/>
    <w:rsid w:val="00C07DE6"/>
    <w:rsid w:val="00C07DFB"/>
    <w:rsid w:val="00C1007C"/>
    <w:rsid w:val="00C100B9"/>
    <w:rsid w:val="00C10154"/>
    <w:rsid w:val="00C101DE"/>
    <w:rsid w:val="00C1027D"/>
    <w:rsid w:val="00C10422"/>
    <w:rsid w:val="00C10581"/>
    <w:rsid w:val="00C105DB"/>
    <w:rsid w:val="00C10692"/>
    <w:rsid w:val="00C1075F"/>
    <w:rsid w:val="00C107EF"/>
    <w:rsid w:val="00C10920"/>
    <w:rsid w:val="00C10922"/>
    <w:rsid w:val="00C10954"/>
    <w:rsid w:val="00C109C7"/>
    <w:rsid w:val="00C10A06"/>
    <w:rsid w:val="00C10C37"/>
    <w:rsid w:val="00C10C57"/>
    <w:rsid w:val="00C10D07"/>
    <w:rsid w:val="00C10E1A"/>
    <w:rsid w:val="00C10E28"/>
    <w:rsid w:val="00C10E87"/>
    <w:rsid w:val="00C10EBF"/>
    <w:rsid w:val="00C10EE7"/>
    <w:rsid w:val="00C1100E"/>
    <w:rsid w:val="00C11146"/>
    <w:rsid w:val="00C1134A"/>
    <w:rsid w:val="00C1134D"/>
    <w:rsid w:val="00C113F7"/>
    <w:rsid w:val="00C1146C"/>
    <w:rsid w:val="00C1148F"/>
    <w:rsid w:val="00C11619"/>
    <w:rsid w:val="00C116AD"/>
    <w:rsid w:val="00C11762"/>
    <w:rsid w:val="00C11804"/>
    <w:rsid w:val="00C11835"/>
    <w:rsid w:val="00C1188A"/>
    <w:rsid w:val="00C11966"/>
    <w:rsid w:val="00C11B1F"/>
    <w:rsid w:val="00C11C74"/>
    <w:rsid w:val="00C11D58"/>
    <w:rsid w:val="00C11F3F"/>
    <w:rsid w:val="00C11F81"/>
    <w:rsid w:val="00C1217E"/>
    <w:rsid w:val="00C12210"/>
    <w:rsid w:val="00C1228D"/>
    <w:rsid w:val="00C12381"/>
    <w:rsid w:val="00C1254B"/>
    <w:rsid w:val="00C1256A"/>
    <w:rsid w:val="00C125D7"/>
    <w:rsid w:val="00C1263C"/>
    <w:rsid w:val="00C12642"/>
    <w:rsid w:val="00C126C8"/>
    <w:rsid w:val="00C12719"/>
    <w:rsid w:val="00C128D2"/>
    <w:rsid w:val="00C12920"/>
    <w:rsid w:val="00C129E8"/>
    <w:rsid w:val="00C12ACC"/>
    <w:rsid w:val="00C12B8C"/>
    <w:rsid w:val="00C12D12"/>
    <w:rsid w:val="00C12DA5"/>
    <w:rsid w:val="00C12E8D"/>
    <w:rsid w:val="00C12FFC"/>
    <w:rsid w:val="00C1312F"/>
    <w:rsid w:val="00C1315B"/>
    <w:rsid w:val="00C13254"/>
    <w:rsid w:val="00C134F8"/>
    <w:rsid w:val="00C136D4"/>
    <w:rsid w:val="00C13712"/>
    <w:rsid w:val="00C13793"/>
    <w:rsid w:val="00C137D9"/>
    <w:rsid w:val="00C137F6"/>
    <w:rsid w:val="00C1398D"/>
    <w:rsid w:val="00C13AC6"/>
    <w:rsid w:val="00C13B0A"/>
    <w:rsid w:val="00C13D67"/>
    <w:rsid w:val="00C13D9B"/>
    <w:rsid w:val="00C13D9C"/>
    <w:rsid w:val="00C13E17"/>
    <w:rsid w:val="00C13E25"/>
    <w:rsid w:val="00C13E61"/>
    <w:rsid w:val="00C1403A"/>
    <w:rsid w:val="00C140B0"/>
    <w:rsid w:val="00C14115"/>
    <w:rsid w:val="00C14183"/>
    <w:rsid w:val="00C14299"/>
    <w:rsid w:val="00C1429F"/>
    <w:rsid w:val="00C142E4"/>
    <w:rsid w:val="00C14331"/>
    <w:rsid w:val="00C1453B"/>
    <w:rsid w:val="00C147FA"/>
    <w:rsid w:val="00C148E7"/>
    <w:rsid w:val="00C14951"/>
    <w:rsid w:val="00C14C24"/>
    <w:rsid w:val="00C14D1C"/>
    <w:rsid w:val="00C14E61"/>
    <w:rsid w:val="00C14E8B"/>
    <w:rsid w:val="00C14EEC"/>
    <w:rsid w:val="00C14F67"/>
    <w:rsid w:val="00C14FA1"/>
    <w:rsid w:val="00C15045"/>
    <w:rsid w:val="00C150D9"/>
    <w:rsid w:val="00C15129"/>
    <w:rsid w:val="00C15208"/>
    <w:rsid w:val="00C1520C"/>
    <w:rsid w:val="00C15322"/>
    <w:rsid w:val="00C15467"/>
    <w:rsid w:val="00C154BB"/>
    <w:rsid w:val="00C154C8"/>
    <w:rsid w:val="00C154E3"/>
    <w:rsid w:val="00C1555C"/>
    <w:rsid w:val="00C15564"/>
    <w:rsid w:val="00C15576"/>
    <w:rsid w:val="00C1567A"/>
    <w:rsid w:val="00C1569A"/>
    <w:rsid w:val="00C156E5"/>
    <w:rsid w:val="00C15859"/>
    <w:rsid w:val="00C158B4"/>
    <w:rsid w:val="00C159EF"/>
    <w:rsid w:val="00C159F0"/>
    <w:rsid w:val="00C15D9F"/>
    <w:rsid w:val="00C15E16"/>
    <w:rsid w:val="00C15E38"/>
    <w:rsid w:val="00C15F4E"/>
    <w:rsid w:val="00C15FD5"/>
    <w:rsid w:val="00C15FF0"/>
    <w:rsid w:val="00C1606E"/>
    <w:rsid w:val="00C160D7"/>
    <w:rsid w:val="00C16113"/>
    <w:rsid w:val="00C161F8"/>
    <w:rsid w:val="00C1638C"/>
    <w:rsid w:val="00C1639D"/>
    <w:rsid w:val="00C16447"/>
    <w:rsid w:val="00C165E8"/>
    <w:rsid w:val="00C16649"/>
    <w:rsid w:val="00C16662"/>
    <w:rsid w:val="00C1669A"/>
    <w:rsid w:val="00C166B7"/>
    <w:rsid w:val="00C167EB"/>
    <w:rsid w:val="00C16856"/>
    <w:rsid w:val="00C16902"/>
    <w:rsid w:val="00C169EB"/>
    <w:rsid w:val="00C16B3A"/>
    <w:rsid w:val="00C16B84"/>
    <w:rsid w:val="00C16BAD"/>
    <w:rsid w:val="00C16BED"/>
    <w:rsid w:val="00C16C30"/>
    <w:rsid w:val="00C16C62"/>
    <w:rsid w:val="00C16D2F"/>
    <w:rsid w:val="00C16D50"/>
    <w:rsid w:val="00C16D86"/>
    <w:rsid w:val="00C16D95"/>
    <w:rsid w:val="00C16E13"/>
    <w:rsid w:val="00C16E65"/>
    <w:rsid w:val="00C16E71"/>
    <w:rsid w:val="00C16E94"/>
    <w:rsid w:val="00C16F02"/>
    <w:rsid w:val="00C16F20"/>
    <w:rsid w:val="00C16F2C"/>
    <w:rsid w:val="00C172C2"/>
    <w:rsid w:val="00C1739E"/>
    <w:rsid w:val="00C174B9"/>
    <w:rsid w:val="00C175B7"/>
    <w:rsid w:val="00C1769D"/>
    <w:rsid w:val="00C17702"/>
    <w:rsid w:val="00C177B2"/>
    <w:rsid w:val="00C177DE"/>
    <w:rsid w:val="00C17912"/>
    <w:rsid w:val="00C179CC"/>
    <w:rsid w:val="00C17A94"/>
    <w:rsid w:val="00C17C20"/>
    <w:rsid w:val="00C17C26"/>
    <w:rsid w:val="00C17C6D"/>
    <w:rsid w:val="00C17C75"/>
    <w:rsid w:val="00C17CD3"/>
    <w:rsid w:val="00C17CDD"/>
    <w:rsid w:val="00C17D3A"/>
    <w:rsid w:val="00C17DA5"/>
    <w:rsid w:val="00C17F1D"/>
    <w:rsid w:val="00C2004D"/>
    <w:rsid w:val="00C20110"/>
    <w:rsid w:val="00C2019E"/>
    <w:rsid w:val="00C2025A"/>
    <w:rsid w:val="00C20382"/>
    <w:rsid w:val="00C20406"/>
    <w:rsid w:val="00C20625"/>
    <w:rsid w:val="00C20655"/>
    <w:rsid w:val="00C206A4"/>
    <w:rsid w:val="00C208EE"/>
    <w:rsid w:val="00C20B56"/>
    <w:rsid w:val="00C20B80"/>
    <w:rsid w:val="00C20BB5"/>
    <w:rsid w:val="00C20E3C"/>
    <w:rsid w:val="00C20EF3"/>
    <w:rsid w:val="00C20F3A"/>
    <w:rsid w:val="00C20F94"/>
    <w:rsid w:val="00C21032"/>
    <w:rsid w:val="00C21093"/>
    <w:rsid w:val="00C210E0"/>
    <w:rsid w:val="00C210F0"/>
    <w:rsid w:val="00C2131C"/>
    <w:rsid w:val="00C214BF"/>
    <w:rsid w:val="00C21735"/>
    <w:rsid w:val="00C21736"/>
    <w:rsid w:val="00C21902"/>
    <w:rsid w:val="00C21BA7"/>
    <w:rsid w:val="00C21BB7"/>
    <w:rsid w:val="00C21CE4"/>
    <w:rsid w:val="00C21D29"/>
    <w:rsid w:val="00C21D54"/>
    <w:rsid w:val="00C21DD8"/>
    <w:rsid w:val="00C21DFF"/>
    <w:rsid w:val="00C21F6B"/>
    <w:rsid w:val="00C2200B"/>
    <w:rsid w:val="00C22099"/>
    <w:rsid w:val="00C221D1"/>
    <w:rsid w:val="00C22234"/>
    <w:rsid w:val="00C2225D"/>
    <w:rsid w:val="00C22408"/>
    <w:rsid w:val="00C2248A"/>
    <w:rsid w:val="00C224C7"/>
    <w:rsid w:val="00C225D4"/>
    <w:rsid w:val="00C225F5"/>
    <w:rsid w:val="00C2272D"/>
    <w:rsid w:val="00C227C9"/>
    <w:rsid w:val="00C22802"/>
    <w:rsid w:val="00C22836"/>
    <w:rsid w:val="00C22875"/>
    <w:rsid w:val="00C22926"/>
    <w:rsid w:val="00C2296E"/>
    <w:rsid w:val="00C229CF"/>
    <w:rsid w:val="00C22B6A"/>
    <w:rsid w:val="00C22B7D"/>
    <w:rsid w:val="00C22BC5"/>
    <w:rsid w:val="00C22D5F"/>
    <w:rsid w:val="00C22FBB"/>
    <w:rsid w:val="00C2300A"/>
    <w:rsid w:val="00C23041"/>
    <w:rsid w:val="00C2304B"/>
    <w:rsid w:val="00C23084"/>
    <w:rsid w:val="00C23107"/>
    <w:rsid w:val="00C231AA"/>
    <w:rsid w:val="00C231F8"/>
    <w:rsid w:val="00C2328A"/>
    <w:rsid w:val="00C233A1"/>
    <w:rsid w:val="00C233BE"/>
    <w:rsid w:val="00C233D9"/>
    <w:rsid w:val="00C23448"/>
    <w:rsid w:val="00C234A4"/>
    <w:rsid w:val="00C23599"/>
    <w:rsid w:val="00C235AE"/>
    <w:rsid w:val="00C23645"/>
    <w:rsid w:val="00C2365B"/>
    <w:rsid w:val="00C236E5"/>
    <w:rsid w:val="00C23809"/>
    <w:rsid w:val="00C23869"/>
    <w:rsid w:val="00C23939"/>
    <w:rsid w:val="00C2394D"/>
    <w:rsid w:val="00C23955"/>
    <w:rsid w:val="00C239B1"/>
    <w:rsid w:val="00C239EC"/>
    <w:rsid w:val="00C23A87"/>
    <w:rsid w:val="00C23AA3"/>
    <w:rsid w:val="00C23AEF"/>
    <w:rsid w:val="00C23B0C"/>
    <w:rsid w:val="00C23B54"/>
    <w:rsid w:val="00C23BED"/>
    <w:rsid w:val="00C23D21"/>
    <w:rsid w:val="00C23E6D"/>
    <w:rsid w:val="00C23E7D"/>
    <w:rsid w:val="00C23F23"/>
    <w:rsid w:val="00C23F43"/>
    <w:rsid w:val="00C23F44"/>
    <w:rsid w:val="00C23FB6"/>
    <w:rsid w:val="00C24096"/>
    <w:rsid w:val="00C240D3"/>
    <w:rsid w:val="00C24269"/>
    <w:rsid w:val="00C2446D"/>
    <w:rsid w:val="00C24530"/>
    <w:rsid w:val="00C2456A"/>
    <w:rsid w:val="00C24585"/>
    <w:rsid w:val="00C245C8"/>
    <w:rsid w:val="00C246E0"/>
    <w:rsid w:val="00C246E1"/>
    <w:rsid w:val="00C24745"/>
    <w:rsid w:val="00C248B2"/>
    <w:rsid w:val="00C24906"/>
    <w:rsid w:val="00C249C4"/>
    <w:rsid w:val="00C249EA"/>
    <w:rsid w:val="00C24AA0"/>
    <w:rsid w:val="00C24AF3"/>
    <w:rsid w:val="00C24B20"/>
    <w:rsid w:val="00C24B81"/>
    <w:rsid w:val="00C24BA0"/>
    <w:rsid w:val="00C24C98"/>
    <w:rsid w:val="00C24CDF"/>
    <w:rsid w:val="00C24D4B"/>
    <w:rsid w:val="00C24DA9"/>
    <w:rsid w:val="00C24E28"/>
    <w:rsid w:val="00C24E3C"/>
    <w:rsid w:val="00C24E9A"/>
    <w:rsid w:val="00C24EB1"/>
    <w:rsid w:val="00C2519E"/>
    <w:rsid w:val="00C25237"/>
    <w:rsid w:val="00C25292"/>
    <w:rsid w:val="00C252D4"/>
    <w:rsid w:val="00C2531B"/>
    <w:rsid w:val="00C25396"/>
    <w:rsid w:val="00C25476"/>
    <w:rsid w:val="00C254B7"/>
    <w:rsid w:val="00C25547"/>
    <w:rsid w:val="00C2572D"/>
    <w:rsid w:val="00C259BC"/>
    <w:rsid w:val="00C25AB0"/>
    <w:rsid w:val="00C25AF3"/>
    <w:rsid w:val="00C25B24"/>
    <w:rsid w:val="00C25D15"/>
    <w:rsid w:val="00C25D45"/>
    <w:rsid w:val="00C25DD4"/>
    <w:rsid w:val="00C261D4"/>
    <w:rsid w:val="00C263BC"/>
    <w:rsid w:val="00C263DC"/>
    <w:rsid w:val="00C26460"/>
    <w:rsid w:val="00C264D3"/>
    <w:rsid w:val="00C26554"/>
    <w:rsid w:val="00C265C5"/>
    <w:rsid w:val="00C2666A"/>
    <w:rsid w:val="00C2666C"/>
    <w:rsid w:val="00C26794"/>
    <w:rsid w:val="00C26898"/>
    <w:rsid w:val="00C268A4"/>
    <w:rsid w:val="00C268C7"/>
    <w:rsid w:val="00C26907"/>
    <w:rsid w:val="00C26AD2"/>
    <w:rsid w:val="00C26C6C"/>
    <w:rsid w:val="00C26EE9"/>
    <w:rsid w:val="00C26EF7"/>
    <w:rsid w:val="00C26F26"/>
    <w:rsid w:val="00C26F4E"/>
    <w:rsid w:val="00C26FAA"/>
    <w:rsid w:val="00C27102"/>
    <w:rsid w:val="00C27332"/>
    <w:rsid w:val="00C274A5"/>
    <w:rsid w:val="00C27517"/>
    <w:rsid w:val="00C27593"/>
    <w:rsid w:val="00C2759B"/>
    <w:rsid w:val="00C275D3"/>
    <w:rsid w:val="00C275EF"/>
    <w:rsid w:val="00C27620"/>
    <w:rsid w:val="00C27682"/>
    <w:rsid w:val="00C27A2E"/>
    <w:rsid w:val="00C27A6D"/>
    <w:rsid w:val="00C27A74"/>
    <w:rsid w:val="00C27B43"/>
    <w:rsid w:val="00C27CB5"/>
    <w:rsid w:val="00C27D5D"/>
    <w:rsid w:val="00C27DD1"/>
    <w:rsid w:val="00C27E83"/>
    <w:rsid w:val="00C27EC7"/>
    <w:rsid w:val="00C27F70"/>
    <w:rsid w:val="00C3021C"/>
    <w:rsid w:val="00C30281"/>
    <w:rsid w:val="00C302AA"/>
    <w:rsid w:val="00C302AD"/>
    <w:rsid w:val="00C302CF"/>
    <w:rsid w:val="00C30386"/>
    <w:rsid w:val="00C303E1"/>
    <w:rsid w:val="00C3048E"/>
    <w:rsid w:val="00C304E5"/>
    <w:rsid w:val="00C305BE"/>
    <w:rsid w:val="00C307D4"/>
    <w:rsid w:val="00C30825"/>
    <w:rsid w:val="00C30830"/>
    <w:rsid w:val="00C309E4"/>
    <w:rsid w:val="00C30DA1"/>
    <w:rsid w:val="00C30DFE"/>
    <w:rsid w:val="00C30E03"/>
    <w:rsid w:val="00C30E63"/>
    <w:rsid w:val="00C30E9B"/>
    <w:rsid w:val="00C30F26"/>
    <w:rsid w:val="00C30F6E"/>
    <w:rsid w:val="00C30FF3"/>
    <w:rsid w:val="00C3108A"/>
    <w:rsid w:val="00C31261"/>
    <w:rsid w:val="00C3127C"/>
    <w:rsid w:val="00C3135A"/>
    <w:rsid w:val="00C31370"/>
    <w:rsid w:val="00C313E7"/>
    <w:rsid w:val="00C314C7"/>
    <w:rsid w:val="00C3155B"/>
    <w:rsid w:val="00C315F0"/>
    <w:rsid w:val="00C31692"/>
    <w:rsid w:val="00C3171E"/>
    <w:rsid w:val="00C31776"/>
    <w:rsid w:val="00C3178E"/>
    <w:rsid w:val="00C3187E"/>
    <w:rsid w:val="00C31B27"/>
    <w:rsid w:val="00C31C9D"/>
    <w:rsid w:val="00C31E59"/>
    <w:rsid w:val="00C31E60"/>
    <w:rsid w:val="00C31EE1"/>
    <w:rsid w:val="00C31FC2"/>
    <w:rsid w:val="00C322F1"/>
    <w:rsid w:val="00C323FC"/>
    <w:rsid w:val="00C32448"/>
    <w:rsid w:val="00C3246B"/>
    <w:rsid w:val="00C32582"/>
    <w:rsid w:val="00C325D2"/>
    <w:rsid w:val="00C32712"/>
    <w:rsid w:val="00C3276B"/>
    <w:rsid w:val="00C32783"/>
    <w:rsid w:val="00C327B7"/>
    <w:rsid w:val="00C32866"/>
    <w:rsid w:val="00C32878"/>
    <w:rsid w:val="00C32920"/>
    <w:rsid w:val="00C32A26"/>
    <w:rsid w:val="00C32A9C"/>
    <w:rsid w:val="00C32B7F"/>
    <w:rsid w:val="00C32C25"/>
    <w:rsid w:val="00C32CC3"/>
    <w:rsid w:val="00C32E9B"/>
    <w:rsid w:val="00C33053"/>
    <w:rsid w:val="00C331D6"/>
    <w:rsid w:val="00C332EF"/>
    <w:rsid w:val="00C333F4"/>
    <w:rsid w:val="00C33509"/>
    <w:rsid w:val="00C335AE"/>
    <w:rsid w:val="00C335B8"/>
    <w:rsid w:val="00C335C4"/>
    <w:rsid w:val="00C335DD"/>
    <w:rsid w:val="00C33695"/>
    <w:rsid w:val="00C336E3"/>
    <w:rsid w:val="00C33956"/>
    <w:rsid w:val="00C33A01"/>
    <w:rsid w:val="00C33BC8"/>
    <w:rsid w:val="00C33C23"/>
    <w:rsid w:val="00C33C66"/>
    <w:rsid w:val="00C33CC8"/>
    <w:rsid w:val="00C33CEE"/>
    <w:rsid w:val="00C33D8E"/>
    <w:rsid w:val="00C33F36"/>
    <w:rsid w:val="00C33F64"/>
    <w:rsid w:val="00C33FF5"/>
    <w:rsid w:val="00C34093"/>
    <w:rsid w:val="00C340B0"/>
    <w:rsid w:val="00C34168"/>
    <w:rsid w:val="00C34169"/>
    <w:rsid w:val="00C341A9"/>
    <w:rsid w:val="00C341B8"/>
    <w:rsid w:val="00C34238"/>
    <w:rsid w:val="00C34275"/>
    <w:rsid w:val="00C34323"/>
    <w:rsid w:val="00C3436C"/>
    <w:rsid w:val="00C344E7"/>
    <w:rsid w:val="00C34762"/>
    <w:rsid w:val="00C348ED"/>
    <w:rsid w:val="00C34941"/>
    <w:rsid w:val="00C349F6"/>
    <w:rsid w:val="00C34C25"/>
    <w:rsid w:val="00C34C57"/>
    <w:rsid w:val="00C34C62"/>
    <w:rsid w:val="00C34D1E"/>
    <w:rsid w:val="00C34DFD"/>
    <w:rsid w:val="00C34E8B"/>
    <w:rsid w:val="00C34EBB"/>
    <w:rsid w:val="00C34F1A"/>
    <w:rsid w:val="00C35014"/>
    <w:rsid w:val="00C35410"/>
    <w:rsid w:val="00C3546E"/>
    <w:rsid w:val="00C35497"/>
    <w:rsid w:val="00C35503"/>
    <w:rsid w:val="00C35813"/>
    <w:rsid w:val="00C35846"/>
    <w:rsid w:val="00C3585C"/>
    <w:rsid w:val="00C35BAE"/>
    <w:rsid w:val="00C35D9A"/>
    <w:rsid w:val="00C35DF9"/>
    <w:rsid w:val="00C35F94"/>
    <w:rsid w:val="00C3604C"/>
    <w:rsid w:val="00C3609A"/>
    <w:rsid w:val="00C36139"/>
    <w:rsid w:val="00C36153"/>
    <w:rsid w:val="00C361CD"/>
    <w:rsid w:val="00C3623D"/>
    <w:rsid w:val="00C3633A"/>
    <w:rsid w:val="00C3635A"/>
    <w:rsid w:val="00C3641C"/>
    <w:rsid w:val="00C3662C"/>
    <w:rsid w:val="00C36633"/>
    <w:rsid w:val="00C3666D"/>
    <w:rsid w:val="00C366D8"/>
    <w:rsid w:val="00C366E2"/>
    <w:rsid w:val="00C36795"/>
    <w:rsid w:val="00C367D5"/>
    <w:rsid w:val="00C36835"/>
    <w:rsid w:val="00C368B1"/>
    <w:rsid w:val="00C36920"/>
    <w:rsid w:val="00C369A1"/>
    <w:rsid w:val="00C369AC"/>
    <w:rsid w:val="00C36B7C"/>
    <w:rsid w:val="00C36B8B"/>
    <w:rsid w:val="00C36C18"/>
    <w:rsid w:val="00C36C31"/>
    <w:rsid w:val="00C36D13"/>
    <w:rsid w:val="00C36D54"/>
    <w:rsid w:val="00C36DBD"/>
    <w:rsid w:val="00C36DED"/>
    <w:rsid w:val="00C36FDC"/>
    <w:rsid w:val="00C3703B"/>
    <w:rsid w:val="00C371C7"/>
    <w:rsid w:val="00C3723F"/>
    <w:rsid w:val="00C37247"/>
    <w:rsid w:val="00C3730A"/>
    <w:rsid w:val="00C3739C"/>
    <w:rsid w:val="00C37409"/>
    <w:rsid w:val="00C3741B"/>
    <w:rsid w:val="00C37477"/>
    <w:rsid w:val="00C376A6"/>
    <w:rsid w:val="00C376C6"/>
    <w:rsid w:val="00C37985"/>
    <w:rsid w:val="00C37B63"/>
    <w:rsid w:val="00C37B8B"/>
    <w:rsid w:val="00C37D3B"/>
    <w:rsid w:val="00C401E5"/>
    <w:rsid w:val="00C4046D"/>
    <w:rsid w:val="00C4049C"/>
    <w:rsid w:val="00C406A8"/>
    <w:rsid w:val="00C407CC"/>
    <w:rsid w:val="00C407DA"/>
    <w:rsid w:val="00C407E5"/>
    <w:rsid w:val="00C4086A"/>
    <w:rsid w:val="00C408E0"/>
    <w:rsid w:val="00C40988"/>
    <w:rsid w:val="00C409CA"/>
    <w:rsid w:val="00C409E7"/>
    <w:rsid w:val="00C40A9B"/>
    <w:rsid w:val="00C40ABE"/>
    <w:rsid w:val="00C40B76"/>
    <w:rsid w:val="00C40B7C"/>
    <w:rsid w:val="00C40C1D"/>
    <w:rsid w:val="00C40CC7"/>
    <w:rsid w:val="00C40CDF"/>
    <w:rsid w:val="00C40E2C"/>
    <w:rsid w:val="00C40EAD"/>
    <w:rsid w:val="00C40EB7"/>
    <w:rsid w:val="00C40F89"/>
    <w:rsid w:val="00C4103E"/>
    <w:rsid w:val="00C41078"/>
    <w:rsid w:val="00C41135"/>
    <w:rsid w:val="00C41149"/>
    <w:rsid w:val="00C411A3"/>
    <w:rsid w:val="00C411F2"/>
    <w:rsid w:val="00C41217"/>
    <w:rsid w:val="00C41341"/>
    <w:rsid w:val="00C41369"/>
    <w:rsid w:val="00C4139E"/>
    <w:rsid w:val="00C41444"/>
    <w:rsid w:val="00C4144D"/>
    <w:rsid w:val="00C41462"/>
    <w:rsid w:val="00C41538"/>
    <w:rsid w:val="00C41687"/>
    <w:rsid w:val="00C41887"/>
    <w:rsid w:val="00C41962"/>
    <w:rsid w:val="00C4199A"/>
    <w:rsid w:val="00C419D3"/>
    <w:rsid w:val="00C41AD8"/>
    <w:rsid w:val="00C41BDA"/>
    <w:rsid w:val="00C41C75"/>
    <w:rsid w:val="00C41C82"/>
    <w:rsid w:val="00C41CE2"/>
    <w:rsid w:val="00C41D01"/>
    <w:rsid w:val="00C41D2C"/>
    <w:rsid w:val="00C41D76"/>
    <w:rsid w:val="00C41D81"/>
    <w:rsid w:val="00C41DF1"/>
    <w:rsid w:val="00C41E1D"/>
    <w:rsid w:val="00C41EE6"/>
    <w:rsid w:val="00C41EF8"/>
    <w:rsid w:val="00C41F96"/>
    <w:rsid w:val="00C41FA0"/>
    <w:rsid w:val="00C41FA3"/>
    <w:rsid w:val="00C42094"/>
    <w:rsid w:val="00C42103"/>
    <w:rsid w:val="00C42105"/>
    <w:rsid w:val="00C42183"/>
    <w:rsid w:val="00C42277"/>
    <w:rsid w:val="00C42285"/>
    <w:rsid w:val="00C4240B"/>
    <w:rsid w:val="00C4249E"/>
    <w:rsid w:val="00C424F2"/>
    <w:rsid w:val="00C42714"/>
    <w:rsid w:val="00C428CF"/>
    <w:rsid w:val="00C42929"/>
    <w:rsid w:val="00C429B7"/>
    <w:rsid w:val="00C42A39"/>
    <w:rsid w:val="00C42A88"/>
    <w:rsid w:val="00C42BAB"/>
    <w:rsid w:val="00C42BDB"/>
    <w:rsid w:val="00C42E59"/>
    <w:rsid w:val="00C42ED4"/>
    <w:rsid w:val="00C42FE9"/>
    <w:rsid w:val="00C43233"/>
    <w:rsid w:val="00C432D0"/>
    <w:rsid w:val="00C433D4"/>
    <w:rsid w:val="00C43450"/>
    <w:rsid w:val="00C43627"/>
    <w:rsid w:val="00C438C1"/>
    <w:rsid w:val="00C438C3"/>
    <w:rsid w:val="00C43928"/>
    <w:rsid w:val="00C439FB"/>
    <w:rsid w:val="00C43B38"/>
    <w:rsid w:val="00C43D07"/>
    <w:rsid w:val="00C43E06"/>
    <w:rsid w:val="00C43E2A"/>
    <w:rsid w:val="00C43EC9"/>
    <w:rsid w:val="00C43F23"/>
    <w:rsid w:val="00C43F6A"/>
    <w:rsid w:val="00C43FD5"/>
    <w:rsid w:val="00C4405C"/>
    <w:rsid w:val="00C4406F"/>
    <w:rsid w:val="00C4419A"/>
    <w:rsid w:val="00C44404"/>
    <w:rsid w:val="00C44428"/>
    <w:rsid w:val="00C4453C"/>
    <w:rsid w:val="00C44803"/>
    <w:rsid w:val="00C44941"/>
    <w:rsid w:val="00C4494E"/>
    <w:rsid w:val="00C44954"/>
    <w:rsid w:val="00C44A3D"/>
    <w:rsid w:val="00C44B1E"/>
    <w:rsid w:val="00C44C89"/>
    <w:rsid w:val="00C44DFC"/>
    <w:rsid w:val="00C44F4D"/>
    <w:rsid w:val="00C45009"/>
    <w:rsid w:val="00C45056"/>
    <w:rsid w:val="00C450F1"/>
    <w:rsid w:val="00C45169"/>
    <w:rsid w:val="00C451E7"/>
    <w:rsid w:val="00C4520F"/>
    <w:rsid w:val="00C452E2"/>
    <w:rsid w:val="00C45487"/>
    <w:rsid w:val="00C454B7"/>
    <w:rsid w:val="00C45516"/>
    <w:rsid w:val="00C455A7"/>
    <w:rsid w:val="00C45637"/>
    <w:rsid w:val="00C45720"/>
    <w:rsid w:val="00C458F8"/>
    <w:rsid w:val="00C4595F"/>
    <w:rsid w:val="00C45A69"/>
    <w:rsid w:val="00C45B1D"/>
    <w:rsid w:val="00C45B22"/>
    <w:rsid w:val="00C45CAC"/>
    <w:rsid w:val="00C45DBB"/>
    <w:rsid w:val="00C45DFB"/>
    <w:rsid w:val="00C45F17"/>
    <w:rsid w:val="00C45FC2"/>
    <w:rsid w:val="00C460A6"/>
    <w:rsid w:val="00C463CD"/>
    <w:rsid w:val="00C463EB"/>
    <w:rsid w:val="00C46495"/>
    <w:rsid w:val="00C46536"/>
    <w:rsid w:val="00C4654D"/>
    <w:rsid w:val="00C46574"/>
    <w:rsid w:val="00C46610"/>
    <w:rsid w:val="00C46900"/>
    <w:rsid w:val="00C46C44"/>
    <w:rsid w:val="00C46CBD"/>
    <w:rsid w:val="00C46E18"/>
    <w:rsid w:val="00C46ED6"/>
    <w:rsid w:val="00C46FA7"/>
    <w:rsid w:val="00C46FE1"/>
    <w:rsid w:val="00C47034"/>
    <w:rsid w:val="00C47096"/>
    <w:rsid w:val="00C4717A"/>
    <w:rsid w:val="00C471B1"/>
    <w:rsid w:val="00C473EC"/>
    <w:rsid w:val="00C4767F"/>
    <w:rsid w:val="00C478A5"/>
    <w:rsid w:val="00C478DA"/>
    <w:rsid w:val="00C47937"/>
    <w:rsid w:val="00C479D7"/>
    <w:rsid w:val="00C47B4B"/>
    <w:rsid w:val="00C47BA5"/>
    <w:rsid w:val="00C47CE7"/>
    <w:rsid w:val="00C47D13"/>
    <w:rsid w:val="00C47E34"/>
    <w:rsid w:val="00C47E5B"/>
    <w:rsid w:val="00C47EE9"/>
    <w:rsid w:val="00C5000B"/>
    <w:rsid w:val="00C5004C"/>
    <w:rsid w:val="00C50174"/>
    <w:rsid w:val="00C501A5"/>
    <w:rsid w:val="00C50250"/>
    <w:rsid w:val="00C5029E"/>
    <w:rsid w:val="00C50304"/>
    <w:rsid w:val="00C50362"/>
    <w:rsid w:val="00C503C7"/>
    <w:rsid w:val="00C5040D"/>
    <w:rsid w:val="00C505EF"/>
    <w:rsid w:val="00C5067F"/>
    <w:rsid w:val="00C50756"/>
    <w:rsid w:val="00C509DE"/>
    <w:rsid w:val="00C50A8D"/>
    <w:rsid w:val="00C50AAA"/>
    <w:rsid w:val="00C50B23"/>
    <w:rsid w:val="00C51003"/>
    <w:rsid w:val="00C510C6"/>
    <w:rsid w:val="00C513F8"/>
    <w:rsid w:val="00C5143B"/>
    <w:rsid w:val="00C5147B"/>
    <w:rsid w:val="00C51490"/>
    <w:rsid w:val="00C514A0"/>
    <w:rsid w:val="00C51571"/>
    <w:rsid w:val="00C51641"/>
    <w:rsid w:val="00C5168C"/>
    <w:rsid w:val="00C519D8"/>
    <w:rsid w:val="00C51AE3"/>
    <w:rsid w:val="00C51B19"/>
    <w:rsid w:val="00C51BCE"/>
    <w:rsid w:val="00C51C87"/>
    <w:rsid w:val="00C51CFE"/>
    <w:rsid w:val="00C51F5C"/>
    <w:rsid w:val="00C51F98"/>
    <w:rsid w:val="00C5202A"/>
    <w:rsid w:val="00C520E5"/>
    <w:rsid w:val="00C5213E"/>
    <w:rsid w:val="00C521AE"/>
    <w:rsid w:val="00C521DD"/>
    <w:rsid w:val="00C52270"/>
    <w:rsid w:val="00C52283"/>
    <w:rsid w:val="00C52332"/>
    <w:rsid w:val="00C5240A"/>
    <w:rsid w:val="00C52451"/>
    <w:rsid w:val="00C524B2"/>
    <w:rsid w:val="00C524C0"/>
    <w:rsid w:val="00C52696"/>
    <w:rsid w:val="00C52772"/>
    <w:rsid w:val="00C528C0"/>
    <w:rsid w:val="00C528F6"/>
    <w:rsid w:val="00C529AA"/>
    <w:rsid w:val="00C52A59"/>
    <w:rsid w:val="00C52A80"/>
    <w:rsid w:val="00C52AB9"/>
    <w:rsid w:val="00C52AD4"/>
    <w:rsid w:val="00C52B48"/>
    <w:rsid w:val="00C52BA2"/>
    <w:rsid w:val="00C52BD1"/>
    <w:rsid w:val="00C52EB5"/>
    <w:rsid w:val="00C52EBF"/>
    <w:rsid w:val="00C52EFD"/>
    <w:rsid w:val="00C52F03"/>
    <w:rsid w:val="00C52F63"/>
    <w:rsid w:val="00C52FB2"/>
    <w:rsid w:val="00C531D9"/>
    <w:rsid w:val="00C532BA"/>
    <w:rsid w:val="00C532D9"/>
    <w:rsid w:val="00C5331B"/>
    <w:rsid w:val="00C53385"/>
    <w:rsid w:val="00C534A1"/>
    <w:rsid w:val="00C534CF"/>
    <w:rsid w:val="00C536AF"/>
    <w:rsid w:val="00C53724"/>
    <w:rsid w:val="00C537DF"/>
    <w:rsid w:val="00C53874"/>
    <w:rsid w:val="00C53893"/>
    <w:rsid w:val="00C538BC"/>
    <w:rsid w:val="00C53918"/>
    <w:rsid w:val="00C53957"/>
    <w:rsid w:val="00C539EB"/>
    <w:rsid w:val="00C53AAE"/>
    <w:rsid w:val="00C53AC8"/>
    <w:rsid w:val="00C53B11"/>
    <w:rsid w:val="00C53B41"/>
    <w:rsid w:val="00C53B9C"/>
    <w:rsid w:val="00C53C78"/>
    <w:rsid w:val="00C53CAA"/>
    <w:rsid w:val="00C53CE4"/>
    <w:rsid w:val="00C53D45"/>
    <w:rsid w:val="00C53D86"/>
    <w:rsid w:val="00C53EB1"/>
    <w:rsid w:val="00C53F4A"/>
    <w:rsid w:val="00C54025"/>
    <w:rsid w:val="00C540B4"/>
    <w:rsid w:val="00C5412B"/>
    <w:rsid w:val="00C541DC"/>
    <w:rsid w:val="00C5421B"/>
    <w:rsid w:val="00C5430F"/>
    <w:rsid w:val="00C543A3"/>
    <w:rsid w:val="00C54408"/>
    <w:rsid w:val="00C54415"/>
    <w:rsid w:val="00C5441C"/>
    <w:rsid w:val="00C5449E"/>
    <w:rsid w:val="00C544BF"/>
    <w:rsid w:val="00C54515"/>
    <w:rsid w:val="00C5465B"/>
    <w:rsid w:val="00C547B2"/>
    <w:rsid w:val="00C547B4"/>
    <w:rsid w:val="00C548DC"/>
    <w:rsid w:val="00C54947"/>
    <w:rsid w:val="00C5494E"/>
    <w:rsid w:val="00C54990"/>
    <w:rsid w:val="00C54A26"/>
    <w:rsid w:val="00C54A97"/>
    <w:rsid w:val="00C54CF7"/>
    <w:rsid w:val="00C54E3E"/>
    <w:rsid w:val="00C55043"/>
    <w:rsid w:val="00C55069"/>
    <w:rsid w:val="00C550E9"/>
    <w:rsid w:val="00C5519D"/>
    <w:rsid w:val="00C551A2"/>
    <w:rsid w:val="00C551DD"/>
    <w:rsid w:val="00C55227"/>
    <w:rsid w:val="00C55250"/>
    <w:rsid w:val="00C55253"/>
    <w:rsid w:val="00C5530C"/>
    <w:rsid w:val="00C5549D"/>
    <w:rsid w:val="00C554A6"/>
    <w:rsid w:val="00C55562"/>
    <w:rsid w:val="00C5562C"/>
    <w:rsid w:val="00C55648"/>
    <w:rsid w:val="00C556A9"/>
    <w:rsid w:val="00C556D2"/>
    <w:rsid w:val="00C55785"/>
    <w:rsid w:val="00C557A1"/>
    <w:rsid w:val="00C557E3"/>
    <w:rsid w:val="00C55839"/>
    <w:rsid w:val="00C5590C"/>
    <w:rsid w:val="00C55A11"/>
    <w:rsid w:val="00C55BF9"/>
    <w:rsid w:val="00C55C19"/>
    <w:rsid w:val="00C55C4D"/>
    <w:rsid w:val="00C55D80"/>
    <w:rsid w:val="00C55F5C"/>
    <w:rsid w:val="00C56346"/>
    <w:rsid w:val="00C56546"/>
    <w:rsid w:val="00C565F9"/>
    <w:rsid w:val="00C5669C"/>
    <w:rsid w:val="00C566DD"/>
    <w:rsid w:val="00C56706"/>
    <w:rsid w:val="00C5672D"/>
    <w:rsid w:val="00C56777"/>
    <w:rsid w:val="00C567D0"/>
    <w:rsid w:val="00C567D9"/>
    <w:rsid w:val="00C56813"/>
    <w:rsid w:val="00C56831"/>
    <w:rsid w:val="00C56A14"/>
    <w:rsid w:val="00C56B6A"/>
    <w:rsid w:val="00C56BB6"/>
    <w:rsid w:val="00C56C2A"/>
    <w:rsid w:val="00C56C88"/>
    <w:rsid w:val="00C56D9D"/>
    <w:rsid w:val="00C56F3E"/>
    <w:rsid w:val="00C56F4D"/>
    <w:rsid w:val="00C56F9F"/>
    <w:rsid w:val="00C571CF"/>
    <w:rsid w:val="00C573FB"/>
    <w:rsid w:val="00C57405"/>
    <w:rsid w:val="00C5743F"/>
    <w:rsid w:val="00C57479"/>
    <w:rsid w:val="00C5747C"/>
    <w:rsid w:val="00C574F6"/>
    <w:rsid w:val="00C57599"/>
    <w:rsid w:val="00C575A2"/>
    <w:rsid w:val="00C575CC"/>
    <w:rsid w:val="00C57708"/>
    <w:rsid w:val="00C57792"/>
    <w:rsid w:val="00C577DF"/>
    <w:rsid w:val="00C57850"/>
    <w:rsid w:val="00C578CF"/>
    <w:rsid w:val="00C5790A"/>
    <w:rsid w:val="00C57937"/>
    <w:rsid w:val="00C57A1D"/>
    <w:rsid w:val="00C57C31"/>
    <w:rsid w:val="00C57CFE"/>
    <w:rsid w:val="00C57E4D"/>
    <w:rsid w:val="00C57F71"/>
    <w:rsid w:val="00C60110"/>
    <w:rsid w:val="00C60188"/>
    <w:rsid w:val="00C60284"/>
    <w:rsid w:val="00C602D8"/>
    <w:rsid w:val="00C60314"/>
    <w:rsid w:val="00C60353"/>
    <w:rsid w:val="00C603CA"/>
    <w:rsid w:val="00C603E7"/>
    <w:rsid w:val="00C604CB"/>
    <w:rsid w:val="00C60585"/>
    <w:rsid w:val="00C60D1E"/>
    <w:rsid w:val="00C60D89"/>
    <w:rsid w:val="00C60DE8"/>
    <w:rsid w:val="00C60DF0"/>
    <w:rsid w:val="00C60E9D"/>
    <w:rsid w:val="00C60FC3"/>
    <w:rsid w:val="00C6100E"/>
    <w:rsid w:val="00C61014"/>
    <w:rsid w:val="00C610A2"/>
    <w:rsid w:val="00C610F3"/>
    <w:rsid w:val="00C611C5"/>
    <w:rsid w:val="00C6151B"/>
    <w:rsid w:val="00C6153A"/>
    <w:rsid w:val="00C615E0"/>
    <w:rsid w:val="00C615EC"/>
    <w:rsid w:val="00C6165D"/>
    <w:rsid w:val="00C616E6"/>
    <w:rsid w:val="00C617DA"/>
    <w:rsid w:val="00C618B6"/>
    <w:rsid w:val="00C61916"/>
    <w:rsid w:val="00C61A09"/>
    <w:rsid w:val="00C61A8C"/>
    <w:rsid w:val="00C61AAC"/>
    <w:rsid w:val="00C61C1D"/>
    <w:rsid w:val="00C61C4B"/>
    <w:rsid w:val="00C61EE2"/>
    <w:rsid w:val="00C61F14"/>
    <w:rsid w:val="00C61F81"/>
    <w:rsid w:val="00C620E2"/>
    <w:rsid w:val="00C6210F"/>
    <w:rsid w:val="00C6216B"/>
    <w:rsid w:val="00C623EB"/>
    <w:rsid w:val="00C624C4"/>
    <w:rsid w:val="00C62538"/>
    <w:rsid w:val="00C62658"/>
    <w:rsid w:val="00C626A0"/>
    <w:rsid w:val="00C627A7"/>
    <w:rsid w:val="00C627AD"/>
    <w:rsid w:val="00C627B0"/>
    <w:rsid w:val="00C628C2"/>
    <w:rsid w:val="00C62959"/>
    <w:rsid w:val="00C62B2C"/>
    <w:rsid w:val="00C62B49"/>
    <w:rsid w:val="00C62BE4"/>
    <w:rsid w:val="00C62C8D"/>
    <w:rsid w:val="00C62D28"/>
    <w:rsid w:val="00C62D30"/>
    <w:rsid w:val="00C62D37"/>
    <w:rsid w:val="00C62F51"/>
    <w:rsid w:val="00C62F64"/>
    <w:rsid w:val="00C62FDD"/>
    <w:rsid w:val="00C63129"/>
    <w:rsid w:val="00C6318A"/>
    <w:rsid w:val="00C6322F"/>
    <w:rsid w:val="00C6329B"/>
    <w:rsid w:val="00C632CC"/>
    <w:rsid w:val="00C633D6"/>
    <w:rsid w:val="00C6341E"/>
    <w:rsid w:val="00C6344A"/>
    <w:rsid w:val="00C634BC"/>
    <w:rsid w:val="00C634CD"/>
    <w:rsid w:val="00C634E9"/>
    <w:rsid w:val="00C63579"/>
    <w:rsid w:val="00C6359C"/>
    <w:rsid w:val="00C635FC"/>
    <w:rsid w:val="00C6368F"/>
    <w:rsid w:val="00C636DC"/>
    <w:rsid w:val="00C636E6"/>
    <w:rsid w:val="00C636EA"/>
    <w:rsid w:val="00C63748"/>
    <w:rsid w:val="00C63A0A"/>
    <w:rsid w:val="00C63C88"/>
    <w:rsid w:val="00C63E25"/>
    <w:rsid w:val="00C63E69"/>
    <w:rsid w:val="00C63F33"/>
    <w:rsid w:val="00C64015"/>
    <w:rsid w:val="00C64154"/>
    <w:rsid w:val="00C64256"/>
    <w:rsid w:val="00C6430D"/>
    <w:rsid w:val="00C643A8"/>
    <w:rsid w:val="00C643F0"/>
    <w:rsid w:val="00C6476D"/>
    <w:rsid w:val="00C647CB"/>
    <w:rsid w:val="00C647ED"/>
    <w:rsid w:val="00C64ABF"/>
    <w:rsid w:val="00C64B7E"/>
    <w:rsid w:val="00C64CEC"/>
    <w:rsid w:val="00C64DEA"/>
    <w:rsid w:val="00C64E2E"/>
    <w:rsid w:val="00C64E94"/>
    <w:rsid w:val="00C64FC6"/>
    <w:rsid w:val="00C65020"/>
    <w:rsid w:val="00C6502A"/>
    <w:rsid w:val="00C6511A"/>
    <w:rsid w:val="00C6521A"/>
    <w:rsid w:val="00C652E5"/>
    <w:rsid w:val="00C65323"/>
    <w:rsid w:val="00C6534D"/>
    <w:rsid w:val="00C6536E"/>
    <w:rsid w:val="00C655C8"/>
    <w:rsid w:val="00C65765"/>
    <w:rsid w:val="00C65795"/>
    <w:rsid w:val="00C65853"/>
    <w:rsid w:val="00C658E0"/>
    <w:rsid w:val="00C65A13"/>
    <w:rsid w:val="00C65B45"/>
    <w:rsid w:val="00C65B8D"/>
    <w:rsid w:val="00C65C58"/>
    <w:rsid w:val="00C65D71"/>
    <w:rsid w:val="00C65DAC"/>
    <w:rsid w:val="00C65E03"/>
    <w:rsid w:val="00C65E42"/>
    <w:rsid w:val="00C66009"/>
    <w:rsid w:val="00C66209"/>
    <w:rsid w:val="00C66252"/>
    <w:rsid w:val="00C6632F"/>
    <w:rsid w:val="00C6634E"/>
    <w:rsid w:val="00C66404"/>
    <w:rsid w:val="00C6679C"/>
    <w:rsid w:val="00C66848"/>
    <w:rsid w:val="00C66887"/>
    <w:rsid w:val="00C669E4"/>
    <w:rsid w:val="00C66AAF"/>
    <w:rsid w:val="00C66AB2"/>
    <w:rsid w:val="00C66AE3"/>
    <w:rsid w:val="00C66B60"/>
    <w:rsid w:val="00C66B62"/>
    <w:rsid w:val="00C66B8C"/>
    <w:rsid w:val="00C66C7D"/>
    <w:rsid w:val="00C66CDD"/>
    <w:rsid w:val="00C66D64"/>
    <w:rsid w:val="00C66DD2"/>
    <w:rsid w:val="00C66EBA"/>
    <w:rsid w:val="00C66EF7"/>
    <w:rsid w:val="00C66F9A"/>
    <w:rsid w:val="00C67118"/>
    <w:rsid w:val="00C67133"/>
    <w:rsid w:val="00C6714D"/>
    <w:rsid w:val="00C6737D"/>
    <w:rsid w:val="00C674A7"/>
    <w:rsid w:val="00C67588"/>
    <w:rsid w:val="00C67665"/>
    <w:rsid w:val="00C676B9"/>
    <w:rsid w:val="00C676DA"/>
    <w:rsid w:val="00C67777"/>
    <w:rsid w:val="00C6777E"/>
    <w:rsid w:val="00C6791F"/>
    <w:rsid w:val="00C67988"/>
    <w:rsid w:val="00C679A3"/>
    <w:rsid w:val="00C679B4"/>
    <w:rsid w:val="00C67AB2"/>
    <w:rsid w:val="00C67AC4"/>
    <w:rsid w:val="00C67C87"/>
    <w:rsid w:val="00C67CB4"/>
    <w:rsid w:val="00C67EE2"/>
    <w:rsid w:val="00C67F91"/>
    <w:rsid w:val="00C70020"/>
    <w:rsid w:val="00C700E9"/>
    <w:rsid w:val="00C701BA"/>
    <w:rsid w:val="00C70314"/>
    <w:rsid w:val="00C7033B"/>
    <w:rsid w:val="00C70471"/>
    <w:rsid w:val="00C704C4"/>
    <w:rsid w:val="00C704D8"/>
    <w:rsid w:val="00C704E7"/>
    <w:rsid w:val="00C705B6"/>
    <w:rsid w:val="00C707B6"/>
    <w:rsid w:val="00C707FE"/>
    <w:rsid w:val="00C70899"/>
    <w:rsid w:val="00C708C7"/>
    <w:rsid w:val="00C7095D"/>
    <w:rsid w:val="00C70B46"/>
    <w:rsid w:val="00C70EB5"/>
    <w:rsid w:val="00C70ED0"/>
    <w:rsid w:val="00C70FFC"/>
    <w:rsid w:val="00C710C5"/>
    <w:rsid w:val="00C711B0"/>
    <w:rsid w:val="00C71496"/>
    <w:rsid w:val="00C7160A"/>
    <w:rsid w:val="00C7162F"/>
    <w:rsid w:val="00C717B0"/>
    <w:rsid w:val="00C71821"/>
    <w:rsid w:val="00C7185D"/>
    <w:rsid w:val="00C71980"/>
    <w:rsid w:val="00C7199D"/>
    <w:rsid w:val="00C71AD2"/>
    <w:rsid w:val="00C71B29"/>
    <w:rsid w:val="00C71B34"/>
    <w:rsid w:val="00C71B6C"/>
    <w:rsid w:val="00C71D41"/>
    <w:rsid w:val="00C71D6B"/>
    <w:rsid w:val="00C71D9A"/>
    <w:rsid w:val="00C71E9C"/>
    <w:rsid w:val="00C72020"/>
    <w:rsid w:val="00C7203F"/>
    <w:rsid w:val="00C721D4"/>
    <w:rsid w:val="00C7239C"/>
    <w:rsid w:val="00C723D4"/>
    <w:rsid w:val="00C723E3"/>
    <w:rsid w:val="00C724F8"/>
    <w:rsid w:val="00C7274C"/>
    <w:rsid w:val="00C7276A"/>
    <w:rsid w:val="00C727A5"/>
    <w:rsid w:val="00C72985"/>
    <w:rsid w:val="00C7299F"/>
    <w:rsid w:val="00C72A0C"/>
    <w:rsid w:val="00C72A99"/>
    <w:rsid w:val="00C72AA6"/>
    <w:rsid w:val="00C72B62"/>
    <w:rsid w:val="00C72B9E"/>
    <w:rsid w:val="00C72C2A"/>
    <w:rsid w:val="00C72EB0"/>
    <w:rsid w:val="00C7300D"/>
    <w:rsid w:val="00C7323D"/>
    <w:rsid w:val="00C7331D"/>
    <w:rsid w:val="00C7333C"/>
    <w:rsid w:val="00C73398"/>
    <w:rsid w:val="00C73599"/>
    <w:rsid w:val="00C735D4"/>
    <w:rsid w:val="00C736AA"/>
    <w:rsid w:val="00C736AF"/>
    <w:rsid w:val="00C736F7"/>
    <w:rsid w:val="00C7373B"/>
    <w:rsid w:val="00C737F3"/>
    <w:rsid w:val="00C737FB"/>
    <w:rsid w:val="00C739DA"/>
    <w:rsid w:val="00C73AB7"/>
    <w:rsid w:val="00C73B1B"/>
    <w:rsid w:val="00C73BBA"/>
    <w:rsid w:val="00C73C27"/>
    <w:rsid w:val="00C73D88"/>
    <w:rsid w:val="00C73E0C"/>
    <w:rsid w:val="00C73E81"/>
    <w:rsid w:val="00C73F3E"/>
    <w:rsid w:val="00C73F4A"/>
    <w:rsid w:val="00C74066"/>
    <w:rsid w:val="00C7409E"/>
    <w:rsid w:val="00C740D0"/>
    <w:rsid w:val="00C740FC"/>
    <w:rsid w:val="00C74286"/>
    <w:rsid w:val="00C7434F"/>
    <w:rsid w:val="00C7439E"/>
    <w:rsid w:val="00C7479E"/>
    <w:rsid w:val="00C74963"/>
    <w:rsid w:val="00C74A40"/>
    <w:rsid w:val="00C74A7F"/>
    <w:rsid w:val="00C74AB2"/>
    <w:rsid w:val="00C74BC7"/>
    <w:rsid w:val="00C74D07"/>
    <w:rsid w:val="00C74FB8"/>
    <w:rsid w:val="00C75065"/>
    <w:rsid w:val="00C750E9"/>
    <w:rsid w:val="00C75248"/>
    <w:rsid w:val="00C7531B"/>
    <w:rsid w:val="00C75351"/>
    <w:rsid w:val="00C75380"/>
    <w:rsid w:val="00C7552B"/>
    <w:rsid w:val="00C755C1"/>
    <w:rsid w:val="00C7565A"/>
    <w:rsid w:val="00C75711"/>
    <w:rsid w:val="00C7571C"/>
    <w:rsid w:val="00C75978"/>
    <w:rsid w:val="00C75CC0"/>
    <w:rsid w:val="00C75D6D"/>
    <w:rsid w:val="00C75E00"/>
    <w:rsid w:val="00C75F6E"/>
    <w:rsid w:val="00C75FBE"/>
    <w:rsid w:val="00C76040"/>
    <w:rsid w:val="00C761D9"/>
    <w:rsid w:val="00C76203"/>
    <w:rsid w:val="00C7627E"/>
    <w:rsid w:val="00C7639D"/>
    <w:rsid w:val="00C764D0"/>
    <w:rsid w:val="00C765A2"/>
    <w:rsid w:val="00C765D8"/>
    <w:rsid w:val="00C767B6"/>
    <w:rsid w:val="00C768ED"/>
    <w:rsid w:val="00C76942"/>
    <w:rsid w:val="00C769A6"/>
    <w:rsid w:val="00C76A4B"/>
    <w:rsid w:val="00C76C94"/>
    <w:rsid w:val="00C76CE0"/>
    <w:rsid w:val="00C76DB2"/>
    <w:rsid w:val="00C76DC4"/>
    <w:rsid w:val="00C76DEE"/>
    <w:rsid w:val="00C76DF8"/>
    <w:rsid w:val="00C76F4B"/>
    <w:rsid w:val="00C77014"/>
    <w:rsid w:val="00C770AD"/>
    <w:rsid w:val="00C77127"/>
    <w:rsid w:val="00C7717E"/>
    <w:rsid w:val="00C771FD"/>
    <w:rsid w:val="00C77277"/>
    <w:rsid w:val="00C772E6"/>
    <w:rsid w:val="00C77334"/>
    <w:rsid w:val="00C7740C"/>
    <w:rsid w:val="00C775E7"/>
    <w:rsid w:val="00C77630"/>
    <w:rsid w:val="00C776B6"/>
    <w:rsid w:val="00C77725"/>
    <w:rsid w:val="00C77768"/>
    <w:rsid w:val="00C7783D"/>
    <w:rsid w:val="00C778FC"/>
    <w:rsid w:val="00C779CD"/>
    <w:rsid w:val="00C779D0"/>
    <w:rsid w:val="00C779D1"/>
    <w:rsid w:val="00C77A52"/>
    <w:rsid w:val="00C77AE3"/>
    <w:rsid w:val="00C77B67"/>
    <w:rsid w:val="00C77BE6"/>
    <w:rsid w:val="00C77C03"/>
    <w:rsid w:val="00C77C94"/>
    <w:rsid w:val="00C77CB7"/>
    <w:rsid w:val="00C77D0C"/>
    <w:rsid w:val="00C77D6F"/>
    <w:rsid w:val="00C77E2F"/>
    <w:rsid w:val="00C77F25"/>
    <w:rsid w:val="00C80094"/>
    <w:rsid w:val="00C80500"/>
    <w:rsid w:val="00C80759"/>
    <w:rsid w:val="00C80819"/>
    <w:rsid w:val="00C8081F"/>
    <w:rsid w:val="00C80857"/>
    <w:rsid w:val="00C8089B"/>
    <w:rsid w:val="00C808C6"/>
    <w:rsid w:val="00C80953"/>
    <w:rsid w:val="00C80968"/>
    <w:rsid w:val="00C80A0A"/>
    <w:rsid w:val="00C80A42"/>
    <w:rsid w:val="00C80B28"/>
    <w:rsid w:val="00C80C85"/>
    <w:rsid w:val="00C80CEA"/>
    <w:rsid w:val="00C80E26"/>
    <w:rsid w:val="00C80E7B"/>
    <w:rsid w:val="00C80EA2"/>
    <w:rsid w:val="00C80F5A"/>
    <w:rsid w:val="00C81097"/>
    <w:rsid w:val="00C810C6"/>
    <w:rsid w:val="00C8113E"/>
    <w:rsid w:val="00C8149D"/>
    <w:rsid w:val="00C814D4"/>
    <w:rsid w:val="00C81516"/>
    <w:rsid w:val="00C81530"/>
    <w:rsid w:val="00C8166C"/>
    <w:rsid w:val="00C816C6"/>
    <w:rsid w:val="00C81727"/>
    <w:rsid w:val="00C817CC"/>
    <w:rsid w:val="00C81843"/>
    <w:rsid w:val="00C819D6"/>
    <w:rsid w:val="00C81C71"/>
    <w:rsid w:val="00C81CC8"/>
    <w:rsid w:val="00C81CF3"/>
    <w:rsid w:val="00C81EAA"/>
    <w:rsid w:val="00C8206E"/>
    <w:rsid w:val="00C8211E"/>
    <w:rsid w:val="00C821F3"/>
    <w:rsid w:val="00C8223F"/>
    <w:rsid w:val="00C823AF"/>
    <w:rsid w:val="00C8245C"/>
    <w:rsid w:val="00C8247F"/>
    <w:rsid w:val="00C824B8"/>
    <w:rsid w:val="00C824F2"/>
    <w:rsid w:val="00C824FB"/>
    <w:rsid w:val="00C82553"/>
    <w:rsid w:val="00C82604"/>
    <w:rsid w:val="00C8261E"/>
    <w:rsid w:val="00C82729"/>
    <w:rsid w:val="00C82938"/>
    <w:rsid w:val="00C82B39"/>
    <w:rsid w:val="00C82B7B"/>
    <w:rsid w:val="00C82B81"/>
    <w:rsid w:val="00C82BAF"/>
    <w:rsid w:val="00C82BCC"/>
    <w:rsid w:val="00C82CC7"/>
    <w:rsid w:val="00C82CCA"/>
    <w:rsid w:val="00C82DD4"/>
    <w:rsid w:val="00C82F58"/>
    <w:rsid w:val="00C82F70"/>
    <w:rsid w:val="00C8305F"/>
    <w:rsid w:val="00C83113"/>
    <w:rsid w:val="00C8321F"/>
    <w:rsid w:val="00C83255"/>
    <w:rsid w:val="00C832E2"/>
    <w:rsid w:val="00C83381"/>
    <w:rsid w:val="00C833D6"/>
    <w:rsid w:val="00C833F3"/>
    <w:rsid w:val="00C8348F"/>
    <w:rsid w:val="00C83795"/>
    <w:rsid w:val="00C8385C"/>
    <w:rsid w:val="00C83896"/>
    <w:rsid w:val="00C838B2"/>
    <w:rsid w:val="00C838FA"/>
    <w:rsid w:val="00C839C8"/>
    <w:rsid w:val="00C839DB"/>
    <w:rsid w:val="00C83A4D"/>
    <w:rsid w:val="00C83A96"/>
    <w:rsid w:val="00C83AA0"/>
    <w:rsid w:val="00C83CCC"/>
    <w:rsid w:val="00C83D5A"/>
    <w:rsid w:val="00C83E77"/>
    <w:rsid w:val="00C83F57"/>
    <w:rsid w:val="00C83F60"/>
    <w:rsid w:val="00C83FBA"/>
    <w:rsid w:val="00C83FFD"/>
    <w:rsid w:val="00C84066"/>
    <w:rsid w:val="00C840D2"/>
    <w:rsid w:val="00C841BF"/>
    <w:rsid w:val="00C842C8"/>
    <w:rsid w:val="00C84328"/>
    <w:rsid w:val="00C8444B"/>
    <w:rsid w:val="00C8445B"/>
    <w:rsid w:val="00C845D1"/>
    <w:rsid w:val="00C845DD"/>
    <w:rsid w:val="00C84624"/>
    <w:rsid w:val="00C8467C"/>
    <w:rsid w:val="00C84685"/>
    <w:rsid w:val="00C84688"/>
    <w:rsid w:val="00C846C2"/>
    <w:rsid w:val="00C84714"/>
    <w:rsid w:val="00C84779"/>
    <w:rsid w:val="00C847C1"/>
    <w:rsid w:val="00C84877"/>
    <w:rsid w:val="00C848AE"/>
    <w:rsid w:val="00C8490B"/>
    <w:rsid w:val="00C849D6"/>
    <w:rsid w:val="00C84A2B"/>
    <w:rsid w:val="00C84A4B"/>
    <w:rsid w:val="00C84A5E"/>
    <w:rsid w:val="00C84A87"/>
    <w:rsid w:val="00C84B9C"/>
    <w:rsid w:val="00C84CD8"/>
    <w:rsid w:val="00C84DC8"/>
    <w:rsid w:val="00C84E8C"/>
    <w:rsid w:val="00C84EF8"/>
    <w:rsid w:val="00C85046"/>
    <w:rsid w:val="00C850B2"/>
    <w:rsid w:val="00C8516D"/>
    <w:rsid w:val="00C851CE"/>
    <w:rsid w:val="00C853A8"/>
    <w:rsid w:val="00C854DB"/>
    <w:rsid w:val="00C8558E"/>
    <w:rsid w:val="00C85599"/>
    <w:rsid w:val="00C855D9"/>
    <w:rsid w:val="00C8571B"/>
    <w:rsid w:val="00C85866"/>
    <w:rsid w:val="00C858D1"/>
    <w:rsid w:val="00C85B24"/>
    <w:rsid w:val="00C85D5D"/>
    <w:rsid w:val="00C85D81"/>
    <w:rsid w:val="00C85D91"/>
    <w:rsid w:val="00C8635A"/>
    <w:rsid w:val="00C86558"/>
    <w:rsid w:val="00C86582"/>
    <w:rsid w:val="00C86638"/>
    <w:rsid w:val="00C86730"/>
    <w:rsid w:val="00C86753"/>
    <w:rsid w:val="00C8676F"/>
    <w:rsid w:val="00C86814"/>
    <w:rsid w:val="00C86959"/>
    <w:rsid w:val="00C86B86"/>
    <w:rsid w:val="00C86D8C"/>
    <w:rsid w:val="00C86ECA"/>
    <w:rsid w:val="00C86F0F"/>
    <w:rsid w:val="00C86F36"/>
    <w:rsid w:val="00C86F91"/>
    <w:rsid w:val="00C87001"/>
    <w:rsid w:val="00C87014"/>
    <w:rsid w:val="00C87198"/>
    <w:rsid w:val="00C871AA"/>
    <w:rsid w:val="00C871B3"/>
    <w:rsid w:val="00C87200"/>
    <w:rsid w:val="00C87250"/>
    <w:rsid w:val="00C87288"/>
    <w:rsid w:val="00C87348"/>
    <w:rsid w:val="00C873F1"/>
    <w:rsid w:val="00C8743C"/>
    <w:rsid w:val="00C874F2"/>
    <w:rsid w:val="00C8750F"/>
    <w:rsid w:val="00C8764F"/>
    <w:rsid w:val="00C8767A"/>
    <w:rsid w:val="00C8776A"/>
    <w:rsid w:val="00C8785F"/>
    <w:rsid w:val="00C8794D"/>
    <w:rsid w:val="00C87A4A"/>
    <w:rsid w:val="00C87B6D"/>
    <w:rsid w:val="00C87C7D"/>
    <w:rsid w:val="00C87D68"/>
    <w:rsid w:val="00C87DCC"/>
    <w:rsid w:val="00C87EBD"/>
    <w:rsid w:val="00C87F03"/>
    <w:rsid w:val="00C87F82"/>
    <w:rsid w:val="00C87F9B"/>
    <w:rsid w:val="00C87FE4"/>
    <w:rsid w:val="00C9006D"/>
    <w:rsid w:val="00C901C6"/>
    <w:rsid w:val="00C90258"/>
    <w:rsid w:val="00C903F9"/>
    <w:rsid w:val="00C90621"/>
    <w:rsid w:val="00C9065A"/>
    <w:rsid w:val="00C9066D"/>
    <w:rsid w:val="00C90682"/>
    <w:rsid w:val="00C90690"/>
    <w:rsid w:val="00C907AC"/>
    <w:rsid w:val="00C90838"/>
    <w:rsid w:val="00C90884"/>
    <w:rsid w:val="00C9095C"/>
    <w:rsid w:val="00C90A2E"/>
    <w:rsid w:val="00C90AC2"/>
    <w:rsid w:val="00C90CC4"/>
    <w:rsid w:val="00C90CFE"/>
    <w:rsid w:val="00C90D2E"/>
    <w:rsid w:val="00C90DE1"/>
    <w:rsid w:val="00C90EF0"/>
    <w:rsid w:val="00C90F0F"/>
    <w:rsid w:val="00C90FF8"/>
    <w:rsid w:val="00C9101A"/>
    <w:rsid w:val="00C910EE"/>
    <w:rsid w:val="00C911D8"/>
    <w:rsid w:val="00C912CD"/>
    <w:rsid w:val="00C912D2"/>
    <w:rsid w:val="00C91371"/>
    <w:rsid w:val="00C91479"/>
    <w:rsid w:val="00C9148A"/>
    <w:rsid w:val="00C91547"/>
    <w:rsid w:val="00C9157B"/>
    <w:rsid w:val="00C917FE"/>
    <w:rsid w:val="00C91A77"/>
    <w:rsid w:val="00C91A9B"/>
    <w:rsid w:val="00C91B76"/>
    <w:rsid w:val="00C91B82"/>
    <w:rsid w:val="00C91B99"/>
    <w:rsid w:val="00C91C8C"/>
    <w:rsid w:val="00C91D9E"/>
    <w:rsid w:val="00C91DBE"/>
    <w:rsid w:val="00C91E67"/>
    <w:rsid w:val="00C91EB4"/>
    <w:rsid w:val="00C920A7"/>
    <w:rsid w:val="00C920AC"/>
    <w:rsid w:val="00C9216D"/>
    <w:rsid w:val="00C9239F"/>
    <w:rsid w:val="00C923E2"/>
    <w:rsid w:val="00C924BD"/>
    <w:rsid w:val="00C92566"/>
    <w:rsid w:val="00C92751"/>
    <w:rsid w:val="00C928E0"/>
    <w:rsid w:val="00C92AAC"/>
    <w:rsid w:val="00C92B30"/>
    <w:rsid w:val="00C92BDA"/>
    <w:rsid w:val="00C92C6B"/>
    <w:rsid w:val="00C92C9A"/>
    <w:rsid w:val="00C92D76"/>
    <w:rsid w:val="00C92DA9"/>
    <w:rsid w:val="00C92E26"/>
    <w:rsid w:val="00C92E46"/>
    <w:rsid w:val="00C92EEB"/>
    <w:rsid w:val="00C92FE2"/>
    <w:rsid w:val="00C93088"/>
    <w:rsid w:val="00C9311D"/>
    <w:rsid w:val="00C931E3"/>
    <w:rsid w:val="00C93224"/>
    <w:rsid w:val="00C93350"/>
    <w:rsid w:val="00C933B0"/>
    <w:rsid w:val="00C93417"/>
    <w:rsid w:val="00C9352A"/>
    <w:rsid w:val="00C9355D"/>
    <w:rsid w:val="00C93574"/>
    <w:rsid w:val="00C93589"/>
    <w:rsid w:val="00C93600"/>
    <w:rsid w:val="00C93691"/>
    <w:rsid w:val="00C936E4"/>
    <w:rsid w:val="00C9371A"/>
    <w:rsid w:val="00C93746"/>
    <w:rsid w:val="00C93789"/>
    <w:rsid w:val="00C937D3"/>
    <w:rsid w:val="00C937E6"/>
    <w:rsid w:val="00C93842"/>
    <w:rsid w:val="00C938CE"/>
    <w:rsid w:val="00C9391F"/>
    <w:rsid w:val="00C93A78"/>
    <w:rsid w:val="00C93A9F"/>
    <w:rsid w:val="00C93BD6"/>
    <w:rsid w:val="00C93CCF"/>
    <w:rsid w:val="00C93CD4"/>
    <w:rsid w:val="00C93CF4"/>
    <w:rsid w:val="00C93DCB"/>
    <w:rsid w:val="00C93EEA"/>
    <w:rsid w:val="00C93F31"/>
    <w:rsid w:val="00C940A6"/>
    <w:rsid w:val="00C9424C"/>
    <w:rsid w:val="00C94331"/>
    <w:rsid w:val="00C94404"/>
    <w:rsid w:val="00C944EA"/>
    <w:rsid w:val="00C9454E"/>
    <w:rsid w:val="00C946C5"/>
    <w:rsid w:val="00C947E6"/>
    <w:rsid w:val="00C94889"/>
    <w:rsid w:val="00C948C0"/>
    <w:rsid w:val="00C94913"/>
    <w:rsid w:val="00C94A64"/>
    <w:rsid w:val="00C94B7B"/>
    <w:rsid w:val="00C94BC6"/>
    <w:rsid w:val="00C94C7B"/>
    <w:rsid w:val="00C94CDF"/>
    <w:rsid w:val="00C94CF1"/>
    <w:rsid w:val="00C94D49"/>
    <w:rsid w:val="00C94E57"/>
    <w:rsid w:val="00C94E81"/>
    <w:rsid w:val="00C94EF5"/>
    <w:rsid w:val="00C94EFE"/>
    <w:rsid w:val="00C94F24"/>
    <w:rsid w:val="00C94FB3"/>
    <w:rsid w:val="00C9506C"/>
    <w:rsid w:val="00C95187"/>
    <w:rsid w:val="00C95190"/>
    <w:rsid w:val="00C9526A"/>
    <w:rsid w:val="00C95339"/>
    <w:rsid w:val="00C9552B"/>
    <w:rsid w:val="00C955B6"/>
    <w:rsid w:val="00C95608"/>
    <w:rsid w:val="00C95670"/>
    <w:rsid w:val="00C9573E"/>
    <w:rsid w:val="00C95AAD"/>
    <w:rsid w:val="00C95AD6"/>
    <w:rsid w:val="00C95BBD"/>
    <w:rsid w:val="00C95D57"/>
    <w:rsid w:val="00C95DBD"/>
    <w:rsid w:val="00C961F0"/>
    <w:rsid w:val="00C96225"/>
    <w:rsid w:val="00C9623C"/>
    <w:rsid w:val="00C96276"/>
    <w:rsid w:val="00C9637D"/>
    <w:rsid w:val="00C963E0"/>
    <w:rsid w:val="00C964B0"/>
    <w:rsid w:val="00C964D5"/>
    <w:rsid w:val="00C96545"/>
    <w:rsid w:val="00C9676C"/>
    <w:rsid w:val="00C968CC"/>
    <w:rsid w:val="00C96985"/>
    <w:rsid w:val="00C96BCB"/>
    <w:rsid w:val="00C96C75"/>
    <w:rsid w:val="00C96D27"/>
    <w:rsid w:val="00C96D89"/>
    <w:rsid w:val="00C96DCA"/>
    <w:rsid w:val="00C96EED"/>
    <w:rsid w:val="00C96FE3"/>
    <w:rsid w:val="00C96FF3"/>
    <w:rsid w:val="00C97065"/>
    <w:rsid w:val="00C97200"/>
    <w:rsid w:val="00C97258"/>
    <w:rsid w:val="00C9725C"/>
    <w:rsid w:val="00C9731A"/>
    <w:rsid w:val="00C9737F"/>
    <w:rsid w:val="00C973AC"/>
    <w:rsid w:val="00C973EC"/>
    <w:rsid w:val="00C974B1"/>
    <w:rsid w:val="00C975B3"/>
    <w:rsid w:val="00C97739"/>
    <w:rsid w:val="00C97745"/>
    <w:rsid w:val="00C97769"/>
    <w:rsid w:val="00C9780A"/>
    <w:rsid w:val="00C97AE1"/>
    <w:rsid w:val="00C97E27"/>
    <w:rsid w:val="00CA00C1"/>
    <w:rsid w:val="00CA0203"/>
    <w:rsid w:val="00CA0209"/>
    <w:rsid w:val="00CA0272"/>
    <w:rsid w:val="00CA02B3"/>
    <w:rsid w:val="00CA045D"/>
    <w:rsid w:val="00CA052E"/>
    <w:rsid w:val="00CA061A"/>
    <w:rsid w:val="00CA0676"/>
    <w:rsid w:val="00CA0722"/>
    <w:rsid w:val="00CA0846"/>
    <w:rsid w:val="00CA08F4"/>
    <w:rsid w:val="00CA091A"/>
    <w:rsid w:val="00CA0923"/>
    <w:rsid w:val="00CA096C"/>
    <w:rsid w:val="00CA0989"/>
    <w:rsid w:val="00CA0A8C"/>
    <w:rsid w:val="00CA0BAD"/>
    <w:rsid w:val="00CA0BB4"/>
    <w:rsid w:val="00CA0C0D"/>
    <w:rsid w:val="00CA0CB9"/>
    <w:rsid w:val="00CA0D27"/>
    <w:rsid w:val="00CA0E2E"/>
    <w:rsid w:val="00CA0E96"/>
    <w:rsid w:val="00CA1090"/>
    <w:rsid w:val="00CA109A"/>
    <w:rsid w:val="00CA10BD"/>
    <w:rsid w:val="00CA11E5"/>
    <w:rsid w:val="00CA1283"/>
    <w:rsid w:val="00CA131C"/>
    <w:rsid w:val="00CA132E"/>
    <w:rsid w:val="00CA13E9"/>
    <w:rsid w:val="00CA152E"/>
    <w:rsid w:val="00CA161D"/>
    <w:rsid w:val="00CA172F"/>
    <w:rsid w:val="00CA1781"/>
    <w:rsid w:val="00CA1930"/>
    <w:rsid w:val="00CA1943"/>
    <w:rsid w:val="00CA1980"/>
    <w:rsid w:val="00CA1A03"/>
    <w:rsid w:val="00CA1A27"/>
    <w:rsid w:val="00CA1A40"/>
    <w:rsid w:val="00CA1AA2"/>
    <w:rsid w:val="00CA1AAC"/>
    <w:rsid w:val="00CA1B02"/>
    <w:rsid w:val="00CA1DCE"/>
    <w:rsid w:val="00CA1E55"/>
    <w:rsid w:val="00CA202F"/>
    <w:rsid w:val="00CA20B7"/>
    <w:rsid w:val="00CA2166"/>
    <w:rsid w:val="00CA217C"/>
    <w:rsid w:val="00CA2277"/>
    <w:rsid w:val="00CA23BA"/>
    <w:rsid w:val="00CA243F"/>
    <w:rsid w:val="00CA2567"/>
    <w:rsid w:val="00CA2635"/>
    <w:rsid w:val="00CA283F"/>
    <w:rsid w:val="00CA28E7"/>
    <w:rsid w:val="00CA28EE"/>
    <w:rsid w:val="00CA28F9"/>
    <w:rsid w:val="00CA2920"/>
    <w:rsid w:val="00CA2955"/>
    <w:rsid w:val="00CA2A9C"/>
    <w:rsid w:val="00CA2CA6"/>
    <w:rsid w:val="00CA2EA1"/>
    <w:rsid w:val="00CA2FCD"/>
    <w:rsid w:val="00CA3033"/>
    <w:rsid w:val="00CA303F"/>
    <w:rsid w:val="00CA305E"/>
    <w:rsid w:val="00CA30C6"/>
    <w:rsid w:val="00CA318B"/>
    <w:rsid w:val="00CA3325"/>
    <w:rsid w:val="00CA334D"/>
    <w:rsid w:val="00CA33A8"/>
    <w:rsid w:val="00CA3419"/>
    <w:rsid w:val="00CA341A"/>
    <w:rsid w:val="00CA3491"/>
    <w:rsid w:val="00CA3764"/>
    <w:rsid w:val="00CA37BD"/>
    <w:rsid w:val="00CA386C"/>
    <w:rsid w:val="00CA38BD"/>
    <w:rsid w:val="00CA3928"/>
    <w:rsid w:val="00CA3988"/>
    <w:rsid w:val="00CA3B51"/>
    <w:rsid w:val="00CA3B67"/>
    <w:rsid w:val="00CA3BA1"/>
    <w:rsid w:val="00CA3DA9"/>
    <w:rsid w:val="00CA3E39"/>
    <w:rsid w:val="00CA3F0B"/>
    <w:rsid w:val="00CA3FBE"/>
    <w:rsid w:val="00CA40B4"/>
    <w:rsid w:val="00CA4226"/>
    <w:rsid w:val="00CA42FE"/>
    <w:rsid w:val="00CA4364"/>
    <w:rsid w:val="00CA4391"/>
    <w:rsid w:val="00CA44C4"/>
    <w:rsid w:val="00CA44E7"/>
    <w:rsid w:val="00CA44FD"/>
    <w:rsid w:val="00CA4509"/>
    <w:rsid w:val="00CA4602"/>
    <w:rsid w:val="00CA4669"/>
    <w:rsid w:val="00CA46D1"/>
    <w:rsid w:val="00CA4741"/>
    <w:rsid w:val="00CA48CF"/>
    <w:rsid w:val="00CA49A0"/>
    <w:rsid w:val="00CA4A94"/>
    <w:rsid w:val="00CA4B15"/>
    <w:rsid w:val="00CA4B60"/>
    <w:rsid w:val="00CA4B6B"/>
    <w:rsid w:val="00CA4D58"/>
    <w:rsid w:val="00CA4DA1"/>
    <w:rsid w:val="00CA4E7D"/>
    <w:rsid w:val="00CA4E94"/>
    <w:rsid w:val="00CA4F44"/>
    <w:rsid w:val="00CA4F76"/>
    <w:rsid w:val="00CA50BA"/>
    <w:rsid w:val="00CA50C2"/>
    <w:rsid w:val="00CA51A8"/>
    <w:rsid w:val="00CA5267"/>
    <w:rsid w:val="00CA52A1"/>
    <w:rsid w:val="00CA5302"/>
    <w:rsid w:val="00CA533B"/>
    <w:rsid w:val="00CA53E2"/>
    <w:rsid w:val="00CA543E"/>
    <w:rsid w:val="00CA548E"/>
    <w:rsid w:val="00CA54CF"/>
    <w:rsid w:val="00CA55A2"/>
    <w:rsid w:val="00CA55A3"/>
    <w:rsid w:val="00CA56AA"/>
    <w:rsid w:val="00CA58D4"/>
    <w:rsid w:val="00CA59A4"/>
    <w:rsid w:val="00CA59CA"/>
    <w:rsid w:val="00CA5A29"/>
    <w:rsid w:val="00CA5D41"/>
    <w:rsid w:val="00CA5E12"/>
    <w:rsid w:val="00CA5E2D"/>
    <w:rsid w:val="00CA5EC0"/>
    <w:rsid w:val="00CA5F30"/>
    <w:rsid w:val="00CA5F66"/>
    <w:rsid w:val="00CA5F72"/>
    <w:rsid w:val="00CA60C6"/>
    <w:rsid w:val="00CA60C9"/>
    <w:rsid w:val="00CA6376"/>
    <w:rsid w:val="00CA645A"/>
    <w:rsid w:val="00CA64B4"/>
    <w:rsid w:val="00CA673A"/>
    <w:rsid w:val="00CA677C"/>
    <w:rsid w:val="00CA67EE"/>
    <w:rsid w:val="00CA695A"/>
    <w:rsid w:val="00CA6996"/>
    <w:rsid w:val="00CA6A01"/>
    <w:rsid w:val="00CA6B39"/>
    <w:rsid w:val="00CA6CE8"/>
    <w:rsid w:val="00CA6D54"/>
    <w:rsid w:val="00CA6DC6"/>
    <w:rsid w:val="00CA6E03"/>
    <w:rsid w:val="00CA6EAD"/>
    <w:rsid w:val="00CA6F1B"/>
    <w:rsid w:val="00CA6F8A"/>
    <w:rsid w:val="00CA705B"/>
    <w:rsid w:val="00CA707E"/>
    <w:rsid w:val="00CA7196"/>
    <w:rsid w:val="00CA71B8"/>
    <w:rsid w:val="00CA725C"/>
    <w:rsid w:val="00CA73EE"/>
    <w:rsid w:val="00CA7427"/>
    <w:rsid w:val="00CA757B"/>
    <w:rsid w:val="00CA7603"/>
    <w:rsid w:val="00CA777D"/>
    <w:rsid w:val="00CA77DC"/>
    <w:rsid w:val="00CA7882"/>
    <w:rsid w:val="00CA78C4"/>
    <w:rsid w:val="00CA79A0"/>
    <w:rsid w:val="00CA79B5"/>
    <w:rsid w:val="00CA79CF"/>
    <w:rsid w:val="00CA7BE4"/>
    <w:rsid w:val="00CA7D6E"/>
    <w:rsid w:val="00CA7DB4"/>
    <w:rsid w:val="00CA7F86"/>
    <w:rsid w:val="00CB018F"/>
    <w:rsid w:val="00CB0298"/>
    <w:rsid w:val="00CB0317"/>
    <w:rsid w:val="00CB054C"/>
    <w:rsid w:val="00CB05B6"/>
    <w:rsid w:val="00CB060A"/>
    <w:rsid w:val="00CB0685"/>
    <w:rsid w:val="00CB068B"/>
    <w:rsid w:val="00CB0780"/>
    <w:rsid w:val="00CB07D9"/>
    <w:rsid w:val="00CB0824"/>
    <w:rsid w:val="00CB083A"/>
    <w:rsid w:val="00CB088A"/>
    <w:rsid w:val="00CB08D4"/>
    <w:rsid w:val="00CB097F"/>
    <w:rsid w:val="00CB0A7B"/>
    <w:rsid w:val="00CB0A80"/>
    <w:rsid w:val="00CB0AB3"/>
    <w:rsid w:val="00CB0AEF"/>
    <w:rsid w:val="00CB0C3F"/>
    <w:rsid w:val="00CB0DB9"/>
    <w:rsid w:val="00CB0DC6"/>
    <w:rsid w:val="00CB0DF6"/>
    <w:rsid w:val="00CB0E00"/>
    <w:rsid w:val="00CB0E42"/>
    <w:rsid w:val="00CB0E6F"/>
    <w:rsid w:val="00CB0EC0"/>
    <w:rsid w:val="00CB1035"/>
    <w:rsid w:val="00CB10C0"/>
    <w:rsid w:val="00CB12D8"/>
    <w:rsid w:val="00CB12E6"/>
    <w:rsid w:val="00CB1479"/>
    <w:rsid w:val="00CB14BA"/>
    <w:rsid w:val="00CB15A5"/>
    <w:rsid w:val="00CB1648"/>
    <w:rsid w:val="00CB17F7"/>
    <w:rsid w:val="00CB1801"/>
    <w:rsid w:val="00CB188E"/>
    <w:rsid w:val="00CB1961"/>
    <w:rsid w:val="00CB1995"/>
    <w:rsid w:val="00CB19DE"/>
    <w:rsid w:val="00CB19EC"/>
    <w:rsid w:val="00CB1B67"/>
    <w:rsid w:val="00CB1ED4"/>
    <w:rsid w:val="00CB1F31"/>
    <w:rsid w:val="00CB1F6E"/>
    <w:rsid w:val="00CB1FE0"/>
    <w:rsid w:val="00CB2056"/>
    <w:rsid w:val="00CB2095"/>
    <w:rsid w:val="00CB2195"/>
    <w:rsid w:val="00CB21E9"/>
    <w:rsid w:val="00CB2249"/>
    <w:rsid w:val="00CB23FB"/>
    <w:rsid w:val="00CB2412"/>
    <w:rsid w:val="00CB24A8"/>
    <w:rsid w:val="00CB253A"/>
    <w:rsid w:val="00CB25B9"/>
    <w:rsid w:val="00CB25EB"/>
    <w:rsid w:val="00CB274C"/>
    <w:rsid w:val="00CB2827"/>
    <w:rsid w:val="00CB2876"/>
    <w:rsid w:val="00CB2935"/>
    <w:rsid w:val="00CB2944"/>
    <w:rsid w:val="00CB2A2B"/>
    <w:rsid w:val="00CB2B0B"/>
    <w:rsid w:val="00CB2B2A"/>
    <w:rsid w:val="00CB2B2C"/>
    <w:rsid w:val="00CB2B5E"/>
    <w:rsid w:val="00CB2CF5"/>
    <w:rsid w:val="00CB2E2F"/>
    <w:rsid w:val="00CB2E38"/>
    <w:rsid w:val="00CB2E54"/>
    <w:rsid w:val="00CB2EF7"/>
    <w:rsid w:val="00CB300D"/>
    <w:rsid w:val="00CB30D8"/>
    <w:rsid w:val="00CB3165"/>
    <w:rsid w:val="00CB31B1"/>
    <w:rsid w:val="00CB3279"/>
    <w:rsid w:val="00CB3283"/>
    <w:rsid w:val="00CB32AB"/>
    <w:rsid w:val="00CB3414"/>
    <w:rsid w:val="00CB36C8"/>
    <w:rsid w:val="00CB3706"/>
    <w:rsid w:val="00CB3762"/>
    <w:rsid w:val="00CB377A"/>
    <w:rsid w:val="00CB3AA2"/>
    <w:rsid w:val="00CB3AC8"/>
    <w:rsid w:val="00CB3AF0"/>
    <w:rsid w:val="00CB3AFB"/>
    <w:rsid w:val="00CB3B03"/>
    <w:rsid w:val="00CB3C3A"/>
    <w:rsid w:val="00CB3CBC"/>
    <w:rsid w:val="00CB3E72"/>
    <w:rsid w:val="00CB3F0E"/>
    <w:rsid w:val="00CB3FB6"/>
    <w:rsid w:val="00CB40F5"/>
    <w:rsid w:val="00CB4177"/>
    <w:rsid w:val="00CB4182"/>
    <w:rsid w:val="00CB4364"/>
    <w:rsid w:val="00CB443C"/>
    <w:rsid w:val="00CB44F6"/>
    <w:rsid w:val="00CB4516"/>
    <w:rsid w:val="00CB4589"/>
    <w:rsid w:val="00CB4651"/>
    <w:rsid w:val="00CB47F9"/>
    <w:rsid w:val="00CB487E"/>
    <w:rsid w:val="00CB4A7F"/>
    <w:rsid w:val="00CB4AEC"/>
    <w:rsid w:val="00CB4BA4"/>
    <w:rsid w:val="00CB4DAE"/>
    <w:rsid w:val="00CB4F29"/>
    <w:rsid w:val="00CB5053"/>
    <w:rsid w:val="00CB512F"/>
    <w:rsid w:val="00CB51CF"/>
    <w:rsid w:val="00CB51FE"/>
    <w:rsid w:val="00CB53B4"/>
    <w:rsid w:val="00CB5438"/>
    <w:rsid w:val="00CB5455"/>
    <w:rsid w:val="00CB54B0"/>
    <w:rsid w:val="00CB554C"/>
    <w:rsid w:val="00CB55A9"/>
    <w:rsid w:val="00CB5759"/>
    <w:rsid w:val="00CB57DA"/>
    <w:rsid w:val="00CB5873"/>
    <w:rsid w:val="00CB58BA"/>
    <w:rsid w:val="00CB598C"/>
    <w:rsid w:val="00CB5A53"/>
    <w:rsid w:val="00CB5A78"/>
    <w:rsid w:val="00CB5CF3"/>
    <w:rsid w:val="00CB5D0E"/>
    <w:rsid w:val="00CB6082"/>
    <w:rsid w:val="00CB60B6"/>
    <w:rsid w:val="00CB63D6"/>
    <w:rsid w:val="00CB63E6"/>
    <w:rsid w:val="00CB6542"/>
    <w:rsid w:val="00CB65B3"/>
    <w:rsid w:val="00CB6634"/>
    <w:rsid w:val="00CB66D9"/>
    <w:rsid w:val="00CB66EF"/>
    <w:rsid w:val="00CB6764"/>
    <w:rsid w:val="00CB67D3"/>
    <w:rsid w:val="00CB6ABC"/>
    <w:rsid w:val="00CB6B07"/>
    <w:rsid w:val="00CB6C3F"/>
    <w:rsid w:val="00CB6D1F"/>
    <w:rsid w:val="00CB6D20"/>
    <w:rsid w:val="00CB6D3B"/>
    <w:rsid w:val="00CB6D6D"/>
    <w:rsid w:val="00CB7077"/>
    <w:rsid w:val="00CB7168"/>
    <w:rsid w:val="00CB725A"/>
    <w:rsid w:val="00CB7331"/>
    <w:rsid w:val="00CB734E"/>
    <w:rsid w:val="00CB7354"/>
    <w:rsid w:val="00CB736D"/>
    <w:rsid w:val="00CB7396"/>
    <w:rsid w:val="00CB7623"/>
    <w:rsid w:val="00CB76E7"/>
    <w:rsid w:val="00CB79C5"/>
    <w:rsid w:val="00CB7A58"/>
    <w:rsid w:val="00CB7ADE"/>
    <w:rsid w:val="00CB7AED"/>
    <w:rsid w:val="00CB7B00"/>
    <w:rsid w:val="00CB7BBF"/>
    <w:rsid w:val="00CB7C76"/>
    <w:rsid w:val="00CB7DC3"/>
    <w:rsid w:val="00CB7E20"/>
    <w:rsid w:val="00CB7E67"/>
    <w:rsid w:val="00CB7F3C"/>
    <w:rsid w:val="00CC003C"/>
    <w:rsid w:val="00CC00C7"/>
    <w:rsid w:val="00CC01C9"/>
    <w:rsid w:val="00CC0244"/>
    <w:rsid w:val="00CC0349"/>
    <w:rsid w:val="00CC034C"/>
    <w:rsid w:val="00CC040A"/>
    <w:rsid w:val="00CC0505"/>
    <w:rsid w:val="00CC055C"/>
    <w:rsid w:val="00CC0622"/>
    <w:rsid w:val="00CC0623"/>
    <w:rsid w:val="00CC0A98"/>
    <w:rsid w:val="00CC0AA1"/>
    <w:rsid w:val="00CC0AD8"/>
    <w:rsid w:val="00CC0B1C"/>
    <w:rsid w:val="00CC0B78"/>
    <w:rsid w:val="00CC0B83"/>
    <w:rsid w:val="00CC0BAF"/>
    <w:rsid w:val="00CC0BB1"/>
    <w:rsid w:val="00CC0BC0"/>
    <w:rsid w:val="00CC0BDE"/>
    <w:rsid w:val="00CC0BEF"/>
    <w:rsid w:val="00CC0DC0"/>
    <w:rsid w:val="00CC0E6E"/>
    <w:rsid w:val="00CC0F62"/>
    <w:rsid w:val="00CC0FF8"/>
    <w:rsid w:val="00CC1189"/>
    <w:rsid w:val="00CC12A6"/>
    <w:rsid w:val="00CC12D2"/>
    <w:rsid w:val="00CC14CA"/>
    <w:rsid w:val="00CC14FD"/>
    <w:rsid w:val="00CC1504"/>
    <w:rsid w:val="00CC15F3"/>
    <w:rsid w:val="00CC16F4"/>
    <w:rsid w:val="00CC17A2"/>
    <w:rsid w:val="00CC1822"/>
    <w:rsid w:val="00CC193E"/>
    <w:rsid w:val="00CC19B4"/>
    <w:rsid w:val="00CC1A3A"/>
    <w:rsid w:val="00CC1AD7"/>
    <w:rsid w:val="00CC1B91"/>
    <w:rsid w:val="00CC1B9A"/>
    <w:rsid w:val="00CC1D40"/>
    <w:rsid w:val="00CC1D4B"/>
    <w:rsid w:val="00CC1F0F"/>
    <w:rsid w:val="00CC1F90"/>
    <w:rsid w:val="00CC1FB2"/>
    <w:rsid w:val="00CC20B7"/>
    <w:rsid w:val="00CC20E8"/>
    <w:rsid w:val="00CC215D"/>
    <w:rsid w:val="00CC21F8"/>
    <w:rsid w:val="00CC22FA"/>
    <w:rsid w:val="00CC22FE"/>
    <w:rsid w:val="00CC2363"/>
    <w:rsid w:val="00CC2385"/>
    <w:rsid w:val="00CC23FF"/>
    <w:rsid w:val="00CC2454"/>
    <w:rsid w:val="00CC24FC"/>
    <w:rsid w:val="00CC262C"/>
    <w:rsid w:val="00CC2669"/>
    <w:rsid w:val="00CC26DC"/>
    <w:rsid w:val="00CC270C"/>
    <w:rsid w:val="00CC2791"/>
    <w:rsid w:val="00CC2798"/>
    <w:rsid w:val="00CC27BA"/>
    <w:rsid w:val="00CC2825"/>
    <w:rsid w:val="00CC28DC"/>
    <w:rsid w:val="00CC2A17"/>
    <w:rsid w:val="00CC2A55"/>
    <w:rsid w:val="00CC2AA9"/>
    <w:rsid w:val="00CC2B2D"/>
    <w:rsid w:val="00CC2BF8"/>
    <w:rsid w:val="00CC2D1B"/>
    <w:rsid w:val="00CC2EAA"/>
    <w:rsid w:val="00CC2EF3"/>
    <w:rsid w:val="00CC3048"/>
    <w:rsid w:val="00CC30E9"/>
    <w:rsid w:val="00CC3338"/>
    <w:rsid w:val="00CC33AF"/>
    <w:rsid w:val="00CC3599"/>
    <w:rsid w:val="00CC35B7"/>
    <w:rsid w:val="00CC365F"/>
    <w:rsid w:val="00CC3668"/>
    <w:rsid w:val="00CC36C8"/>
    <w:rsid w:val="00CC3760"/>
    <w:rsid w:val="00CC3862"/>
    <w:rsid w:val="00CC39E0"/>
    <w:rsid w:val="00CC3A33"/>
    <w:rsid w:val="00CC3B3C"/>
    <w:rsid w:val="00CC3BF4"/>
    <w:rsid w:val="00CC3C04"/>
    <w:rsid w:val="00CC3DC7"/>
    <w:rsid w:val="00CC3DEB"/>
    <w:rsid w:val="00CC3EA4"/>
    <w:rsid w:val="00CC3F2C"/>
    <w:rsid w:val="00CC3F31"/>
    <w:rsid w:val="00CC3F6F"/>
    <w:rsid w:val="00CC40BC"/>
    <w:rsid w:val="00CC419A"/>
    <w:rsid w:val="00CC41C5"/>
    <w:rsid w:val="00CC4414"/>
    <w:rsid w:val="00CC4485"/>
    <w:rsid w:val="00CC462A"/>
    <w:rsid w:val="00CC481A"/>
    <w:rsid w:val="00CC49F7"/>
    <w:rsid w:val="00CC4AD8"/>
    <w:rsid w:val="00CC4B2A"/>
    <w:rsid w:val="00CC4C39"/>
    <w:rsid w:val="00CC4CBD"/>
    <w:rsid w:val="00CC4D3F"/>
    <w:rsid w:val="00CC4E19"/>
    <w:rsid w:val="00CC4EAA"/>
    <w:rsid w:val="00CC4EDE"/>
    <w:rsid w:val="00CC4F2A"/>
    <w:rsid w:val="00CC5014"/>
    <w:rsid w:val="00CC508F"/>
    <w:rsid w:val="00CC52DA"/>
    <w:rsid w:val="00CC52F4"/>
    <w:rsid w:val="00CC539F"/>
    <w:rsid w:val="00CC53E8"/>
    <w:rsid w:val="00CC548C"/>
    <w:rsid w:val="00CC550D"/>
    <w:rsid w:val="00CC5669"/>
    <w:rsid w:val="00CC57B3"/>
    <w:rsid w:val="00CC5AB5"/>
    <w:rsid w:val="00CC5BA1"/>
    <w:rsid w:val="00CC5BC4"/>
    <w:rsid w:val="00CC5D1A"/>
    <w:rsid w:val="00CC5E37"/>
    <w:rsid w:val="00CC6091"/>
    <w:rsid w:val="00CC60E2"/>
    <w:rsid w:val="00CC610D"/>
    <w:rsid w:val="00CC62B8"/>
    <w:rsid w:val="00CC6466"/>
    <w:rsid w:val="00CC66D6"/>
    <w:rsid w:val="00CC692A"/>
    <w:rsid w:val="00CC6948"/>
    <w:rsid w:val="00CC696B"/>
    <w:rsid w:val="00CC699B"/>
    <w:rsid w:val="00CC6A76"/>
    <w:rsid w:val="00CC6CDD"/>
    <w:rsid w:val="00CC6D76"/>
    <w:rsid w:val="00CC7014"/>
    <w:rsid w:val="00CC707D"/>
    <w:rsid w:val="00CC7115"/>
    <w:rsid w:val="00CC71F7"/>
    <w:rsid w:val="00CC724A"/>
    <w:rsid w:val="00CC73FB"/>
    <w:rsid w:val="00CC7405"/>
    <w:rsid w:val="00CC7408"/>
    <w:rsid w:val="00CC74B7"/>
    <w:rsid w:val="00CC74CB"/>
    <w:rsid w:val="00CC7541"/>
    <w:rsid w:val="00CC75D2"/>
    <w:rsid w:val="00CC765E"/>
    <w:rsid w:val="00CC772B"/>
    <w:rsid w:val="00CC7ACA"/>
    <w:rsid w:val="00CC7B55"/>
    <w:rsid w:val="00CC7B5F"/>
    <w:rsid w:val="00CC7C0A"/>
    <w:rsid w:val="00CC7CBC"/>
    <w:rsid w:val="00CC7F02"/>
    <w:rsid w:val="00CC7F60"/>
    <w:rsid w:val="00CC7F67"/>
    <w:rsid w:val="00CC7F9C"/>
    <w:rsid w:val="00CD011F"/>
    <w:rsid w:val="00CD033A"/>
    <w:rsid w:val="00CD05C3"/>
    <w:rsid w:val="00CD05DB"/>
    <w:rsid w:val="00CD068A"/>
    <w:rsid w:val="00CD082B"/>
    <w:rsid w:val="00CD09A0"/>
    <w:rsid w:val="00CD09AF"/>
    <w:rsid w:val="00CD0A94"/>
    <w:rsid w:val="00CD0B51"/>
    <w:rsid w:val="00CD0BAA"/>
    <w:rsid w:val="00CD0C7F"/>
    <w:rsid w:val="00CD0CBC"/>
    <w:rsid w:val="00CD0CCF"/>
    <w:rsid w:val="00CD0D44"/>
    <w:rsid w:val="00CD0DBA"/>
    <w:rsid w:val="00CD0EA7"/>
    <w:rsid w:val="00CD0ECC"/>
    <w:rsid w:val="00CD0FC9"/>
    <w:rsid w:val="00CD109C"/>
    <w:rsid w:val="00CD10F2"/>
    <w:rsid w:val="00CD1100"/>
    <w:rsid w:val="00CD1234"/>
    <w:rsid w:val="00CD12A0"/>
    <w:rsid w:val="00CD1483"/>
    <w:rsid w:val="00CD15CC"/>
    <w:rsid w:val="00CD1637"/>
    <w:rsid w:val="00CD179E"/>
    <w:rsid w:val="00CD1908"/>
    <w:rsid w:val="00CD192E"/>
    <w:rsid w:val="00CD1A42"/>
    <w:rsid w:val="00CD1B63"/>
    <w:rsid w:val="00CD1C6D"/>
    <w:rsid w:val="00CD1D5F"/>
    <w:rsid w:val="00CD1EF7"/>
    <w:rsid w:val="00CD1F83"/>
    <w:rsid w:val="00CD2210"/>
    <w:rsid w:val="00CD228D"/>
    <w:rsid w:val="00CD2308"/>
    <w:rsid w:val="00CD2357"/>
    <w:rsid w:val="00CD23A9"/>
    <w:rsid w:val="00CD2451"/>
    <w:rsid w:val="00CD247B"/>
    <w:rsid w:val="00CD2549"/>
    <w:rsid w:val="00CD25C6"/>
    <w:rsid w:val="00CD26AD"/>
    <w:rsid w:val="00CD272F"/>
    <w:rsid w:val="00CD2757"/>
    <w:rsid w:val="00CD28A9"/>
    <w:rsid w:val="00CD2AA9"/>
    <w:rsid w:val="00CD2C60"/>
    <w:rsid w:val="00CD2DB2"/>
    <w:rsid w:val="00CD2DF1"/>
    <w:rsid w:val="00CD2ED2"/>
    <w:rsid w:val="00CD2F16"/>
    <w:rsid w:val="00CD2F81"/>
    <w:rsid w:val="00CD323B"/>
    <w:rsid w:val="00CD32DA"/>
    <w:rsid w:val="00CD3316"/>
    <w:rsid w:val="00CD3321"/>
    <w:rsid w:val="00CD336E"/>
    <w:rsid w:val="00CD33BA"/>
    <w:rsid w:val="00CD361A"/>
    <w:rsid w:val="00CD376E"/>
    <w:rsid w:val="00CD37F6"/>
    <w:rsid w:val="00CD395B"/>
    <w:rsid w:val="00CD3A2B"/>
    <w:rsid w:val="00CD3AE5"/>
    <w:rsid w:val="00CD3E49"/>
    <w:rsid w:val="00CD3FEA"/>
    <w:rsid w:val="00CD4032"/>
    <w:rsid w:val="00CD4168"/>
    <w:rsid w:val="00CD4244"/>
    <w:rsid w:val="00CD4348"/>
    <w:rsid w:val="00CD43E5"/>
    <w:rsid w:val="00CD4585"/>
    <w:rsid w:val="00CD4680"/>
    <w:rsid w:val="00CD4720"/>
    <w:rsid w:val="00CD47FA"/>
    <w:rsid w:val="00CD48F1"/>
    <w:rsid w:val="00CD49CB"/>
    <w:rsid w:val="00CD4AED"/>
    <w:rsid w:val="00CD4B74"/>
    <w:rsid w:val="00CD4BDF"/>
    <w:rsid w:val="00CD4C34"/>
    <w:rsid w:val="00CD4CB1"/>
    <w:rsid w:val="00CD4D17"/>
    <w:rsid w:val="00CD4F5A"/>
    <w:rsid w:val="00CD4F8D"/>
    <w:rsid w:val="00CD4FA6"/>
    <w:rsid w:val="00CD4FB4"/>
    <w:rsid w:val="00CD5106"/>
    <w:rsid w:val="00CD5292"/>
    <w:rsid w:val="00CD5294"/>
    <w:rsid w:val="00CD5307"/>
    <w:rsid w:val="00CD5337"/>
    <w:rsid w:val="00CD5414"/>
    <w:rsid w:val="00CD543E"/>
    <w:rsid w:val="00CD54E0"/>
    <w:rsid w:val="00CD555D"/>
    <w:rsid w:val="00CD55B9"/>
    <w:rsid w:val="00CD55BF"/>
    <w:rsid w:val="00CD56BF"/>
    <w:rsid w:val="00CD56D0"/>
    <w:rsid w:val="00CD5841"/>
    <w:rsid w:val="00CD5844"/>
    <w:rsid w:val="00CD585E"/>
    <w:rsid w:val="00CD587C"/>
    <w:rsid w:val="00CD5883"/>
    <w:rsid w:val="00CD58AD"/>
    <w:rsid w:val="00CD58BA"/>
    <w:rsid w:val="00CD5921"/>
    <w:rsid w:val="00CD5922"/>
    <w:rsid w:val="00CD5A1E"/>
    <w:rsid w:val="00CD5B6E"/>
    <w:rsid w:val="00CD5CF8"/>
    <w:rsid w:val="00CD5D94"/>
    <w:rsid w:val="00CD5DDA"/>
    <w:rsid w:val="00CD5EBB"/>
    <w:rsid w:val="00CD5FCE"/>
    <w:rsid w:val="00CD604B"/>
    <w:rsid w:val="00CD60F8"/>
    <w:rsid w:val="00CD61C0"/>
    <w:rsid w:val="00CD61CE"/>
    <w:rsid w:val="00CD61EA"/>
    <w:rsid w:val="00CD6244"/>
    <w:rsid w:val="00CD6297"/>
    <w:rsid w:val="00CD629E"/>
    <w:rsid w:val="00CD6652"/>
    <w:rsid w:val="00CD6670"/>
    <w:rsid w:val="00CD66D3"/>
    <w:rsid w:val="00CD67C7"/>
    <w:rsid w:val="00CD6957"/>
    <w:rsid w:val="00CD695F"/>
    <w:rsid w:val="00CD69A2"/>
    <w:rsid w:val="00CD6AFA"/>
    <w:rsid w:val="00CD6C22"/>
    <w:rsid w:val="00CD6E09"/>
    <w:rsid w:val="00CD6F5B"/>
    <w:rsid w:val="00CD6FE6"/>
    <w:rsid w:val="00CD6FE8"/>
    <w:rsid w:val="00CD71FE"/>
    <w:rsid w:val="00CD7207"/>
    <w:rsid w:val="00CD7287"/>
    <w:rsid w:val="00CD72A5"/>
    <w:rsid w:val="00CD72FB"/>
    <w:rsid w:val="00CD7391"/>
    <w:rsid w:val="00CD7449"/>
    <w:rsid w:val="00CD7529"/>
    <w:rsid w:val="00CD7559"/>
    <w:rsid w:val="00CD7577"/>
    <w:rsid w:val="00CD75A9"/>
    <w:rsid w:val="00CD75D6"/>
    <w:rsid w:val="00CD76BC"/>
    <w:rsid w:val="00CD76BE"/>
    <w:rsid w:val="00CD7734"/>
    <w:rsid w:val="00CD7793"/>
    <w:rsid w:val="00CD7795"/>
    <w:rsid w:val="00CD78BC"/>
    <w:rsid w:val="00CD7A4E"/>
    <w:rsid w:val="00CD7A5D"/>
    <w:rsid w:val="00CD7AF3"/>
    <w:rsid w:val="00CD7B0B"/>
    <w:rsid w:val="00CD7B0D"/>
    <w:rsid w:val="00CD7CB6"/>
    <w:rsid w:val="00CD7CCF"/>
    <w:rsid w:val="00CD7DF7"/>
    <w:rsid w:val="00CD7E50"/>
    <w:rsid w:val="00CD7E8E"/>
    <w:rsid w:val="00CD7F22"/>
    <w:rsid w:val="00CD7F3A"/>
    <w:rsid w:val="00CD7F4C"/>
    <w:rsid w:val="00CD7F71"/>
    <w:rsid w:val="00CD7FE5"/>
    <w:rsid w:val="00CE036A"/>
    <w:rsid w:val="00CE03CF"/>
    <w:rsid w:val="00CE03F9"/>
    <w:rsid w:val="00CE0481"/>
    <w:rsid w:val="00CE0497"/>
    <w:rsid w:val="00CE0542"/>
    <w:rsid w:val="00CE05A9"/>
    <w:rsid w:val="00CE070E"/>
    <w:rsid w:val="00CE0754"/>
    <w:rsid w:val="00CE07D8"/>
    <w:rsid w:val="00CE0802"/>
    <w:rsid w:val="00CE08FD"/>
    <w:rsid w:val="00CE0907"/>
    <w:rsid w:val="00CE0939"/>
    <w:rsid w:val="00CE0AD0"/>
    <w:rsid w:val="00CE0CB3"/>
    <w:rsid w:val="00CE0CC0"/>
    <w:rsid w:val="00CE0D49"/>
    <w:rsid w:val="00CE0DB2"/>
    <w:rsid w:val="00CE0DF8"/>
    <w:rsid w:val="00CE0E06"/>
    <w:rsid w:val="00CE0E94"/>
    <w:rsid w:val="00CE0F00"/>
    <w:rsid w:val="00CE0F11"/>
    <w:rsid w:val="00CE101F"/>
    <w:rsid w:val="00CE110E"/>
    <w:rsid w:val="00CE1141"/>
    <w:rsid w:val="00CE1435"/>
    <w:rsid w:val="00CE14E2"/>
    <w:rsid w:val="00CE169E"/>
    <w:rsid w:val="00CE173E"/>
    <w:rsid w:val="00CE176A"/>
    <w:rsid w:val="00CE17A8"/>
    <w:rsid w:val="00CE17C1"/>
    <w:rsid w:val="00CE18A7"/>
    <w:rsid w:val="00CE18CF"/>
    <w:rsid w:val="00CE1923"/>
    <w:rsid w:val="00CE199E"/>
    <w:rsid w:val="00CE19CF"/>
    <w:rsid w:val="00CE19F5"/>
    <w:rsid w:val="00CE1A02"/>
    <w:rsid w:val="00CE1A2D"/>
    <w:rsid w:val="00CE1AA0"/>
    <w:rsid w:val="00CE1AF2"/>
    <w:rsid w:val="00CE1B5D"/>
    <w:rsid w:val="00CE1C52"/>
    <w:rsid w:val="00CE1CBA"/>
    <w:rsid w:val="00CE1D25"/>
    <w:rsid w:val="00CE1D4A"/>
    <w:rsid w:val="00CE1DCA"/>
    <w:rsid w:val="00CE1E22"/>
    <w:rsid w:val="00CE1F27"/>
    <w:rsid w:val="00CE1F91"/>
    <w:rsid w:val="00CE2067"/>
    <w:rsid w:val="00CE20A0"/>
    <w:rsid w:val="00CE22AC"/>
    <w:rsid w:val="00CE23C4"/>
    <w:rsid w:val="00CE2422"/>
    <w:rsid w:val="00CE2447"/>
    <w:rsid w:val="00CE25D5"/>
    <w:rsid w:val="00CE25F4"/>
    <w:rsid w:val="00CE267F"/>
    <w:rsid w:val="00CE27A3"/>
    <w:rsid w:val="00CE2860"/>
    <w:rsid w:val="00CE28DE"/>
    <w:rsid w:val="00CE28FC"/>
    <w:rsid w:val="00CE296F"/>
    <w:rsid w:val="00CE2A32"/>
    <w:rsid w:val="00CE2B00"/>
    <w:rsid w:val="00CE2B95"/>
    <w:rsid w:val="00CE2D12"/>
    <w:rsid w:val="00CE2EE1"/>
    <w:rsid w:val="00CE2F04"/>
    <w:rsid w:val="00CE2F53"/>
    <w:rsid w:val="00CE2F66"/>
    <w:rsid w:val="00CE3039"/>
    <w:rsid w:val="00CE30A8"/>
    <w:rsid w:val="00CE310F"/>
    <w:rsid w:val="00CE3177"/>
    <w:rsid w:val="00CE31E9"/>
    <w:rsid w:val="00CE348F"/>
    <w:rsid w:val="00CE3520"/>
    <w:rsid w:val="00CE365E"/>
    <w:rsid w:val="00CE3723"/>
    <w:rsid w:val="00CE3725"/>
    <w:rsid w:val="00CE3748"/>
    <w:rsid w:val="00CE379D"/>
    <w:rsid w:val="00CE37CE"/>
    <w:rsid w:val="00CE3929"/>
    <w:rsid w:val="00CE3BC1"/>
    <w:rsid w:val="00CE3C15"/>
    <w:rsid w:val="00CE3C28"/>
    <w:rsid w:val="00CE3C56"/>
    <w:rsid w:val="00CE3D29"/>
    <w:rsid w:val="00CE3E70"/>
    <w:rsid w:val="00CE3F02"/>
    <w:rsid w:val="00CE3F96"/>
    <w:rsid w:val="00CE3F9C"/>
    <w:rsid w:val="00CE4158"/>
    <w:rsid w:val="00CE4172"/>
    <w:rsid w:val="00CE4262"/>
    <w:rsid w:val="00CE42D1"/>
    <w:rsid w:val="00CE43A9"/>
    <w:rsid w:val="00CE44D8"/>
    <w:rsid w:val="00CE451F"/>
    <w:rsid w:val="00CE4547"/>
    <w:rsid w:val="00CE46CD"/>
    <w:rsid w:val="00CE4844"/>
    <w:rsid w:val="00CE487A"/>
    <w:rsid w:val="00CE4894"/>
    <w:rsid w:val="00CE49BE"/>
    <w:rsid w:val="00CE49EE"/>
    <w:rsid w:val="00CE4A2E"/>
    <w:rsid w:val="00CE4B60"/>
    <w:rsid w:val="00CE4B64"/>
    <w:rsid w:val="00CE4BFE"/>
    <w:rsid w:val="00CE4CB5"/>
    <w:rsid w:val="00CE4DBD"/>
    <w:rsid w:val="00CE4E8C"/>
    <w:rsid w:val="00CE4EB8"/>
    <w:rsid w:val="00CE500B"/>
    <w:rsid w:val="00CE5024"/>
    <w:rsid w:val="00CE5025"/>
    <w:rsid w:val="00CE5089"/>
    <w:rsid w:val="00CE51AB"/>
    <w:rsid w:val="00CE526E"/>
    <w:rsid w:val="00CE52A9"/>
    <w:rsid w:val="00CE534B"/>
    <w:rsid w:val="00CE53EE"/>
    <w:rsid w:val="00CE5427"/>
    <w:rsid w:val="00CE54A6"/>
    <w:rsid w:val="00CE54B8"/>
    <w:rsid w:val="00CE573F"/>
    <w:rsid w:val="00CE578E"/>
    <w:rsid w:val="00CE5840"/>
    <w:rsid w:val="00CE58F0"/>
    <w:rsid w:val="00CE5913"/>
    <w:rsid w:val="00CE5984"/>
    <w:rsid w:val="00CE5BD3"/>
    <w:rsid w:val="00CE5C13"/>
    <w:rsid w:val="00CE5CD7"/>
    <w:rsid w:val="00CE5DEB"/>
    <w:rsid w:val="00CE5E8A"/>
    <w:rsid w:val="00CE5EF3"/>
    <w:rsid w:val="00CE5F75"/>
    <w:rsid w:val="00CE5FD7"/>
    <w:rsid w:val="00CE602C"/>
    <w:rsid w:val="00CE60FD"/>
    <w:rsid w:val="00CE6179"/>
    <w:rsid w:val="00CE61C2"/>
    <w:rsid w:val="00CE62A4"/>
    <w:rsid w:val="00CE62D9"/>
    <w:rsid w:val="00CE6430"/>
    <w:rsid w:val="00CE64EC"/>
    <w:rsid w:val="00CE6564"/>
    <w:rsid w:val="00CE6676"/>
    <w:rsid w:val="00CE6778"/>
    <w:rsid w:val="00CE68C0"/>
    <w:rsid w:val="00CE6905"/>
    <w:rsid w:val="00CE6968"/>
    <w:rsid w:val="00CE696A"/>
    <w:rsid w:val="00CE696E"/>
    <w:rsid w:val="00CE6B8D"/>
    <w:rsid w:val="00CE6B9D"/>
    <w:rsid w:val="00CE6BEA"/>
    <w:rsid w:val="00CE6C76"/>
    <w:rsid w:val="00CE6CB0"/>
    <w:rsid w:val="00CE6CED"/>
    <w:rsid w:val="00CE6D8E"/>
    <w:rsid w:val="00CE6E3F"/>
    <w:rsid w:val="00CE6F56"/>
    <w:rsid w:val="00CE70E5"/>
    <w:rsid w:val="00CE7101"/>
    <w:rsid w:val="00CE7134"/>
    <w:rsid w:val="00CE713B"/>
    <w:rsid w:val="00CE714C"/>
    <w:rsid w:val="00CE71F0"/>
    <w:rsid w:val="00CE720F"/>
    <w:rsid w:val="00CE7254"/>
    <w:rsid w:val="00CE72E9"/>
    <w:rsid w:val="00CE73B7"/>
    <w:rsid w:val="00CE7440"/>
    <w:rsid w:val="00CE745D"/>
    <w:rsid w:val="00CE74B0"/>
    <w:rsid w:val="00CE7557"/>
    <w:rsid w:val="00CE755E"/>
    <w:rsid w:val="00CE75BA"/>
    <w:rsid w:val="00CE7682"/>
    <w:rsid w:val="00CE7749"/>
    <w:rsid w:val="00CE790C"/>
    <w:rsid w:val="00CE7A4F"/>
    <w:rsid w:val="00CE7A82"/>
    <w:rsid w:val="00CE7B2A"/>
    <w:rsid w:val="00CE7B3D"/>
    <w:rsid w:val="00CE7B7D"/>
    <w:rsid w:val="00CE7C4C"/>
    <w:rsid w:val="00CF003B"/>
    <w:rsid w:val="00CF004F"/>
    <w:rsid w:val="00CF023A"/>
    <w:rsid w:val="00CF02FA"/>
    <w:rsid w:val="00CF04FD"/>
    <w:rsid w:val="00CF0521"/>
    <w:rsid w:val="00CF058E"/>
    <w:rsid w:val="00CF079B"/>
    <w:rsid w:val="00CF09E7"/>
    <w:rsid w:val="00CF0A5F"/>
    <w:rsid w:val="00CF0A69"/>
    <w:rsid w:val="00CF0B4A"/>
    <w:rsid w:val="00CF0B93"/>
    <w:rsid w:val="00CF0C3C"/>
    <w:rsid w:val="00CF0C42"/>
    <w:rsid w:val="00CF0C5C"/>
    <w:rsid w:val="00CF0C5E"/>
    <w:rsid w:val="00CF0CA1"/>
    <w:rsid w:val="00CF0CFA"/>
    <w:rsid w:val="00CF0D15"/>
    <w:rsid w:val="00CF0E69"/>
    <w:rsid w:val="00CF0E7D"/>
    <w:rsid w:val="00CF0F16"/>
    <w:rsid w:val="00CF0FDE"/>
    <w:rsid w:val="00CF1176"/>
    <w:rsid w:val="00CF11E8"/>
    <w:rsid w:val="00CF1278"/>
    <w:rsid w:val="00CF1347"/>
    <w:rsid w:val="00CF1386"/>
    <w:rsid w:val="00CF138A"/>
    <w:rsid w:val="00CF147D"/>
    <w:rsid w:val="00CF152E"/>
    <w:rsid w:val="00CF1614"/>
    <w:rsid w:val="00CF1672"/>
    <w:rsid w:val="00CF170D"/>
    <w:rsid w:val="00CF1764"/>
    <w:rsid w:val="00CF1791"/>
    <w:rsid w:val="00CF1882"/>
    <w:rsid w:val="00CF1A8A"/>
    <w:rsid w:val="00CF1AC4"/>
    <w:rsid w:val="00CF1BCD"/>
    <w:rsid w:val="00CF1C3A"/>
    <w:rsid w:val="00CF1D4A"/>
    <w:rsid w:val="00CF1FE0"/>
    <w:rsid w:val="00CF2202"/>
    <w:rsid w:val="00CF223C"/>
    <w:rsid w:val="00CF2562"/>
    <w:rsid w:val="00CF263B"/>
    <w:rsid w:val="00CF2653"/>
    <w:rsid w:val="00CF2675"/>
    <w:rsid w:val="00CF2688"/>
    <w:rsid w:val="00CF273C"/>
    <w:rsid w:val="00CF27F7"/>
    <w:rsid w:val="00CF285D"/>
    <w:rsid w:val="00CF291B"/>
    <w:rsid w:val="00CF2930"/>
    <w:rsid w:val="00CF29FE"/>
    <w:rsid w:val="00CF2A6D"/>
    <w:rsid w:val="00CF2D91"/>
    <w:rsid w:val="00CF2E11"/>
    <w:rsid w:val="00CF2F0B"/>
    <w:rsid w:val="00CF2F31"/>
    <w:rsid w:val="00CF3076"/>
    <w:rsid w:val="00CF30FB"/>
    <w:rsid w:val="00CF31A6"/>
    <w:rsid w:val="00CF31C1"/>
    <w:rsid w:val="00CF31EB"/>
    <w:rsid w:val="00CF3395"/>
    <w:rsid w:val="00CF3610"/>
    <w:rsid w:val="00CF371C"/>
    <w:rsid w:val="00CF3847"/>
    <w:rsid w:val="00CF38E1"/>
    <w:rsid w:val="00CF38FB"/>
    <w:rsid w:val="00CF3960"/>
    <w:rsid w:val="00CF3A4E"/>
    <w:rsid w:val="00CF3A71"/>
    <w:rsid w:val="00CF3C24"/>
    <w:rsid w:val="00CF3D63"/>
    <w:rsid w:val="00CF3D72"/>
    <w:rsid w:val="00CF3DC8"/>
    <w:rsid w:val="00CF3EE9"/>
    <w:rsid w:val="00CF3EEC"/>
    <w:rsid w:val="00CF3FE9"/>
    <w:rsid w:val="00CF40C6"/>
    <w:rsid w:val="00CF4128"/>
    <w:rsid w:val="00CF41EC"/>
    <w:rsid w:val="00CF4206"/>
    <w:rsid w:val="00CF4346"/>
    <w:rsid w:val="00CF44BA"/>
    <w:rsid w:val="00CF44D8"/>
    <w:rsid w:val="00CF46F1"/>
    <w:rsid w:val="00CF4855"/>
    <w:rsid w:val="00CF4931"/>
    <w:rsid w:val="00CF4943"/>
    <w:rsid w:val="00CF4A5B"/>
    <w:rsid w:val="00CF4BB4"/>
    <w:rsid w:val="00CF4CDA"/>
    <w:rsid w:val="00CF4F2D"/>
    <w:rsid w:val="00CF5005"/>
    <w:rsid w:val="00CF5021"/>
    <w:rsid w:val="00CF5030"/>
    <w:rsid w:val="00CF5095"/>
    <w:rsid w:val="00CF51D5"/>
    <w:rsid w:val="00CF51DB"/>
    <w:rsid w:val="00CF522F"/>
    <w:rsid w:val="00CF5260"/>
    <w:rsid w:val="00CF52FC"/>
    <w:rsid w:val="00CF5345"/>
    <w:rsid w:val="00CF5385"/>
    <w:rsid w:val="00CF547E"/>
    <w:rsid w:val="00CF5505"/>
    <w:rsid w:val="00CF5568"/>
    <w:rsid w:val="00CF56BE"/>
    <w:rsid w:val="00CF56D5"/>
    <w:rsid w:val="00CF57AB"/>
    <w:rsid w:val="00CF583C"/>
    <w:rsid w:val="00CF5919"/>
    <w:rsid w:val="00CF591C"/>
    <w:rsid w:val="00CF5999"/>
    <w:rsid w:val="00CF59DE"/>
    <w:rsid w:val="00CF5A14"/>
    <w:rsid w:val="00CF5A4A"/>
    <w:rsid w:val="00CF5A83"/>
    <w:rsid w:val="00CF5AB5"/>
    <w:rsid w:val="00CF5B26"/>
    <w:rsid w:val="00CF5B3F"/>
    <w:rsid w:val="00CF5C33"/>
    <w:rsid w:val="00CF5CAC"/>
    <w:rsid w:val="00CF5CD3"/>
    <w:rsid w:val="00CF5D2D"/>
    <w:rsid w:val="00CF5E14"/>
    <w:rsid w:val="00CF5F7C"/>
    <w:rsid w:val="00CF5FF4"/>
    <w:rsid w:val="00CF6003"/>
    <w:rsid w:val="00CF60FE"/>
    <w:rsid w:val="00CF6132"/>
    <w:rsid w:val="00CF616F"/>
    <w:rsid w:val="00CF625B"/>
    <w:rsid w:val="00CF62A2"/>
    <w:rsid w:val="00CF62C6"/>
    <w:rsid w:val="00CF635F"/>
    <w:rsid w:val="00CF639F"/>
    <w:rsid w:val="00CF655D"/>
    <w:rsid w:val="00CF667F"/>
    <w:rsid w:val="00CF66FA"/>
    <w:rsid w:val="00CF6994"/>
    <w:rsid w:val="00CF69AE"/>
    <w:rsid w:val="00CF69D0"/>
    <w:rsid w:val="00CF6A27"/>
    <w:rsid w:val="00CF6A94"/>
    <w:rsid w:val="00CF6A9C"/>
    <w:rsid w:val="00CF6BDB"/>
    <w:rsid w:val="00CF6BED"/>
    <w:rsid w:val="00CF6CB2"/>
    <w:rsid w:val="00CF6CB7"/>
    <w:rsid w:val="00CF6EEB"/>
    <w:rsid w:val="00CF6F38"/>
    <w:rsid w:val="00CF6F8A"/>
    <w:rsid w:val="00CF6FBA"/>
    <w:rsid w:val="00CF703B"/>
    <w:rsid w:val="00CF7286"/>
    <w:rsid w:val="00CF728B"/>
    <w:rsid w:val="00CF72D2"/>
    <w:rsid w:val="00CF7392"/>
    <w:rsid w:val="00CF73F6"/>
    <w:rsid w:val="00CF7491"/>
    <w:rsid w:val="00CF751B"/>
    <w:rsid w:val="00CF755A"/>
    <w:rsid w:val="00CF7595"/>
    <w:rsid w:val="00CF767C"/>
    <w:rsid w:val="00CF7845"/>
    <w:rsid w:val="00CF78DA"/>
    <w:rsid w:val="00CF78FB"/>
    <w:rsid w:val="00CF79E3"/>
    <w:rsid w:val="00CF79E4"/>
    <w:rsid w:val="00CF7A7B"/>
    <w:rsid w:val="00CF7ADE"/>
    <w:rsid w:val="00CF7B96"/>
    <w:rsid w:val="00CF7BEE"/>
    <w:rsid w:val="00CF7C1A"/>
    <w:rsid w:val="00CF7D3B"/>
    <w:rsid w:val="00CF7E10"/>
    <w:rsid w:val="00CF7EB3"/>
    <w:rsid w:val="00D001BD"/>
    <w:rsid w:val="00D0026C"/>
    <w:rsid w:val="00D00283"/>
    <w:rsid w:val="00D0028A"/>
    <w:rsid w:val="00D0033C"/>
    <w:rsid w:val="00D00345"/>
    <w:rsid w:val="00D003AF"/>
    <w:rsid w:val="00D003B8"/>
    <w:rsid w:val="00D00468"/>
    <w:rsid w:val="00D00714"/>
    <w:rsid w:val="00D007A1"/>
    <w:rsid w:val="00D007A4"/>
    <w:rsid w:val="00D007EC"/>
    <w:rsid w:val="00D008CD"/>
    <w:rsid w:val="00D008E8"/>
    <w:rsid w:val="00D00957"/>
    <w:rsid w:val="00D00C22"/>
    <w:rsid w:val="00D00D09"/>
    <w:rsid w:val="00D00DDB"/>
    <w:rsid w:val="00D00DEA"/>
    <w:rsid w:val="00D00E8D"/>
    <w:rsid w:val="00D00F23"/>
    <w:rsid w:val="00D00F28"/>
    <w:rsid w:val="00D00FAA"/>
    <w:rsid w:val="00D00FC3"/>
    <w:rsid w:val="00D00FFE"/>
    <w:rsid w:val="00D01058"/>
    <w:rsid w:val="00D0109C"/>
    <w:rsid w:val="00D010B3"/>
    <w:rsid w:val="00D01131"/>
    <w:rsid w:val="00D0118C"/>
    <w:rsid w:val="00D012B4"/>
    <w:rsid w:val="00D01367"/>
    <w:rsid w:val="00D013B9"/>
    <w:rsid w:val="00D01429"/>
    <w:rsid w:val="00D01520"/>
    <w:rsid w:val="00D0153F"/>
    <w:rsid w:val="00D015FE"/>
    <w:rsid w:val="00D01653"/>
    <w:rsid w:val="00D01776"/>
    <w:rsid w:val="00D018D9"/>
    <w:rsid w:val="00D01A0C"/>
    <w:rsid w:val="00D01A72"/>
    <w:rsid w:val="00D01A7C"/>
    <w:rsid w:val="00D01A7D"/>
    <w:rsid w:val="00D01B13"/>
    <w:rsid w:val="00D01BBF"/>
    <w:rsid w:val="00D01C40"/>
    <w:rsid w:val="00D01C42"/>
    <w:rsid w:val="00D01D62"/>
    <w:rsid w:val="00D01DDD"/>
    <w:rsid w:val="00D01DE0"/>
    <w:rsid w:val="00D01E35"/>
    <w:rsid w:val="00D01F3A"/>
    <w:rsid w:val="00D01F6E"/>
    <w:rsid w:val="00D02118"/>
    <w:rsid w:val="00D0219D"/>
    <w:rsid w:val="00D021A1"/>
    <w:rsid w:val="00D021AD"/>
    <w:rsid w:val="00D021C5"/>
    <w:rsid w:val="00D0222D"/>
    <w:rsid w:val="00D022A5"/>
    <w:rsid w:val="00D0245A"/>
    <w:rsid w:val="00D0252F"/>
    <w:rsid w:val="00D02585"/>
    <w:rsid w:val="00D02685"/>
    <w:rsid w:val="00D026E0"/>
    <w:rsid w:val="00D02726"/>
    <w:rsid w:val="00D0282A"/>
    <w:rsid w:val="00D02884"/>
    <w:rsid w:val="00D028CB"/>
    <w:rsid w:val="00D02988"/>
    <w:rsid w:val="00D02A6B"/>
    <w:rsid w:val="00D02AF9"/>
    <w:rsid w:val="00D02B0E"/>
    <w:rsid w:val="00D02C98"/>
    <w:rsid w:val="00D02CDD"/>
    <w:rsid w:val="00D02DD8"/>
    <w:rsid w:val="00D02DDE"/>
    <w:rsid w:val="00D02E69"/>
    <w:rsid w:val="00D02E7F"/>
    <w:rsid w:val="00D02EA0"/>
    <w:rsid w:val="00D02EC8"/>
    <w:rsid w:val="00D03290"/>
    <w:rsid w:val="00D0346D"/>
    <w:rsid w:val="00D0348C"/>
    <w:rsid w:val="00D034C1"/>
    <w:rsid w:val="00D03516"/>
    <w:rsid w:val="00D03556"/>
    <w:rsid w:val="00D036F1"/>
    <w:rsid w:val="00D036F3"/>
    <w:rsid w:val="00D037C4"/>
    <w:rsid w:val="00D037E0"/>
    <w:rsid w:val="00D0395C"/>
    <w:rsid w:val="00D03A5D"/>
    <w:rsid w:val="00D03AAA"/>
    <w:rsid w:val="00D03ABF"/>
    <w:rsid w:val="00D03B28"/>
    <w:rsid w:val="00D03CCA"/>
    <w:rsid w:val="00D03E81"/>
    <w:rsid w:val="00D04030"/>
    <w:rsid w:val="00D04082"/>
    <w:rsid w:val="00D0413F"/>
    <w:rsid w:val="00D04224"/>
    <w:rsid w:val="00D04254"/>
    <w:rsid w:val="00D042AA"/>
    <w:rsid w:val="00D042B6"/>
    <w:rsid w:val="00D042C9"/>
    <w:rsid w:val="00D04381"/>
    <w:rsid w:val="00D043C5"/>
    <w:rsid w:val="00D0444C"/>
    <w:rsid w:val="00D0447D"/>
    <w:rsid w:val="00D045B4"/>
    <w:rsid w:val="00D04636"/>
    <w:rsid w:val="00D0467C"/>
    <w:rsid w:val="00D0469C"/>
    <w:rsid w:val="00D04701"/>
    <w:rsid w:val="00D0471B"/>
    <w:rsid w:val="00D04803"/>
    <w:rsid w:val="00D0487A"/>
    <w:rsid w:val="00D048AE"/>
    <w:rsid w:val="00D049B3"/>
    <w:rsid w:val="00D04B6D"/>
    <w:rsid w:val="00D04BD9"/>
    <w:rsid w:val="00D04C46"/>
    <w:rsid w:val="00D04C70"/>
    <w:rsid w:val="00D04C8A"/>
    <w:rsid w:val="00D04C8C"/>
    <w:rsid w:val="00D04CB1"/>
    <w:rsid w:val="00D04F0C"/>
    <w:rsid w:val="00D04F69"/>
    <w:rsid w:val="00D04F7F"/>
    <w:rsid w:val="00D050F7"/>
    <w:rsid w:val="00D05164"/>
    <w:rsid w:val="00D052AC"/>
    <w:rsid w:val="00D052B1"/>
    <w:rsid w:val="00D052CC"/>
    <w:rsid w:val="00D0558C"/>
    <w:rsid w:val="00D05596"/>
    <w:rsid w:val="00D056EF"/>
    <w:rsid w:val="00D05987"/>
    <w:rsid w:val="00D05992"/>
    <w:rsid w:val="00D05A37"/>
    <w:rsid w:val="00D05A3E"/>
    <w:rsid w:val="00D05A9A"/>
    <w:rsid w:val="00D05B59"/>
    <w:rsid w:val="00D05BC2"/>
    <w:rsid w:val="00D05C5D"/>
    <w:rsid w:val="00D05DB2"/>
    <w:rsid w:val="00D05E33"/>
    <w:rsid w:val="00D05F76"/>
    <w:rsid w:val="00D0611A"/>
    <w:rsid w:val="00D06223"/>
    <w:rsid w:val="00D06244"/>
    <w:rsid w:val="00D062B9"/>
    <w:rsid w:val="00D06334"/>
    <w:rsid w:val="00D064A7"/>
    <w:rsid w:val="00D06547"/>
    <w:rsid w:val="00D06592"/>
    <w:rsid w:val="00D0659A"/>
    <w:rsid w:val="00D0670A"/>
    <w:rsid w:val="00D06813"/>
    <w:rsid w:val="00D06B28"/>
    <w:rsid w:val="00D06B7F"/>
    <w:rsid w:val="00D06D01"/>
    <w:rsid w:val="00D06D5C"/>
    <w:rsid w:val="00D06E36"/>
    <w:rsid w:val="00D06FA1"/>
    <w:rsid w:val="00D07128"/>
    <w:rsid w:val="00D07175"/>
    <w:rsid w:val="00D07179"/>
    <w:rsid w:val="00D071A4"/>
    <w:rsid w:val="00D071DD"/>
    <w:rsid w:val="00D07445"/>
    <w:rsid w:val="00D07456"/>
    <w:rsid w:val="00D07485"/>
    <w:rsid w:val="00D07511"/>
    <w:rsid w:val="00D075EA"/>
    <w:rsid w:val="00D07619"/>
    <w:rsid w:val="00D079A2"/>
    <w:rsid w:val="00D079D3"/>
    <w:rsid w:val="00D07A0A"/>
    <w:rsid w:val="00D07A75"/>
    <w:rsid w:val="00D07B5B"/>
    <w:rsid w:val="00D07B90"/>
    <w:rsid w:val="00D07BC0"/>
    <w:rsid w:val="00D07BC5"/>
    <w:rsid w:val="00D07C61"/>
    <w:rsid w:val="00D07CB5"/>
    <w:rsid w:val="00D07CC4"/>
    <w:rsid w:val="00D07D06"/>
    <w:rsid w:val="00D07D6B"/>
    <w:rsid w:val="00D07E71"/>
    <w:rsid w:val="00D100D2"/>
    <w:rsid w:val="00D10245"/>
    <w:rsid w:val="00D10255"/>
    <w:rsid w:val="00D102AE"/>
    <w:rsid w:val="00D104BC"/>
    <w:rsid w:val="00D10523"/>
    <w:rsid w:val="00D10718"/>
    <w:rsid w:val="00D10752"/>
    <w:rsid w:val="00D1084C"/>
    <w:rsid w:val="00D1085E"/>
    <w:rsid w:val="00D10896"/>
    <w:rsid w:val="00D10933"/>
    <w:rsid w:val="00D10A88"/>
    <w:rsid w:val="00D10ADF"/>
    <w:rsid w:val="00D10B99"/>
    <w:rsid w:val="00D10C58"/>
    <w:rsid w:val="00D10D4F"/>
    <w:rsid w:val="00D10D71"/>
    <w:rsid w:val="00D10D78"/>
    <w:rsid w:val="00D10DE9"/>
    <w:rsid w:val="00D10E1C"/>
    <w:rsid w:val="00D10E31"/>
    <w:rsid w:val="00D10E93"/>
    <w:rsid w:val="00D10EB0"/>
    <w:rsid w:val="00D10EDC"/>
    <w:rsid w:val="00D11036"/>
    <w:rsid w:val="00D11070"/>
    <w:rsid w:val="00D11152"/>
    <w:rsid w:val="00D11270"/>
    <w:rsid w:val="00D11348"/>
    <w:rsid w:val="00D113BE"/>
    <w:rsid w:val="00D11411"/>
    <w:rsid w:val="00D11489"/>
    <w:rsid w:val="00D11551"/>
    <w:rsid w:val="00D115A9"/>
    <w:rsid w:val="00D1185D"/>
    <w:rsid w:val="00D1186E"/>
    <w:rsid w:val="00D11880"/>
    <w:rsid w:val="00D11992"/>
    <w:rsid w:val="00D119B0"/>
    <w:rsid w:val="00D11AA1"/>
    <w:rsid w:val="00D11B97"/>
    <w:rsid w:val="00D11BA5"/>
    <w:rsid w:val="00D11BC7"/>
    <w:rsid w:val="00D11C5E"/>
    <w:rsid w:val="00D11C7B"/>
    <w:rsid w:val="00D11D3D"/>
    <w:rsid w:val="00D11DA8"/>
    <w:rsid w:val="00D11DD3"/>
    <w:rsid w:val="00D11EAC"/>
    <w:rsid w:val="00D12082"/>
    <w:rsid w:val="00D1211A"/>
    <w:rsid w:val="00D12145"/>
    <w:rsid w:val="00D1222A"/>
    <w:rsid w:val="00D1222E"/>
    <w:rsid w:val="00D122CB"/>
    <w:rsid w:val="00D122CC"/>
    <w:rsid w:val="00D123A3"/>
    <w:rsid w:val="00D123BA"/>
    <w:rsid w:val="00D123C5"/>
    <w:rsid w:val="00D12641"/>
    <w:rsid w:val="00D126BD"/>
    <w:rsid w:val="00D12767"/>
    <w:rsid w:val="00D128AB"/>
    <w:rsid w:val="00D128C7"/>
    <w:rsid w:val="00D12947"/>
    <w:rsid w:val="00D12A3B"/>
    <w:rsid w:val="00D12BA9"/>
    <w:rsid w:val="00D12CF4"/>
    <w:rsid w:val="00D12D3A"/>
    <w:rsid w:val="00D12F2F"/>
    <w:rsid w:val="00D12F4B"/>
    <w:rsid w:val="00D13010"/>
    <w:rsid w:val="00D1309E"/>
    <w:rsid w:val="00D13130"/>
    <w:rsid w:val="00D1315C"/>
    <w:rsid w:val="00D131C0"/>
    <w:rsid w:val="00D131DD"/>
    <w:rsid w:val="00D13202"/>
    <w:rsid w:val="00D13226"/>
    <w:rsid w:val="00D132F7"/>
    <w:rsid w:val="00D13448"/>
    <w:rsid w:val="00D1348E"/>
    <w:rsid w:val="00D13511"/>
    <w:rsid w:val="00D135CF"/>
    <w:rsid w:val="00D13740"/>
    <w:rsid w:val="00D139CC"/>
    <w:rsid w:val="00D139D1"/>
    <w:rsid w:val="00D13A32"/>
    <w:rsid w:val="00D13AB2"/>
    <w:rsid w:val="00D13B08"/>
    <w:rsid w:val="00D13B6F"/>
    <w:rsid w:val="00D13CB8"/>
    <w:rsid w:val="00D13D0E"/>
    <w:rsid w:val="00D13D31"/>
    <w:rsid w:val="00D13DA9"/>
    <w:rsid w:val="00D13E6F"/>
    <w:rsid w:val="00D13EE5"/>
    <w:rsid w:val="00D13F12"/>
    <w:rsid w:val="00D13FB4"/>
    <w:rsid w:val="00D14117"/>
    <w:rsid w:val="00D1419B"/>
    <w:rsid w:val="00D141EF"/>
    <w:rsid w:val="00D143F6"/>
    <w:rsid w:val="00D1456D"/>
    <w:rsid w:val="00D14675"/>
    <w:rsid w:val="00D14706"/>
    <w:rsid w:val="00D14720"/>
    <w:rsid w:val="00D147F1"/>
    <w:rsid w:val="00D1499A"/>
    <w:rsid w:val="00D14A31"/>
    <w:rsid w:val="00D14B47"/>
    <w:rsid w:val="00D14B84"/>
    <w:rsid w:val="00D14B8A"/>
    <w:rsid w:val="00D14C19"/>
    <w:rsid w:val="00D14C79"/>
    <w:rsid w:val="00D14DAA"/>
    <w:rsid w:val="00D15021"/>
    <w:rsid w:val="00D1512C"/>
    <w:rsid w:val="00D152BD"/>
    <w:rsid w:val="00D15367"/>
    <w:rsid w:val="00D153EA"/>
    <w:rsid w:val="00D153F1"/>
    <w:rsid w:val="00D154FB"/>
    <w:rsid w:val="00D1561A"/>
    <w:rsid w:val="00D156B2"/>
    <w:rsid w:val="00D156FE"/>
    <w:rsid w:val="00D157C7"/>
    <w:rsid w:val="00D157E1"/>
    <w:rsid w:val="00D1585A"/>
    <w:rsid w:val="00D158C0"/>
    <w:rsid w:val="00D15904"/>
    <w:rsid w:val="00D159F3"/>
    <w:rsid w:val="00D15A97"/>
    <w:rsid w:val="00D15ACB"/>
    <w:rsid w:val="00D15C80"/>
    <w:rsid w:val="00D15F3E"/>
    <w:rsid w:val="00D15F8D"/>
    <w:rsid w:val="00D16072"/>
    <w:rsid w:val="00D16158"/>
    <w:rsid w:val="00D16167"/>
    <w:rsid w:val="00D1618E"/>
    <w:rsid w:val="00D161EA"/>
    <w:rsid w:val="00D161F3"/>
    <w:rsid w:val="00D16233"/>
    <w:rsid w:val="00D162CA"/>
    <w:rsid w:val="00D16347"/>
    <w:rsid w:val="00D16542"/>
    <w:rsid w:val="00D16546"/>
    <w:rsid w:val="00D1679E"/>
    <w:rsid w:val="00D167D1"/>
    <w:rsid w:val="00D1680A"/>
    <w:rsid w:val="00D1681B"/>
    <w:rsid w:val="00D16919"/>
    <w:rsid w:val="00D169DE"/>
    <w:rsid w:val="00D16AC8"/>
    <w:rsid w:val="00D16C5A"/>
    <w:rsid w:val="00D16CA3"/>
    <w:rsid w:val="00D16F65"/>
    <w:rsid w:val="00D16FA6"/>
    <w:rsid w:val="00D17085"/>
    <w:rsid w:val="00D170CE"/>
    <w:rsid w:val="00D171BE"/>
    <w:rsid w:val="00D172F4"/>
    <w:rsid w:val="00D17482"/>
    <w:rsid w:val="00D17591"/>
    <w:rsid w:val="00D175D6"/>
    <w:rsid w:val="00D1779F"/>
    <w:rsid w:val="00D178E9"/>
    <w:rsid w:val="00D17A7E"/>
    <w:rsid w:val="00D17BD4"/>
    <w:rsid w:val="00D17C47"/>
    <w:rsid w:val="00D17D61"/>
    <w:rsid w:val="00D2000F"/>
    <w:rsid w:val="00D20042"/>
    <w:rsid w:val="00D201F1"/>
    <w:rsid w:val="00D2027D"/>
    <w:rsid w:val="00D202C5"/>
    <w:rsid w:val="00D202D6"/>
    <w:rsid w:val="00D2034F"/>
    <w:rsid w:val="00D2039D"/>
    <w:rsid w:val="00D204C1"/>
    <w:rsid w:val="00D20599"/>
    <w:rsid w:val="00D205B2"/>
    <w:rsid w:val="00D20657"/>
    <w:rsid w:val="00D206F2"/>
    <w:rsid w:val="00D20776"/>
    <w:rsid w:val="00D2077C"/>
    <w:rsid w:val="00D207BE"/>
    <w:rsid w:val="00D20912"/>
    <w:rsid w:val="00D20A86"/>
    <w:rsid w:val="00D20AF5"/>
    <w:rsid w:val="00D20D55"/>
    <w:rsid w:val="00D20D8C"/>
    <w:rsid w:val="00D20DD1"/>
    <w:rsid w:val="00D20E5F"/>
    <w:rsid w:val="00D20F88"/>
    <w:rsid w:val="00D2105D"/>
    <w:rsid w:val="00D2128D"/>
    <w:rsid w:val="00D21349"/>
    <w:rsid w:val="00D21353"/>
    <w:rsid w:val="00D213A6"/>
    <w:rsid w:val="00D213B5"/>
    <w:rsid w:val="00D215C1"/>
    <w:rsid w:val="00D21713"/>
    <w:rsid w:val="00D2175D"/>
    <w:rsid w:val="00D2177C"/>
    <w:rsid w:val="00D217FB"/>
    <w:rsid w:val="00D21890"/>
    <w:rsid w:val="00D2190B"/>
    <w:rsid w:val="00D219BE"/>
    <w:rsid w:val="00D21B8E"/>
    <w:rsid w:val="00D21C2B"/>
    <w:rsid w:val="00D21CC1"/>
    <w:rsid w:val="00D21CEB"/>
    <w:rsid w:val="00D21D73"/>
    <w:rsid w:val="00D21DED"/>
    <w:rsid w:val="00D21E6E"/>
    <w:rsid w:val="00D21F37"/>
    <w:rsid w:val="00D21FF7"/>
    <w:rsid w:val="00D22104"/>
    <w:rsid w:val="00D221C8"/>
    <w:rsid w:val="00D222C1"/>
    <w:rsid w:val="00D222D7"/>
    <w:rsid w:val="00D22512"/>
    <w:rsid w:val="00D225F1"/>
    <w:rsid w:val="00D22656"/>
    <w:rsid w:val="00D22657"/>
    <w:rsid w:val="00D226CC"/>
    <w:rsid w:val="00D226E5"/>
    <w:rsid w:val="00D227A4"/>
    <w:rsid w:val="00D227B0"/>
    <w:rsid w:val="00D228C9"/>
    <w:rsid w:val="00D22960"/>
    <w:rsid w:val="00D22964"/>
    <w:rsid w:val="00D22A11"/>
    <w:rsid w:val="00D22ADB"/>
    <w:rsid w:val="00D22AF0"/>
    <w:rsid w:val="00D22B3E"/>
    <w:rsid w:val="00D22BC4"/>
    <w:rsid w:val="00D22BDA"/>
    <w:rsid w:val="00D22BEB"/>
    <w:rsid w:val="00D22E6E"/>
    <w:rsid w:val="00D22EC1"/>
    <w:rsid w:val="00D22FDE"/>
    <w:rsid w:val="00D23010"/>
    <w:rsid w:val="00D23097"/>
    <w:rsid w:val="00D2315E"/>
    <w:rsid w:val="00D23237"/>
    <w:rsid w:val="00D23321"/>
    <w:rsid w:val="00D23449"/>
    <w:rsid w:val="00D234AD"/>
    <w:rsid w:val="00D235A7"/>
    <w:rsid w:val="00D235D0"/>
    <w:rsid w:val="00D23619"/>
    <w:rsid w:val="00D2362C"/>
    <w:rsid w:val="00D237C8"/>
    <w:rsid w:val="00D2380A"/>
    <w:rsid w:val="00D23824"/>
    <w:rsid w:val="00D238A4"/>
    <w:rsid w:val="00D239B5"/>
    <w:rsid w:val="00D23B5B"/>
    <w:rsid w:val="00D23BF0"/>
    <w:rsid w:val="00D23CBC"/>
    <w:rsid w:val="00D23CC1"/>
    <w:rsid w:val="00D23CD2"/>
    <w:rsid w:val="00D23DBA"/>
    <w:rsid w:val="00D23E46"/>
    <w:rsid w:val="00D23ED6"/>
    <w:rsid w:val="00D23F7E"/>
    <w:rsid w:val="00D23FDE"/>
    <w:rsid w:val="00D240DD"/>
    <w:rsid w:val="00D241F8"/>
    <w:rsid w:val="00D242E3"/>
    <w:rsid w:val="00D242F7"/>
    <w:rsid w:val="00D24340"/>
    <w:rsid w:val="00D24352"/>
    <w:rsid w:val="00D243C3"/>
    <w:rsid w:val="00D2453D"/>
    <w:rsid w:val="00D2456B"/>
    <w:rsid w:val="00D24608"/>
    <w:rsid w:val="00D24616"/>
    <w:rsid w:val="00D246FB"/>
    <w:rsid w:val="00D24734"/>
    <w:rsid w:val="00D2478F"/>
    <w:rsid w:val="00D247BC"/>
    <w:rsid w:val="00D24AE2"/>
    <w:rsid w:val="00D24B1C"/>
    <w:rsid w:val="00D24BF3"/>
    <w:rsid w:val="00D24C30"/>
    <w:rsid w:val="00D24D7E"/>
    <w:rsid w:val="00D24E07"/>
    <w:rsid w:val="00D24E21"/>
    <w:rsid w:val="00D24E61"/>
    <w:rsid w:val="00D24E94"/>
    <w:rsid w:val="00D24F6E"/>
    <w:rsid w:val="00D250B6"/>
    <w:rsid w:val="00D250E4"/>
    <w:rsid w:val="00D2517B"/>
    <w:rsid w:val="00D25235"/>
    <w:rsid w:val="00D252A5"/>
    <w:rsid w:val="00D252B6"/>
    <w:rsid w:val="00D2546A"/>
    <w:rsid w:val="00D25481"/>
    <w:rsid w:val="00D2549C"/>
    <w:rsid w:val="00D254A8"/>
    <w:rsid w:val="00D2554C"/>
    <w:rsid w:val="00D256C8"/>
    <w:rsid w:val="00D257EA"/>
    <w:rsid w:val="00D257F6"/>
    <w:rsid w:val="00D2584C"/>
    <w:rsid w:val="00D259B1"/>
    <w:rsid w:val="00D25A25"/>
    <w:rsid w:val="00D25A5B"/>
    <w:rsid w:val="00D25AF2"/>
    <w:rsid w:val="00D25B2A"/>
    <w:rsid w:val="00D25D0D"/>
    <w:rsid w:val="00D25EA2"/>
    <w:rsid w:val="00D25EDA"/>
    <w:rsid w:val="00D25F55"/>
    <w:rsid w:val="00D26080"/>
    <w:rsid w:val="00D26140"/>
    <w:rsid w:val="00D26219"/>
    <w:rsid w:val="00D26227"/>
    <w:rsid w:val="00D262E3"/>
    <w:rsid w:val="00D263BA"/>
    <w:rsid w:val="00D2640F"/>
    <w:rsid w:val="00D26484"/>
    <w:rsid w:val="00D26638"/>
    <w:rsid w:val="00D26812"/>
    <w:rsid w:val="00D2681C"/>
    <w:rsid w:val="00D268FF"/>
    <w:rsid w:val="00D269D3"/>
    <w:rsid w:val="00D26A75"/>
    <w:rsid w:val="00D26A84"/>
    <w:rsid w:val="00D26CAE"/>
    <w:rsid w:val="00D26E64"/>
    <w:rsid w:val="00D26E8B"/>
    <w:rsid w:val="00D26F9C"/>
    <w:rsid w:val="00D27026"/>
    <w:rsid w:val="00D27049"/>
    <w:rsid w:val="00D271FF"/>
    <w:rsid w:val="00D2725F"/>
    <w:rsid w:val="00D27445"/>
    <w:rsid w:val="00D274F7"/>
    <w:rsid w:val="00D27688"/>
    <w:rsid w:val="00D27780"/>
    <w:rsid w:val="00D277F1"/>
    <w:rsid w:val="00D27892"/>
    <w:rsid w:val="00D27976"/>
    <w:rsid w:val="00D279B2"/>
    <w:rsid w:val="00D27A7A"/>
    <w:rsid w:val="00D27B22"/>
    <w:rsid w:val="00D27C17"/>
    <w:rsid w:val="00D27C4B"/>
    <w:rsid w:val="00D27D5A"/>
    <w:rsid w:val="00D27F57"/>
    <w:rsid w:val="00D27F60"/>
    <w:rsid w:val="00D301E8"/>
    <w:rsid w:val="00D301FB"/>
    <w:rsid w:val="00D3029E"/>
    <w:rsid w:val="00D303C9"/>
    <w:rsid w:val="00D304CE"/>
    <w:rsid w:val="00D30592"/>
    <w:rsid w:val="00D3061F"/>
    <w:rsid w:val="00D30678"/>
    <w:rsid w:val="00D306E7"/>
    <w:rsid w:val="00D306EF"/>
    <w:rsid w:val="00D3073A"/>
    <w:rsid w:val="00D30846"/>
    <w:rsid w:val="00D30AD1"/>
    <w:rsid w:val="00D30BF9"/>
    <w:rsid w:val="00D30C0C"/>
    <w:rsid w:val="00D30C1E"/>
    <w:rsid w:val="00D30C57"/>
    <w:rsid w:val="00D30D41"/>
    <w:rsid w:val="00D30E4F"/>
    <w:rsid w:val="00D31105"/>
    <w:rsid w:val="00D3114D"/>
    <w:rsid w:val="00D3124B"/>
    <w:rsid w:val="00D31298"/>
    <w:rsid w:val="00D31305"/>
    <w:rsid w:val="00D31492"/>
    <w:rsid w:val="00D31623"/>
    <w:rsid w:val="00D31772"/>
    <w:rsid w:val="00D31793"/>
    <w:rsid w:val="00D31825"/>
    <w:rsid w:val="00D318FA"/>
    <w:rsid w:val="00D3195F"/>
    <w:rsid w:val="00D31A43"/>
    <w:rsid w:val="00D31A65"/>
    <w:rsid w:val="00D31BAD"/>
    <w:rsid w:val="00D31CD8"/>
    <w:rsid w:val="00D31D2F"/>
    <w:rsid w:val="00D31D9B"/>
    <w:rsid w:val="00D31DB7"/>
    <w:rsid w:val="00D31ECD"/>
    <w:rsid w:val="00D320FA"/>
    <w:rsid w:val="00D32117"/>
    <w:rsid w:val="00D3215F"/>
    <w:rsid w:val="00D322BB"/>
    <w:rsid w:val="00D32431"/>
    <w:rsid w:val="00D324F2"/>
    <w:rsid w:val="00D32627"/>
    <w:rsid w:val="00D32632"/>
    <w:rsid w:val="00D32678"/>
    <w:rsid w:val="00D3276B"/>
    <w:rsid w:val="00D3279C"/>
    <w:rsid w:val="00D327DC"/>
    <w:rsid w:val="00D327DE"/>
    <w:rsid w:val="00D32883"/>
    <w:rsid w:val="00D329A2"/>
    <w:rsid w:val="00D32A1E"/>
    <w:rsid w:val="00D32A4C"/>
    <w:rsid w:val="00D32A4F"/>
    <w:rsid w:val="00D32B0F"/>
    <w:rsid w:val="00D32D33"/>
    <w:rsid w:val="00D32DF3"/>
    <w:rsid w:val="00D32F06"/>
    <w:rsid w:val="00D32F17"/>
    <w:rsid w:val="00D330B9"/>
    <w:rsid w:val="00D33159"/>
    <w:rsid w:val="00D331AF"/>
    <w:rsid w:val="00D33281"/>
    <w:rsid w:val="00D332EB"/>
    <w:rsid w:val="00D3342C"/>
    <w:rsid w:val="00D3369B"/>
    <w:rsid w:val="00D336E8"/>
    <w:rsid w:val="00D33761"/>
    <w:rsid w:val="00D33821"/>
    <w:rsid w:val="00D33837"/>
    <w:rsid w:val="00D339C2"/>
    <w:rsid w:val="00D339D6"/>
    <w:rsid w:val="00D33E14"/>
    <w:rsid w:val="00D33EE5"/>
    <w:rsid w:val="00D33FA4"/>
    <w:rsid w:val="00D34058"/>
    <w:rsid w:val="00D3406B"/>
    <w:rsid w:val="00D34243"/>
    <w:rsid w:val="00D342A9"/>
    <w:rsid w:val="00D3438E"/>
    <w:rsid w:val="00D34500"/>
    <w:rsid w:val="00D347AD"/>
    <w:rsid w:val="00D347D5"/>
    <w:rsid w:val="00D34912"/>
    <w:rsid w:val="00D34928"/>
    <w:rsid w:val="00D349C9"/>
    <w:rsid w:val="00D349F1"/>
    <w:rsid w:val="00D34D2D"/>
    <w:rsid w:val="00D34D83"/>
    <w:rsid w:val="00D34DB4"/>
    <w:rsid w:val="00D34F13"/>
    <w:rsid w:val="00D34F55"/>
    <w:rsid w:val="00D34F58"/>
    <w:rsid w:val="00D34F87"/>
    <w:rsid w:val="00D350A5"/>
    <w:rsid w:val="00D3512C"/>
    <w:rsid w:val="00D35177"/>
    <w:rsid w:val="00D3517B"/>
    <w:rsid w:val="00D35386"/>
    <w:rsid w:val="00D35422"/>
    <w:rsid w:val="00D354DD"/>
    <w:rsid w:val="00D35541"/>
    <w:rsid w:val="00D35626"/>
    <w:rsid w:val="00D356AC"/>
    <w:rsid w:val="00D35852"/>
    <w:rsid w:val="00D3586C"/>
    <w:rsid w:val="00D358D8"/>
    <w:rsid w:val="00D35A2C"/>
    <w:rsid w:val="00D35A5A"/>
    <w:rsid w:val="00D35CE0"/>
    <w:rsid w:val="00D35CF0"/>
    <w:rsid w:val="00D35D1E"/>
    <w:rsid w:val="00D35F1D"/>
    <w:rsid w:val="00D35FCD"/>
    <w:rsid w:val="00D360F5"/>
    <w:rsid w:val="00D36113"/>
    <w:rsid w:val="00D36283"/>
    <w:rsid w:val="00D362D6"/>
    <w:rsid w:val="00D36322"/>
    <w:rsid w:val="00D3633D"/>
    <w:rsid w:val="00D36491"/>
    <w:rsid w:val="00D3649D"/>
    <w:rsid w:val="00D36545"/>
    <w:rsid w:val="00D3664B"/>
    <w:rsid w:val="00D366F2"/>
    <w:rsid w:val="00D368C1"/>
    <w:rsid w:val="00D36A2B"/>
    <w:rsid w:val="00D36AD2"/>
    <w:rsid w:val="00D36B35"/>
    <w:rsid w:val="00D36B8E"/>
    <w:rsid w:val="00D36BF5"/>
    <w:rsid w:val="00D36CA8"/>
    <w:rsid w:val="00D36D51"/>
    <w:rsid w:val="00D36DE9"/>
    <w:rsid w:val="00D36DFC"/>
    <w:rsid w:val="00D36E00"/>
    <w:rsid w:val="00D36ECB"/>
    <w:rsid w:val="00D36F30"/>
    <w:rsid w:val="00D36F40"/>
    <w:rsid w:val="00D36FBB"/>
    <w:rsid w:val="00D37003"/>
    <w:rsid w:val="00D37073"/>
    <w:rsid w:val="00D370F2"/>
    <w:rsid w:val="00D371E5"/>
    <w:rsid w:val="00D3720F"/>
    <w:rsid w:val="00D373BE"/>
    <w:rsid w:val="00D37453"/>
    <w:rsid w:val="00D37575"/>
    <w:rsid w:val="00D37670"/>
    <w:rsid w:val="00D376F3"/>
    <w:rsid w:val="00D37793"/>
    <w:rsid w:val="00D3779F"/>
    <w:rsid w:val="00D377EF"/>
    <w:rsid w:val="00D3788D"/>
    <w:rsid w:val="00D379DA"/>
    <w:rsid w:val="00D37A31"/>
    <w:rsid w:val="00D37AEB"/>
    <w:rsid w:val="00D37AEE"/>
    <w:rsid w:val="00D37C19"/>
    <w:rsid w:val="00D37D3C"/>
    <w:rsid w:val="00D37D8A"/>
    <w:rsid w:val="00D37E5D"/>
    <w:rsid w:val="00D37F66"/>
    <w:rsid w:val="00D37FAC"/>
    <w:rsid w:val="00D40048"/>
    <w:rsid w:val="00D40064"/>
    <w:rsid w:val="00D401CB"/>
    <w:rsid w:val="00D40244"/>
    <w:rsid w:val="00D4027F"/>
    <w:rsid w:val="00D40584"/>
    <w:rsid w:val="00D4058B"/>
    <w:rsid w:val="00D406F5"/>
    <w:rsid w:val="00D40771"/>
    <w:rsid w:val="00D40784"/>
    <w:rsid w:val="00D4092E"/>
    <w:rsid w:val="00D40B7B"/>
    <w:rsid w:val="00D40BBB"/>
    <w:rsid w:val="00D40C83"/>
    <w:rsid w:val="00D40CD8"/>
    <w:rsid w:val="00D40D02"/>
    <w:rsid w:val="00D40D3F"/>
    <w:rsid w:val="00D40DDA"/>
    <w:rsid w:val="00D40DE9"/>
    <w:rsid w:val="00D40F09"/>
    <w:rsid w:val="00D41090"/>
    <w:rsid w:val="00D41099"/>
    <w:rsid w:val="00D410AD"/>
    <w:rsid w:val="00D4120B"/>
    <w:rsid w:val="00D41288"/>
    <w:rsid w:val="00D412CD"/>
    <w:rsid w:val="00D412EB"/>
    <w:rsid w:val="00D41313"/>
    <w:rsid w:val="00D41416"/>
    <w:rsid w:val="00D41614"/>
    <w:rsid w:val="00D4163C"/>
    <w:rsid w:val="00D41668"/>
    <w:rsid w:val="00D416D8"/>
    <w:rsid w:val="00D417B5"/>
    <w:rsid w:val="00D417F9"/>
    <w:rsid w:val="00D4191A"/>
    <w:rsid w:val="00D419F6"/>
    <w:rsid w:val="00D41A73"/>
    <w:rsid w:val="00D41BE8"/>
    <w:rsid w:val="00D41D34"/>
    <w:rsid w:val="00D41DAF"/>
    <w:rsid w:val="00D41DEF"/>
    <w:rsid w:val="00D41ED8"/>
    <w:rsid w:val="00D41FB3"/>
    <w:rsid w:val="00D42034"/>
    <w:rsid w:val="00D42073"/>
    <w:rsid w:val="00D420B9"/>
    <w:rsid w:val="00D42110"/>
    <w:rsid w:val="00D421C7"/>
    <w:rsid w:val="00D42329"/>
    <w:rsid w:val="00D4232A"/>
    <w:rsid w:val="00D42722"/>
    <w:rsid w:val="00D42864"/>
    <w:rsid w:val="00D42998"/>
    <w:rsid w:val="00D42AEA"/>
    <w:rsid w:val="00D42B00"/>
    <w:rsid w:val="00D42B3F"/>
    <w:rsid w:val="00D42B73"/>
    <w:rsid w:val="00D42B8B"/>
    <w:rsid w:val="00D42BBD"/>
    <w:rsid w:val="00D42C09"/>
    <w:rsid w:val="00D42C6F"/>
    <w:rsid w:val="00D42C7B"/>
    <w:rsid w:val="00D42D41"/>
    <w:rsid w:val="00D42DE7"/>
    <w:rsid w:val="00D42FEA"/>
    <w:rsid w:val="00D43062"/>
    <w:rsid w:val="00D43143"/>
    <w:rsid w:val="00D431A2"/>
    <w:rsid w:val="00D43436"/>
    <w:rsid w:val="00D434D1"/>
    <w:rsid w:val="00D43529"/>
    <w:rsid w:val="00D4360B"/>
    <w:rsid w:val="00D43828"/>
    <w:rsid w:val="00D43855"/>
    <w:rsid w:val="00D438FE"/>
    <w:rsid w:val="00D43B80"/>
    <w:rsid w:val="00D43B8A"/>
    <w:rsid w:val="00D43C5E"/>
    <w:rsid w:val="00D43C7D"/>
    <w:rsid w:val="00D43D0D"/>
    <w:rsid w:val="00D43D14"/>
    <w:rsid w:val="00D43E57"/>
    <w:rsid w:val="00D43EB8"/>
    <w:rsid w:val="00D43EE7"/>
    <w:rsid w:val="00D44161"/>
    <w:rsid w:val="00D441DE"/>
    <w:rsid w:val="00D44252"/>
    <w:rsid w:val="00D442A7"/>
    <w:rsid w:val="00D442D3"/>
    <w:rsid w:val="00D44416"/>
    <w:rsid w:val="00D44748"/>
    <w:rsid w:val="00D4479A"/>
    <w:rsid w:val="00D4485A"/>
    <w:rsid w:val="00D448DD"/>
    <w:rsid w:val="00D449D1"/>
    <w:rsid w:val="00D449E8"/>
    <w:rsid w:val="00D44A8B"/>
    <w:rsid w:val="00D44AFE"/>
    <w:rsid w:val="00D44B3C"/>
    <w:rsid w:val="00D44CA0"/>
    <w:rsid w:val="00D44CB3"/>
    <w:rsid w:val="00D44D33"/>
    <w:rsid w:val="00D44D9E"/>
    <w:rsid w:val="00D44EC3"/>
    <w:rsid w:val="00D44F05"/>
    <w:rsid w:val="00D44F15"/>
    <w:rsid w:val="00D44F28"/>
    <w:rsid w:val="00D44F2D"/>
    <w:rsid w:val="00D44F46"/>
    <w:rsid w:val="00D44F82"/>
    <w:rsid w:val="00D44FAF"/>
    <w:rsid w:val="00D44FB0"/>
    <w:rsid w:val="00D44FE7"/>
    <w:rsid w:val="00D45123"/>
    <w:rsid w:val="00D45128"/>
    <w:rsid w:val="00D451D9"/>
    <w:rsid w:val="00D451F4"/>
    <w:rsid w:val="00D45227"/>
    <w:rsid w:val="00D45231"/>
    <w:rsid w:val="00D45334"/>
    <w:rsid w:val="00D45340"/>
    <w:rsid w:val="00D45384"/>
    <w:rsid w:val="00D453F9"/>
    <w:rsid w:val="00D454F6"/>
    <w:rsid w:val="00D45620"/>
    <w:rsid w:val="00D45635"/>
    <w:rsid w:val="00D45770"/>
    <w:rsid w:val="00D45875"/>
    <w:rsid w:val="00D4591F"/>
    <w:rsid w:val="00D45984"/>
    <w:rsid w:val="00D45B03"/>
    <w:rsid w:val="00D45CC7"/>
    <w:rsid w:val="00D45D0A"/>
    <w:rsid w:val="00D45D49"/>
    <w:rsid w:val="00D45DCC"/>
    <w:rsid w:val="00D45DF2"/>
    <w:rsid w:val="00D45FE7"/>
    <w:rsid w:val="00D46032"/>
    <w:rsid w:val="00D46172"/>
    <w:rsid w:val="00D46177"/>
    <w:rsid w:val="00D461D1"/>
    <w:rsid w:val="00D461E7"/>
    <w:rsid w:val="00D462A9"/>
    <w:rsid w:val="00D46338"/>
    <w:rsid w:val="00D463A5"/>
    <w:rsid w:val="00D46489"/>
    <w:rsid w:val="00D46516"/>
    <w:rsid w:val="00D46543"/>
    <w:rsid w:val="00D465DA"/>
    <w:rsid w:val="00D465F0"/>
    <w:rsid w:val="00D4676C"/>
    <w:rsid w:val="00D46837"/>
    <w:rsid w:val="00D468A0"/>
    <w:rsid w:val="00D46937"/>
    <w:rsid w:val="00D469DA"/>
    <w:rsid w:val="00D46A6E"/>
    <w:rsid w:val="00D46BA3"/>
    <w:rsid w:val="00D46BE5"/>
    <w:rsid w:val="00D46C5B"/>
    <w:rsid w:val="00D46D8F"/>
    <w:rsid w:val="00D46EBE"/>
    <w:rsid w:val="00D46F2C"/>
    <w:rsid w:val="00D46FFE"/>
    <w:rsid w:val="00D47002"/>
    <w:rsid w:val="00D47061"/>
    <w:rsid w:val="00D470E9"/>
    <w:rsid w:val="00D47405"/>
    <w:rsid w:val="00D4741B"/>
    <w:rsid w:val="00D47442"/>
    <w:rsid w:val="00D47460"/>
    <w:rsid w:val="00D475DD"/>
    <w:rsid w:val="00D47643"/>
    <w:rsid w:val="00D47682"/>
    <w:rsid w:val="00D476B8"/>
    <w:rsid w:val="00D477BD"/>
    <w:rsid w:val="00D4786C"/>
    <w:rsid w:val="00D4794F"/>
    <w:rsid w:val="00D47989"/>
    <w:rsid w:val="00D47A8E"/>
    <w:rsid w:val="00D47AAF"/>
    <w:rsid w:val="00D47BB5"/>
    <w:rsid w:val="00D47C27"/>
    <w:rsid w:val="00D47C61"/>
    <w:rsid w:val="00D47C87"/>
    <w:rsid w:val="00D47CB9"/>
    <w:rsid w:val="00D47DEF"/>
    <w:rsid w:val="00D47E37"/>
    <w:rsid w:val="00D50184"/>
    <w:rsid w:val="00D501F0"/>
    <w:rsid w:val="00D50410"/>
    <w:rsid w:val="00D5042D"/>
    <w:rsid w:val="00D50486"/>
    <w:rsid w:val="00D504E3"/>
    <w:rsid w:val="00D5055E"/>
    <w:rsid w:val="00D50640"/>
    <w:rsid w:val="00D506FC"/>
    <w:rsid w:val="00D50874"/>
    <w:rsid w:val="00D5087E"/>
    <w:rsid w:val="00D508DC"/>
    <w:rsid w:val="00D50953"/>
    <w:rsid w:val="00D509F0"/>
    <w:rsid w:val="00D50A7A"/>
    <w:rsid w:val="00D50ACF"/>
    <w:rsid w:val="00D50B2D"/>
    <w:rsid w:val="00D50C49"/>
    <w:rsid w:val="00D50DAE"/>
    <w:rsid w:val="00D50E32"/>
    <w:rsid w:val="00D50E8C"/>
    <w:rsid w:val="00D50EB7"/>
    <w:rsid w:val="00D50FF0"/>
    <w:rsid w:val="00D51015"/>
    <w:rsid w:val="00D51347"/>
    <w:rsid w:val="00D5137B"/>
    <w:rsid w:val="00D51471"/>
    <w:rsid w:val="00D51557"/>
    <w:rsid w:val="00D51652"/>
    <w:rsid w:val="00D5178A"/>
    <w:rsid w:val="00D5194F"/>
    <w:rsid w:val="00D51B3E"/>
    <w:rsid w:val="00D51B4C"/>
    <w:rsid w:val="00D51C0A"/>
    <w:rsid w:val="00D51D01"/>
    <w:rsid w:val="00D51D04"/>
    <w:rsid w:val="00D51D99"/>
    <w:rsid w:val="00D51F14"/>
    <w:rsid w:val="00D52093"/>
    <w:rsid w:val="00D52114"/>
    <w:rsid w:val="00D52122"/>
    <w:rsid w:val="00D52242"/>
    <w:rsid w:val="00D522F4"/>
    <w:rsid w:val="00D5233D"/>
    <w:rsid w:val="00D523B7"/>
    <w:rsid w:val="00D523F4"/>
    <w:rsid w:val="00D524B3"/>
    <w:rsid w:val="00D526FA"/>
    <w:rsid w:val="00D52718"/>
    <w:rsid w:val="00D52883"/>
    <w:rsid w:val="00D52AA2"/>
    <w:rsid w:val="00D52B30"/>
    <w:rsid w:val="00D52B96"/>
    <w:rsid w:val="00D52BFA"/>
    <w:rsid w:val="00D52C36"/>
    <w:rsid w:val="00D52D56"/>
    <w:rsid w:val="00D52D79"/>
    <w:rsid w:val="00D52EAA"/>
    <w:rsid w:val="00D52FA4"/>
    <w:rsid w:val="00D5303D"/>
    <w:rsid w:val="00D53052"/>
    <w:rsid w:val="00D531EF"/>
    <w:rsid w:val="00D533BA"/>
    <w:rsid w:val="00D53418"/>
    <w:rsid w:val="00D53561"/>
    <w:rsid w:val="00D53571"/>
    <w:rsid w:val="00D53788"/>
    <w:rsid w:val="00D537DA"/>
    <w:rsid w:val="00D53A1A"/>
    <w:rsid w:val="00D53B8C"/>
    <w:rsid w:val="00D53BBC"/>
    <w:rsid w:val="00D53CF9"/>
    <w:rsid w:val="00D53D5F"/>
    <w:rsid w:val="00D53DD5"/>
    <w:rsid w:val="00D53DE3"/>
    <w:rsid w:val="00D53FF0"/>
    <w:rsid w:val="00D54013"/>
    <w:rsid w:val="00D542F4"/>
    <w:rsid w:val="00D5437B"/>
    <w:rsid w:val="00D543C4"/>
    <w:rsid w:val="00D543EB"/>
    <w:rsid w:val="00D545A2"/>
    <w:rsid w:val="00D54644"/>
    <w:rsid w:val="00D546B2"/>
    <w:rsid w:val="00D54747"/>
    <w:rsid w:val="00D548BB"/>
    <w:rsid w:val="00D548E6"/>
    <w:rsid w:val="00D54C0C"/>
    <w:rsid w:val="00D54C69"/>
    <w:rsid w:val="00D54C73"/>
    <w:rsid w:val="00D54CC3"/>
    <w:rsid w:val="00D54CD5"/>
    <w:rsid w:val="00D54CFE"/>
    <w:rsid w:val="00D54D39"/>
    <w:rsid w:val="00D54D62"/>
    <w:rsid w:val="00D54F60"/>
    <w:rsid w:val="00D54FA7"/>
    <w:rsid w:val="00D54FAA"/>
    <w:rsid w:val="00D5514D"/>
    <w:rsid w:val="00D5518A"/>
    <w:rsid w:val="00D551AF"/>
    <w:rsid w:val="00D551B5"/>
    <w:rsid w:val="00D551C8"/>
    <w:rsid w:val="00D5524A"/>
    <w:rsid w:val="00D5526A"/>
    <w:rsid w:val="00D552B5"/>
    <w:rsid w:val="00D552E8"/>
    <w:rsid w:val="00D5546D"/>
    <w:rsid w:val="00D55577"/>
    <w:rsid w:val="00D555AD"/>
    <w:rsid w:val="00D5563C"/>
    <w:rsid w:val="00D557A7"/>
    <w:rsid w:val="00D558E7"/>
    <w:rsid w:val="00D5591F"/>
    <w:rsid w:val="00D55A1C"/>
    <w:rsid w:val="00D55B64"/>
    <w:rsid w:val="00D55CEE"/>
    <w:rsid w:val="00D55D52"/>
    <w:rsid w:val="00D55D59"/>
    <w:rsid w:val="00D55D67"/>
    <w:rsid w:val="00D55E57"/>
    <w:rsid w:val="00D55FE0"/>
    <w:rsid w:val="00D5617E"/>
    <w:rsid w:val="00D56202"/>
    <w:rsid w:val="00D56516"/>
    <w:rsid w:val="00D56588"/>
    <w:rsid w:val="00D56602"/>
    <w:rsid w:val="00D5670C"/>
    <w:rsid w:val="00D56773"/>
    <w:rsid w:val="00D56814"/>
    <w:rsid w:val="00D56892"/>
    <w:rsid w:val="00D568BE"/>
    <w:rsid w:val="00D569B1"/>
    <w:rsid w:val="00D56AF7"/>
    <w:rsid w:val="00D56AFB"/>
    <w:rsid w:val="00D56B5F"/>
    <w:rsid w:val="00D56BAD"/>
    <w:rsid w:val="00D56BFD"/>
    <w:rsid w:val="00D56C11"/>
    <w:rsid w:val="00D56D10"/>
    <w:rsid w:val="00D56E7A"/>
    <w:rsid w:val="00D56EB7"/>
    <w:rsid w:val="00D56F5D"/>
    <w:rsid w:val="00D56F61"/>
    <w:rsid w:val="00D56F6D"/>
    <w:rsid w:val="00D56FCB"/>
    <w:rsid w:val="00D57103"/>
    <w:rsid w:val="00D573DE"/>
    <w:rsid w:val="00D57569"/>
    <w:rsid w:val="00D575C5"/>
    <w:rsid w:val="00D57735"/>
    <w:rsid w:val="00D57769"/>
    <w:rsid w:val="00D57776"/>
    <w:rsid w:val="00D5779B"/>
    <w:rsid w:val="00D57A33"/>
    <w:rsid w:val="00D57C5F"/>
    <w:rsid w:val="00D57FA0"/>
    <w:rsid w:val="00D6002F"/>
    <w:rsid w:val="00D6022F"/>
    <w:rsid w:val="00D602FE"/>
    <w:rsid w:val="00D6030E"/>
    <w:rsid w:val="00D603A0"/>
    <w:rsid w:val="00D603D0"/>
    <w:rsid w:val="00D60451"/>
    <w:rsid w:val="00D604A2"/>
    <w:rsid w:val="00D604D7"/>
    <w:rsid w:val="00D60665"/>
    <w:rsid w:val="00D60696"/>
    <w:rsid w:val="00D606C6"/>
    <w:rsid w:val="00D60764"/>
    <w:rsid w:val="00D6088D"/>
    <w:rsid w:val="00D608D5"/>
    <w:rsid w:val="00D608ED"/>
    <w:rsid w:val="00D60906"/>
    <w:rsid w:val="00D60A09"/>
    <w:rsid w:val="00D60A3E"/>
    <w:rsid w:val="00D60B1C"/>
    <w:rsid w:val="00D60B31"/>
    <w:rsid w:val="00D60B39"/>
    <w:rsid w:val="00D60B72"/>
    <w:rsid w:val="00D60C15"/>
    <w:rsid w:val="00D60C2C"/>
    <w:rsid w:val="00D60C3B"/>
    <w:rsid w:val="00D60C6D"/>
    <w:rsid w:val="00D60C91"/>
    <w:rsid w:val="00D60CA7"/>
    <w:rsid w:val="00D60D61"/>
    <w:rsid w:val="00D60D68"/>
    <w:rsid w:val="00D60E21"/>
    <w:rsid w:val="00D60EB6"/>
    <w:rsid w:val="00D61166"/>
    <w:rsid w:val="00D611DB"/>
    <w:rsid w:val="00D6126E"/>
    <w:rsid w:val="00D6127B"/>
    <w:rsid w:val="00D61283"/>
    <w:rsid w:val="00D61347"/>
    <w:rsid w:val="00D61351"/>
    <w:rsid w:val="00D613FE"/>
    <w:rsid w:val="00D6140E"/>
    <w:rsid w:val="00D61428"/>
    <w:rsid w:val="00D6142B"/>
    <w:rsid w:val="00D61437"/>
    <w:rsid w:val="00D614DD"/>
    <w:rsid w:val="00D615B2"/>
    <w:rsid w:val="00D615F8"/>
    <w:rsid w:val="00D61619"/>
    <w:rsid w:val="00D61634"/>
    <w:rsid w:val="00D616F9"/>
    <w:rsid w:val="00D61702"/>
    <w:rsid w:val="00D6172C"/>
    <w:rsid w:val="00D61811"/>
    <w:rsid w:val="00D6186B"/>
    <w:rsid w:val="00D61886"/>
    <w:rsid w:val="00D6188F"/>
    <w:rsid w:val="00D618EF"/>
    <w:rsid w:val="00D6190D"/>
    <w:rsid w:val="00D61994"/>
    <w:rsid w:val="00D619F9"/>
    <w:rsid w:val="00D61A58"/>
    <w:rsid w:val="00D61A73"/>
    <w:rsid w:val="00D61AB1"/>
    <w:rsid w:val="00D61AF9"/>
    <w:rsid w:val="00D61B14"/>
    <w:rsid w:val="00D61BB7"/>
    <w:rsid w:val="00D61BDE"/>
    <w:rsid w:val="00D61BE1"/>
    <w:rsid w:val="00D61CA4"/>
    <w:rsid w:val="00D61E46"/>
    <w:rsid w:val="00D61E93"/>
    <w:rsid w:val="00D61F63"/>
    <w:rsid w:val="00D61F82"/>
    <w:rsid w:val="00D620A1"/>
    <w:rsid w:val="00D621CA"/>
    <w:rsid w:val="00D62362"/>
    <w:rsid w:val="00D6242B"/>
    <w:rsid w:val="00D6252A"/>
    <w:rsid w:val="00D625D7"/>
    <w:rsid w:val="00D6264F"/>
    <w:rsid w:val="00D6265A"/>
    <w:rsid w:val="00D627F0"/>
    <w:rsid w:val="00D6283D"/>
    <w:rsid w:val="00D628C4"/>
    <w:rsid w:val="00D629FD"/>
    <w:rsid w:val="00D62A73"/>
    <w:rsid w:val="00D62A7A"/>
    <w:rsid w:val="00D62BB8"/>
    <w:rsid w:val="00D62D03"/>
    <w:rsid w:val="00D62D80"/>
    <w:rsid w:val="00D62E35"/>
    <w:rsid w:val="00D62FBE"/>
    <w:rsid w:val="00D631A7"/>
    <w:rsid w:val="00D633AB"/>
    <w:rsid w:val="00D6341D"/>
    <w:rsid w:val="00D63517"/>
    <w:rsid w:val="00D636AB"/>
    <w:rsid w:val="00D638DE"/>
    <w:rsid w:val="00D63938"/>
    <w:rsid w:val="00D63AB0"/>
    <w:rsid w:val="00D63AEE"/>
    <w:rsid w:val="00D63CB2"/>
    <w:rsid w:val="00D63CB8"/>
    <w:rsid w:val="00D63D18"/>
    <w:rsid w:val="00D63D2E"/>
    <w:rsid w:val="00D63EF1"/>
    <w:rsid w:val="00D63F7E"/>
    <w:rsid w:val="00D63FB2"/>
    <w:rsid w:val="00D64034"/>
    <w:rsid w:val="00D64076"/>
    <w:rsid w:val="00D6407C"/>
    <w:rsid w:val="00D64108"/>
    <w:rsid w:val="00D641BD"/>
    <w:rsid w:val="00D641EE"/>
    <w:rsid w:val="00D64202"/>
    <w:rsid w:val="00D64221"/>
    <w:rsid w:val="00D6431E"/>
    <w:rsid w:val="00D643A2"/>
    <w:rsid w:val="00D643EE"/>
    <w:rsid w:val="00D644A6"/>
    <w:rsid w:val="00D6457C"/>
    <w:rsid w:val="00D645A2"/>
    <w:rsid w:val="00D645C3"/>
    <w:rsid w:val="00D64778"/>
    <w:rsid w:val="00D64801"/>
    <w:rsid w:val="00D649CC"/>
    <w:rsid w:val="00D64A8D"/>
    <w:rsid w:val="00D64D70"/>
    <w:rsid w:val="00D64D97"/>
    <w:rsid w:val="00D64E15"/>
    <w:rsid w:val="00D64E1B"/>
    <w:rsid w:val="00D64EFC"/>
    <w:rsid w:val="00D64F04"/>
    <w:rsid w:val="00D65073"/>
    <w:rsid w:val="00D65075"/>
    <w:rsid w:val="00D65085"/>
    <w:rsid w:val="00D6509F"/>
    <w:rsid w:val="00D650F4"/>
    <w:rsid w:val="00D65108"/>
    <w:rsid w:val="00D65198"/>
    <w:rsid w:val="00D65375"/>
    <w:rsid w:val="00D6542C"/>
    <w:rsid w:val="00D654AF"/>
    <w:rsid w:val="00D65529"/>
    <w:rsid w:val="00D655F4"/>
    <w:rsid w:val="00D655FF"/>
    <w:rsid w:val="00D65691"/>
    <w:rsid w:val="00D65723"/>
    <w:rsid w:val="00D65782"/>
    <w:rsid w:val="00D659E5"/>
    <w:rsid w:val="00D65C21"/>
    <w:rsid w:val="00D65C32"/>
    <w:rsid w:val="00D65D2B"/>
    <w:rsid w:val="00D65E61"/>
    <w:rsid w:val="00D66194"/>
    <w:rsid w:val="00D661E2"/>
    <w:rsid w:val="00D661E4"/>
    <w:rsid w:val="00D662E4"/>
    <w:rsid w:val="00D663F9"/>
    <w:rsid w:val="00D664AD"/>
    <w:rsid w:val="00D664D7"/>
    <w:rsid w:val="00D664DF"/>
    <w:rsid w:val="00D66577"/>
    <w:rsid w:val="00D66609"/>
    <w:rsid w:val="00D6672B"/>
    <w:rsid w:val="00D66824"/>
    <w:rsid w:val="00D6684D"/>
    <w:rsid w:val="00D66884"/>
    <w:rsid w:val="00D66A87"/>
    <w:rsid w:val="00D66BAB"/>
    <w:rsid w:val="00D66C21"/>
    <w:rsid w:val="00D66C27"/>
    <w:rsid w:val="00D66D75"/>
    <w:rsid w:val="00D66E99"/>
    <w:rsid w:val="00D66EB6"/>
    <w:rsid w:val="00D66ED4"/>
    <w:rsid w:val="00D66F49"/>
    <w:rsid w:val="00D6701B"/>
    <w:rsid w:val="00D67099"/>
    <w:rsid w:val="00D670DB"/>
    <w:rsid w:val="00D6741C"/>
    <w:rsid w:val="00D6744F"/>
    <w:rsid w:val="00D6748D"/>
    <w:rsid w:val="00D674B9"/>
    <w:rsid w:val="00D6755B"/>
    <w:rsid w:val="00D67564"/>
    <w:rsid w:val="00D6759F"/>
    <w:rsid w:val="00D675A3"/>
    <w:rsid w:val="00D675F1"/>
    <w:rsid w:val="00D6760A"/>
    <w:rsid w:val="00D67644"/>
    <w:rsid w:val="00D676B9"/>
    <w:rsid w:val="00D67748"/>
    <w:rsid w:val="00D67756"/>
    <w:rsid w:val="00D67807"/>
    <w:rsid w:val="00D67869"/>
    <w:rsid w:val="00D678B4"/>
    <w:rsid w:val="00D67921"/>
    <w:rsid w:val="00D67A07"/>
    <w:rsid w:val="00D67A50"/>
    <w:rsid w:val="00D67B11"/>
    <w:rsid w:val="00D67B4D"/>
    <w:rsid w:val="00D67B87"/>
    <w:rsid w:val="00D67B9D"/>
    <w:rsid w:val="00D67D1F"/>
    <w:rsid w:val="00D67D2C"/>
    <w:rsid w:val="00D67F44"/>
    <w:rsid w:val="00D67FFB"/>
    <w:rsid w:val="00D701D5"/>
    <w:rsid w:val="00D701DF"/>
    <w:rsid w:val="00D701E4"/>
    <w:rsid w:val="00D702FF"/>
    <w:rsid w:val="00D70376"/>
    <w:rsid w:val="00D703C4"/>
    <w:rsid w:val="00D70407"/>
    <w:rsid w:val="00D705EE"/>
    <w:rsid w:val="00D706C0"/>
    <w:rsid w:val="00D70706"/>
    <w:rsid w:val="00D7072E"/>
    <w:rsid w:val="00D70867"/>
    <w:rsid w:val="00D70876"/>
    <w:rsid w:val="00D7089A"/>
    <w:rsid w:val="00D70922"/>
    <w:rsid w:val="00D70980"/>
    <w:rsid w:val="00D709B8"/>
    <w:rsid w:val="00D70A79"/>
    <w:rsid w:val="00D70AB4"/>
    <w:rsid w:val="00D70BF4"/>
    <w:rsid w:val="00D70C12"/>
    <w:rsid w:val="00D70C1A"/>
    <w:rsid w:val="00D70D46"/>
    <w:rsid w:val="00D70D6F"/>
    <w:rsid w:val="00D70E96"/>
    <w:rsid w:val="00D70F15"/>
    <w:rsid w:val="00D70F1E"/>
    <w:rsid w:val="00D70FE0"/>
    <w:rsid w:val="00D71054"/>
    <w:rsid w:val="00D711E3"/>
    <w:rsid w:val="00D7126A"/>
    <w:rsid w:val="00D713A4"/>
    <w:rsid w:val="00D713A5"/>
    <w:rsid w:val="00D713F4"/>
    <w:rsid w:val="00D7145A"/>
    <w:rsid w:val="00D71478"/>
    <w:rsid w:val="00D714AB"/>
    <w:rsid w:val="00D71510"/>
    <w:rsid w:val="00D71591"/>
    <w:rsid w:val="00D7159D"/>
    <w:rsid w:val="00D715BB"/>
    <w:rsid w:val="00D715D0"/>
    <w:rsid w:val="00D715DB"/>
    <w:rsid w:val="00D71610"/>
    <w:rsid w:val="00D71682"/>
    <w:rsid w:val="00D71690"/>
    <w:rsid w:val="00D7172E"/>
    <w:rsid w:val="00D71740"/>
    <w:rsid w:val="00D71745"/>
    <w:rsid w:val="00D71784"/>
    <w:rsid w:val="00D717C4"/>
    <w:rsid w:val="00D717F5"/>
    <w:rsid w:val="00D719C6"/>
    <w:rsid w:val="00D71A0C"/>
    <w:rsid w:val="00D71B07"/>
    <w:rsid w:val="00D71B82"/>
    <w:rsid w:val="00D71BE2"/>
    <w:rsid w:val="00D71C0E"/>
    <w:rsid w:val="00D71C71"/>
    <w:rsid w:val="00D71D16"/>
    <w:rsid w:val="00D71D83"/>
    <w:rsid w:val="00D71ECD"/>
    <w:rsid w:val="00D71F81"/>
    <w:rsid w:val="00D72020"/>
    <w:rsid w:val="00D724CF"/>
    <w:rsid w:val="00D7253F"/>
    <w:rsid w:val="00D7254A"/>
    <w:rsid w:val="00D725E2"/>
    <w:rsid w:val="00D72634"/>
    <w:rsid w:val="00D72642"/>
    <w:rsid w:val="00D72665"/>
    <w:rsid w:val="00D727CB"/>
    <w:rsid w:val="00D72859"/>
    <w:rsid w:val="00D72A45"/>
    <w:rsid w:val="00D72ADC"/>
    <w:rsid w:val="00D72B20"/>
    <w:rsid w:val="00D72BC7"/>
    <w:rsid w:val="00D72D41"/>
    <w:rsid w:val="00D72DBF"/>
    <w:rsid w:val="00D72E8F"/>
    <w:rsid w:val="00D72EB4"/>
    <w:rsid w:val="00D72F23"/>
    <w:rsid w:val="00D72F80"/>
    <w:rsid w:val="00D72FD7"/>
    <w:rsid w:val="00D72FFA"/>
    <w:rsid w:val="00D730A9"/>
    <w:rsid w:val="00D73129"/>
    <w:rsid w:val="00D73241"/>
    <w:rsid w:val="00D732B4"/>
    <w:rsid w:val="00D7343E"/>
    <w:rsid w:val="00D734AC"/>
    <w:rsid w:val="00D734CA"/>
    <w:rsid w:val="00D734E1"/>
    <w:rsid w:val="00D73587"/>
    <w:rsid w:val="00D735C8"/>
    <w:rsid w:val="00D735CB"/>
    <w:rsid w:val="00D73632"/>
    <w:rsid w:val="00D736BA"/>
    <w:rsid w:val="00D7387C"/>
    <w:rsid w:val="00D738A2"/>
    <w:rsid w:val="00D7390F"/>
    <w:rsid w:val="00D73919"/>
    <w:rsid w:val="00D739C3"/>
    <w:rsid w:val="00D73AE7"/>
    <w:rsid w:val="00D73B6C"/>
    <w:rsid w:val="00D73B83"/>
    <w:rsid w:val="00D73CC9"/>
    <w:rsid w:val="00D73E95"/>
    <w:rsid w:val="00D73F0A"/>
    <w:rsid w:val="00D74006"/>
    <w:rsid w:val="00D741EA"/>
    <w:rsid w:val="00D74272"/>
    <w:rsid w:val="00D743E7"/>
    <w:rsid w:val="00D7445D"/>
    <w:rsid w:val="00D74539"/>
    <w:rsid w:val="00D7455D"/>
    <w:rsid w:val="00D7456C"/>
    <w:rsid w:val="00D745CA"/>
    <w:rsid w:val="00D745EB"/>
    <w:rsid w:val="00D7478C"/>
    <w:rsid w:val="00D74796"/>
    <w:rsid w:val="00D747BC"/>
    <w:rsid w:val="00D748B4"/>
    <w:rsid w:val="00D74B58"/>
    <w:rsid w:val="00D74BA3"/>
    <w:rsid w:val="00D74BCE"/>
    <w:rsid w:val="00D74BDF"/>
    <w:rsid w:val="00D74C11"/>
    <w:rsid w:val="00D74C8A"/>
    <w:rsid w:val="00D74D02"/>
    <w:rsid w:val="00D74D98"/>
    <w:rsid w:val="00D74E10"/>
    <w:rsid w:val="00D74F36"/>
    <w:rsid w:val="00D75239"/>
    <w:rsid w:val="00D75290"/>
    <w:rsid w:val="00D752E7"/>
    <w:rsid w:val="00D75350"/>
    <w:rsid w:val="00D7537F"/>
    <w:rsid w:val="00D75559"/>
    <w:rsid w:val="00D757F4"/>
    <w:rsid w:val="00D75996"/>
    <w:rsid w:val="00D75AEC"/>
    <w:rsid w:val="00D75B6A"/>
    <w:rsid w:val="00D75C9D"/>
    <w:rsid w:val="00D75E01"/>
    <w:rsid w:val="00D75E24"/>
    <w:rsid w:val="00D75F79"/>
    <w:rsid w:val="00D7609F"/>
    <w:rsid w:val="00D761B5"/>
    <w:rsid w:val="00D76435"/>
    <w:rsid w:val="00D76516"/>
    <w:rsid w:val="00D76562"/>
    <w:rsid w:val="00D765A6"/>
    <w:rsid w:val="00D76626"/>
    <w:rsid w:val="00D7664B"/>
    <w:rsid w:val="00D76660"/>
    <w:rsid w:val="00D767CA"/>
    <w:rsid w:val="00D767E4"/>
    <w:rsid w:val="00D7692E"/>
    <w:rsid w:val="00D769E1"/>
    <w:rsid w:val="00D76AFF"/>
    <w:rsid w:val="00D76B56"/>
    <w:rsid w:val="00D76C27"/>
    <w:rsid w:val="00D76E4A"/>
    <w:rsid w:val="00D76E58"/>
    <w:rsid w:val="00D76F5D"/>
    <w:rsid w:val="00D76F7A"/>
    <w:rsid w:val="00D77334"/>
    <w:rsid w:val="00D77448"/>
    <w:rsid w:val="00D7764F"/>
    <w:rsid w:val="00D77879"/>
    <w:rsid w:val="00D77913"/>
    <w:rsid w:val="00D779A8"/>
    <w:rsid w:val="00D779B4"/>
    <w:rsid w:val="00D77A5E"/>
    <w:rsid w:val="00D77AD2"/>
    <w:rsid w:val="00D77BCB"/>
    <w:rsid w:val="00D77C35"/>
    <w:rsid w:val="00D77CB3"/>
    <w:rsid w:val="00D77DA5"/>
    <w:rsid w:val="00D77E1E"/>
    <w:rsid w:val="00D77E93"/>
    <w:rsid w:val="00D77ED1"/>
    <w:rsid w:val="00D77FAF"/>
    <w:rsid w:val="00D77FBD"/>
    <w:rsid w:val="00D80021"/>
    <w:rsid w:val="00D801A7"/>
    <w:rsid w:val="00D80240"/>
    <w:rsid w:val="00D80257"/>
    <w:rsid w:val="00D802A6"/>
    <w:rsid w:val="00D802F1"/>
    <w:rsid w:val="00D80661"/>
    <w:rsid w:val="00D806AB"/>
    <w:rsid w:val="00D808C2"/>
    <w:rsid w:val="00D809FB"/>
    <w:rsid w:val="00D80B2B"/>
    <w:rsid w:val="00D80CD3"/>
    <w:rsid w:val="00D80D02"/>
    <w:rsid w:val="00D80D0E"/>
    <w:rsid w:val="00D80D9A"/>
    <w:rsid w:val="00D80DF7"/>
    <w:rsid w:val="00D80F0C"/>
    <w:rsid w:val="00D80F5F"/>
    <w:rsid w:val="00D80F87"/>
    <w:rsid w:val="00D80F89"/>
    <w:rsid w:val="00D810D0"/>
    <w:rsid w:val="00D81149"/>
    <w:rsid w:val="00D81436"/>
    <w:rsid w:val="00D8153C"/>
    <w:rsid w:val="00D81866"/>
    <w:rsid w:val="00D818BA"/>
    <w:rsid w:val="00D818BB"/>
    <w:rsid w:val="00D81B27"/>
    <w:rsid w:val="00D81E99"/>
    <w:rsid w:val="00D81EE3"/>
    <w:rsid w:val="00D81F4C"/>
    <w:rsid w:val="00D81FDA"/>
    <w:rsid w:val="00D8202D"/>
    <w:rsid w:val="00D8203E"/>
    <w:rsid w:val="00D82214"/>
    <w:rsid w:val="00D82281"/>
    <w:rsid w:val="00D822A7"/>
    <w:rsid w:val="00D8237D"/>
    <w:rsid w:val="00D824D4"/>
    <w:rsid w:val="00D825D5"/>
    <w:rsid w:val="00D826B0"/>
    <w:rsid w:val="00D826C6"/>
    <w:rsid w:val="00D828CA"/>
    <w:rsid w:val="00D82903"/>
    <w:rsid w:val="00D829CA"/>
    <w:rsid w:val="00D829E4"/>
    <w:rsid w:val="00D82AFD"/>
    <w:rsid w:val="00D82B5A"/>
    <w:rsid w:val="00D82B76"/>
    <w:rsid w:val="00D82B94"/>
    <w:rsid w:val="00D82C57"/>
    <w:rsid w:val="00D82CBA"/>
    <w:rsid w:val="00D82DF3"/>
    <w:rsid w:val="00D82E11"/>
    <w:rsid w:val="00D82FAE"/>
    <w:rsid w:val="00D832A7"/>
    <w:rsid w:val="00D83499"/>
    <w:rsid w:val="00D83517"/>
    <w:rsid w:val="00D835BD"/>
    <w:rsid w:val="00D837E9"/>
    <w:rsid w:val="00D837FA"/>
    <w:rsid w:val="00D8383C"/>
    <w:rsid w:val="00D838DD"/>
    <w:rsid w:val="00D83C08"/>
    <w:rsid w:val="00D83C5D"/>
    <w:rsid w:val="00D83D9E"/>
    <w:rsid w:val="00D83DA8"/>
    <w:rsid w:val="00D8404C"/>
    <w:rsid w:val="00D840B0"/>
    <w:rsid w:val="00D84130"/>
    <w:rsid w:val="00D841F2"/>
    <w:rsid w:val="00D842BC"/>
    <w:rsid w:val="00D842F3"/>
    <w:rsid w:val="00D84388"/>
    <w:rsid w:val="00D8455B"/>
    <w:rsid w:val="00D8468E"/>
    <w:rsid w:val="00D846B6"/>
    <w:rsid w:val="00D847B0"/>
    <w:rsid w:val="00D847EC"/>
    <w:rsid w:val="00D8492E"/>
    <w:rsid w:val="00D8496F"/>
    <w:rsid w:val="00D84975"/>
    <w:rsid w:val="00D8499E"/>
    <w:rsid w:val="00D84A1E"/>
    <w:rsid w:val="00D84A24"/>
    <w:rsid w:val="00D84A37"/>
    <w:rsid w:val="00D84A5D"/>
    <w:rsid w:val="00D84A69"/>
    <w:rsid w:val="00D84A9A"/>
    <w:rsid w:val="00D84ACB"/>
    <w:rsid w:val="00D84B4C"/>
    <w:rsid w:val="00D84B4F"/>
    <w:rsid w:val="00D84BD4"/>
    <w:rsid w:val="00D84CE7"/>
    <w:rsid w:val="00D84D17"/>
    <w:rsid w:val="00D84E6C"/>
    <w:rsid w:val="00D84F41"/>
    <w:rsid w:val="00D85075"/>
    <w:rsid w:val="00D85271"/>
    <w:rsid w:val="00D852E1"/>
    <w:rsid w:val="00D85527"/>
    <w:rsid w:val="00D8554E"/>
    <w:rsid w:val="00D856DD"/>
    <w:rsid w:val="00D85821"/>
    <w:rsid w:val="00D8589F"/>
    <w:rsid w:val="00D85A76"/>
    <w:rsid w:val="00D85CC4"/>
    <w:rsid w:val="00D85CF7"/>
    <w:rsid w:val="00D85E7A"/>
    <w:rsid w:val="00D85EF8"/>
    <w:rsid w:val="00D860D0"/>
    <w:rsid w:val="00D863FE"/>
    <w:rsid w:val="00D864E8"/>
    <w:rsid w:val="00D8652E"/>
    <w:rsid w:val="00D866B3"/>
    <w:rsid w:val="00D86884"/>
    <w:rsid w:val="00D86906"/>
    <w:rsid w:val="00D86988"/>
    <w:rsid w:val="00D869DE"/>
    <w:rsid w:val="00D86A99"/>
    <w:rsid w:val="00D86BD2"/>
    <w:rsid w:val="00D86BE1"/>
    <w:rsid w:val="00D86D3E"/>
    <w:rsid w:val="00D86E78"/>
    <w:rsid w:val="00D86EE0"/>
    <w:rsid w:val="00D86FBE"/>
    <w:rsid w:val="00D8729F"/>
    <w:rsid w:val="00D873A4"/>
    <w:rsid w:val="00D873EE"/>
    <w:rsid w:val="00D874FE"/>
    <w:rsid w:val="00D875F2"/>
    <w:rsid w:val="00D875FE"/>
    <w:rsid w:val="00D876EA"/>
    <w:rsid w:val="00D8776F"/>
    <w:rsid w:val="00D87795"/>
    <w:rsid w:val="00D877BB"/>
    <w:rsid w:val="00D877EE"/>
    <w:rsid w:val="00D87932"/>
    <w:rsid w:val="00D879CA"/>
    <w:rsid w:val="00D87B2F"/>
    <w:rsid w:val="00D87B41"/>
    <w:rsid w:val="00D87BE7"/>
    <w:rsid w:val="00D87CCC"/>
    <w:rsid w:val="00D87D39"/>
    <w:rsid w:val="00D87D8D"/>
    <w:rsid w:val="00D87DA8"/>
    <w:rsid w:val="00D87E3B"/>
    <w:rsid w:val="00D87E62"/>
    <w:rsid w:val="00D87EC9"/>
    <w:rsid w:val="00D87F02"/>
    <w:rsid w:val="00D90060"/>
    <w:rsid w:val="00D9014A"/>
    <w:rsid w:val="00D902A6"/>
    <w:rsid w:val="00D902D9"/>
    <w:rsid w:val="00D90400"/>
    <w:rsid w:val="00D90481"/>
    <w:rsid w:val="00D907E1"/>
    <w:rsid w:val="00D9080A"/>
    <w:rsid w:val="00D90887"/>
    <w:rsid w:val="00D908FF"/>
    <w:rsid w:val="00D909EC"/>
    <w:rsid w:val="00D90C2D"/>
    <w:rsid w:val="00D90CAA"/>
    <w:rsid w:val="00D90D8A"/>
    <w:rsid w:val="00D90F04"/>
    <w:rsid w:val="00D90FEA"/>
    <w:rsid w:val="00D91297"/>
    <w:rsid w:val="00D912BF"/>
    <w:rsid w:val="00D912CE"/>
    <w:rsid w:val="00D912FE"/>
    <w:rsid w:val="00D9131B"/>
    <w:rsid w:val="00D913B1"/>
    <w:rsid w:val="00D913C8"/>
    <w:rsid w:val="00D913C9"/>
    <w:rsid w:val="00D91471"/>
    <w:rsid w:val="00D914A8"/>
    <w:rsid w:val="00D914E2"/>
    <w:rsid w:val="00D915B6"/>
    <w:rsid w:val="00D91605"/>
    <w:rsid w:val="00D9165A"/>
    <w:rsid w:val="00D9167B"/>
    <w:rsid w:val="00D916A4"/>
    <w:rsid w:val="00D9176A"/>
    <w:rsid w:val="00D91785"/>
    <w:rsid w:val="00D919A2"/>
    <w:rsid w:val="00D919A6"/>
    <w:rsid w:val="00D91B2E"/>
    <w:rsid w:val="00D91BB9"/>
    <w:rsid w:val="00D91C8B"/>
    <w:rsid w:val="00D91CFD"/>
    <w:rsid w:val="00D91D58"/>
    <w:rsid w:val="00D91D63"/>
    <w:rsid w:val="00D91D82"/>
    <w:rsid w:val="00D91DDB"/>
    <w:rsid w:val="00D91DEB"/>
    <w:rsid w:val="00D91E91"/>
    <w:rsid w:val="00D91F37"/>
    <w:rsid w:val="00D91F9D"/>
    <w:rsid w:val="00D92005"/>
    <w:rsid w:val="00D920CD"/>
    <w:rsid w:val="00D921E2"/>
    <w:rsid w:val="00D9223B"/>
    <w:rsid w:val="00D92269"/>
    <w:rsid w:val="00D922D6"/>
    <w:rsid w:val="00D92356"/>
    <w:rsid w:val="00D923AA"/>
    <w:rsid w:val="00D92402"/>
    <w:rsid w:val="00D92514"/>
    <w:rsid w:val="00D925D9"/>
    <w:rsid w:val="00D9273B"/>
    <w:rsid w:val="00D927C5"/>
    <w:rsid w:val="00D928B3"/>
    <w:rsid w:val="00D928CB"/>
    <w:rsid w:val="00D92C2E"/>
    <w:rsid w:val="00D92C71"/>
    <w:rsid w:val="00D92CD7"/>
    <w:rsid w:val="00D92D24"/>
    <w:rsid w:val="00D92D48"/>
    <w:rsid w:val="00D92D6E"/>
    <w:rsid w:val="00D92EA9"/>
    <w:rsid w:val="00D92FE5"/>
    <w:rsid w:val="00D93128"/>
    <w:rsid w:val="00D93164"/>
    <w:rsid w:val="00D9343F"/>
    <w:rsid w:val="00D9346A"/>
    <w:rsid w:val="00D934BE"/>
    <w:rsid w:val="00D9353C"/>
    <w:rsid w:val="00D935DE"/>
    <w:rsid w:val="00D936F4"/>
    <w:rsid w:val="00D9382A"/>
    <w:rsid w:val="00D93841"/>
    <w:rsid w:val="00D938ED"/>
    <w:rsid w:val="00D939E8"/>
    <w:rsid w:val="00D939F3"/>
    <w:rsid w:val="00D93A01"/>
    <w:rsid w:val="00D93A50"/>
    <w:rsid w:val="00D93B98"/>
    <w:rsid w:val="00D93BB5"/>
    <w:rsid w:val="00D93D85"/>
    <w:rsid w:val="00D93EFF"/>
    <w:rsid w:val="00D93F0A"/>
    <w:rsid w:val="00D93FD6"/>
    <w:rsid w:val="00D94051"/>
    <w:rsid w:val="00D940AC"/>
    <w:rsid w:val="00D940EE"/>
    <w:rsid w:val="00D9411B"/>
    <w:rsid w:val="00D94269"/>
    <w:rsid w:val="00D94286"/>
    <w:rsid w:val="00D94287"/>
    <w:rsid w:val="00D943A3"/>
    <w:rsid w:val="00D943DB"/>
    <w:rsid w:val="00D94464"/>
    <w:rsid w:val="00D944D9"/>
    <w:rsid w:val="00D946D7"/>
    <w:rsid w:val="00D9478B"/>
    <w:rsid w:val="00D94979"/>
    <w:rsid w:val="00D94AB5"/>
    <w:rsid w:val="00D94C78"/>
    <w:rsid w:val="00D94C81"/>
    <w:rsid w:val="00D94CA5"/>
    <w:rsid w:val="00D94CB6"/>
    <w:rsid w:val="00D94DE3"/>
    <w:rsid w:val="00D94EF9"/>
    <w:rsid w:val="00D94F0B"/>
    <w:rsid w:val="00D94F24"/>
    <w:rsid w:val="00D94F59"/>
    <w:rsid w:val="00D94FCC"/>
    <w:rsid w:val="00D951DF"/>
    <w:rsid w:val="00D952B8"/>
    <w:rsid w:val="00D95320"/>
    <w:rsid w:val="00D953AC"/>
    <w:rsid w:val="00D9543D"/>
    <w:rsid w:val="00D954D4"/>
    <w:rsid w:val="00D9585E"/>
    <w:rsid w:val="00D959F7"/>
    <w:rsid w:val="00D95A8A"/>
    <w:rsid w:val="00D95AF5"/>
    <w:rsid w:val="00D95C8A"/>
    <w:rsid w:val="00D95E5A"/>
    <w:rsid w:val="00D95EBE"/>
    <w:rsid w:val="00D95EDE"/>
    <w:rsid w:val="00D95F76"/>
    <w:rsid w:val="00D95FE7"/>
    <w:rsid w:val="00D96287"/>
    <w:rsid w:val="00D962B1"/>
    <w:rsid w:val="00D963D7"/>
    <w:rsid w:val="00D963DB"/>
    <w:rsid w:val="00D964E1"/>
    <w:rsid w:val="00D965D9"/>
    <w:rsid w:val="00D966F9"/>
    <w:rsid w:val="00D968B7"/>
    <w:rsid w:val="00D96CCA"/>
    <w:rsid w:val="00D96D5E"/>
    <w:rsid w:val="00D96D91"/>
    <w:rsid w:val="00D96DBF"/>
    <w:rsid w:val="00D96E41"/>
    <w:rsid w:val="00D96E82"/>
    <w:rsid w:val="00D96EB8"/>
    <w:rsid w:val="00D96F28"/>
    <w:rsid w:val="00D96FA4"/>
    <w:rsid w:val="00D96FF9"/>
    <w:rsid w:val="00D9702C"/>
    <w:rsid w:val="00D97081"/>
    <w:rsid w:val="00D970CB"/>
    <w:rsid w:val="00D9715C"/>
    <w:rsid w:val="00D972FC"/>
    <w:rsid w:val="00D97401"/>
    <w:rsid w:val="00D9748D"/>
    <w:rsid w:val="00D9752B"/>
    <w:rsid w:val="00D97832"/>
    <w:rsid w:val="00D97844"/>
    <w:rsid w:val="00D97847"/>
    <w:rsid w:val="00D978D0"/>
    <w:rsid w:val="00D97977"/>
    <w:rsid w:val="00D97AA8"/>
    <w:rsid w:val="00D97C20"/>
    <w:rsid w:val="00D97C44"/>
    <w:rsid w:val="00D97E5C"/>
    <w:rsid w:val="00D97E7F"/>
    <w:rsid w:val="00DA0046"/>
    <w:rsid w:val="00DA0072"/>
    <w:rsid w:val="00DA00CB"/>
    <w:rsid w:val="00DA03D1"/>
    <w:rsid w:val="00DA043D"/>
    <w:rsid w:val="00DA0458"/>
    <w:rsid w:val="00DA0487"/>
    <w:rsid w:val="00DA05E4"/>
    <w:rsid w:val="00DA068B"/>
    <w:rsid w:val="00DA09CB"/>
    <w:rsid w:val="00DA0AA0"/>
    <w:rsid w:val="00DA0C88"/>
    <w:rsid w:val="00DA0CAE"/>
    <w:rsid w:val="00DA0CF6"/>
    <w:rsid w:val="00DA0D5B"/>
    <w:rsid w:val="00DA0DF2"/>
    <w:rsid w:val="00DA0F0E"/>
    <w:rsid w:val="00DA0F22"/>
    <w:rsid w:val="00DA10A6"/>
    <w:rsid w:val="00DA10FA"/>
    <w:rsid w:val="00DA112C"/>
    <w:rsid w:val="00DA12A1"/>
    <w:rsid w:val="00DA12BF"/>
    <w:rsid w:val="00DA145C"/>
    <w:rsid w:val="00DA148C"/>
    <w:rsid w:val="00DA14B9"/>
    <w:rsid w:val="00DA14F1"/>
    <w:rsid w:val="00DA1502"/>
    <w:rsid w:val="00DA155D"/>
    <w:rsid w:val="00DA1646"/>
    <w:rsid w:val="00DA16B2"/>
    <w:rsid w:val="00DA1795"/>
    <w:rsid w:val="00DA18DF"/>
    <w:rsid w:val="00DA1CC1"/>
    <w:rsid w:val="00DA1D5A"/>
    <w:rsid w:val="00DA1DD2"/>
    <w:rsid w:val="00DA1E1B"/>
    <w:rsid w:val="00DA1E83"/>
    <w:rsid w:val="00DA1EA4"/>
    <w:rsid w:val="00DA1F4E"/>
    <w:rsid w:val="00DA1FD8"/>
    <w:rsid w:val="00DA2127"/>
    <w:rsid w:val="00DA213E"/>
    <w:rsid w:val="00DA2194"/>
    <w:rsid w:val="00DA2301"/>
    <w:rsid w:val="00DA247A"/>
    <w:rsid w:val="00DA26E2"/>
    <w:rsid w:val="00DA27D8"/>
    <w:rsid w:val="00DA27F9"/>
    <w:rsid w:val="00DA29AC"/>
    <w:rsid w:val="00DA2BFD"/>
    <w:rsid w:val="00DA2D63"/>
    <w:rsid w:val="00DA2E1E"/>
    <w:rsid w:val="00DA2F87"/>
    <w:rsid w:val="00DA2F96"/>
    <w:rsid w:val="00DA2FA4"/>
    <w:rsid w:val="00DA3029"/>
    <w:rsid w:val="00DA305D"/>
    <w:rsid w:val="00DA3101"/>
    <w:rsid w:val="00DA314E"/>
    <w:rsid w:val="00DA3166"/>
    <w:rsid w:val="00DA3215"/>
    <w:rsid w:val="00DA3230"/>
    <w:rsid w:val="00DA3364"/>
    <w:rsid w:val="00DA33A4"/>
    <w:rsid w:val="00DA3431"/>
    <w:rsid w:val="00DA34C9"/>
    <w:rsid w:val="00DA35AD"/>
    <w:rsid w:val="00DA3655"/>
    <w:rsid w:val="00DA3686"/>
    <w:rsid w:val="00DA369E"/>
    <w:rsid w:val="00DA3758"/>
    <w:rsid w:val="00DA3861"/>
    <w:rsid w:val="00DA38A7"/>
    <w:rsid w:val="00DA3B31"/>
    <w:rsid w:val="00DA3D8E"/>
    <w:rsid w:val="00DA3E34"/>
    <w:rsid w:val="00DA3EED"/>
    <w:rsid w:val="00DA3F12"/>
    <w:rsid w:val="00DA4012"/>
    <w:rsid w:val="00DA4035"/>
    <w:rsid w:val="00DA405E"/>
    <w:rsid w:val="00DA414D"/>
    <w:rsid w:val="00DA4264"/>
    <w:rsid w:val="00DA4345"/>
    <w:rsid w:val="00DA435C"/>
    <w:rsid w:val="00DA4395"/>
    <w:rsid w:val="00DA449B"/>
    <w:rsid w:val="00DA45E6"/>
    <w:rsid w:val="00DA4635"/>
    <w:rsid w:val="00DA46B2"/>
    <w:rsid w:val="00DA4708"/>
    <w:rsid w:val="00DA47C8"/>
    <w:rsid w:val="00DA47F0"/>
    <w:rsid w:val="00DA4988"/>
    <w:rsid w:val="00DA499E"/>
    <w:rsid w:val="00DA49A3"/>
    <w:rsid w:val="00DA4B01"/>
    <w:rsid w:val="00DA4CAB"/>
    <w:rsid w:val="00DA4D7E"/>
    <w:rsid w:val="00DA4E0E"/>
    <w:rsid w:val="00DA4F23"/>
    <w:rsid w:val="00DA50D6"/>
    <w:rsid w:val="00DA5191"/>
    <w:rsid w:val="00DA524A"/>
    <w:rsid w:val="00DA53F2"/>
    <w:rsid w:val="00DA543F"/>
    <w:rsid w:val="00DA5495"/>
    <w:rsid w:val="00DA54EB"/>
    <w:rsid w:val="00DA5575"/>
    <w:rsid w:val="00DA5594"/>
    <w:rsid w:val="00DA55AC"/>
    <w:rsid w:val="00DA5623"/>
    <w:rsid w:val="00DA567F"/>
    <w:rsid w:val="00DA5798"/>
    <w:rsid w:val="00DA586F"/>
    <w:rsid w:val="00DA595B"/>
    <w:rsid w:val="00DA5966"/>
    <w:rsid w:val="00DA59FD"/>
    <w:rsid w:val="00DA5C8B"/>
    <w:rsid w:val="00DA5CB9"/>
    <w:rsid w:val="00DA5F1E"/>
    <w:rsid w:val="00DA5FBD"/>
    <w:rsid w:val="00DA6012"/>
    <w:rsid w:val="00DA60DF"/>
    <w:rsid w:val="00DA6121"/>
    <w:rsid w:val="00DA63D6"/>
    <w:rsid w:val="00DA6514"/>
    <w:rsid w:val="00DA660F"/>
    <w:rsid w:val="00DA6619"/>
    <w:rsid w:val="00DA6722"/>
    <w:rsid w:val="00DA674C"/>
    <w:rsid w:val="00DA6900"/>
    <w:rsid w:val="00DA69E0"/>
    <w:rsid w:val="00DA6AA5"/>
    <w:rsid w:val="00DA6BDE"/>
    <w:rsid w:val="00DA6C98"/>
    <w:rsid w:val="00DA6CC5"/>
    <w:rsid w:val="00DA6E4C"/>
    <w:rsid w:val="00DA6EC1"/>
    <w:rsid w:val="00DA701D"/>
    <w:rsid w:val="00DA70B4"/>
    <w:rsid w:val="00DA7201"/>
    <w:rsid w:val="00DA7248"/>
    <w:rsid w:val="00DA726D"/>
    <w:rsid w:val="00DA7289"/>
    <w:rsid w:val="00DA7290"/>
    <w:rsid w:val="00DA737A"/>
    <w:rsid w:val="00DA74F0"/>
    <w:rsid w:val="00DA75DE"/>
    <w:rsid w:val="00DA7622"/>
    <w:rsid w:val="00DA7624"/>
    <w:rsid w:val="00DA7641"/>
    <w:rsid w:val="00DA7716"/>
    <w:rsid w:val="00DA7799"/>
    <w:rsid w:val="00DA77F3"/>
    <w:rsid w:val="00DA7808"/>
    <w:rsid w:val="00DA7874"/>
    <w:rsid w:val="00DA78E2"/>
    <w:rsid w:val="00DA79DD"/>
    <w:rsid w:val="00DA79E3"/>
    <w:rsid w:val="00DA7A4C"/>
    <w:rsid w:val="00DA7AD3"/>
    <w:rsid w:val="00DA7B78"/>
    <w:rsid w:val="00DA7B7B"/>
    <w:rsid w:val="00DA7BBF"/>
    <w:rsid w:val="00DA7C48"/>
    <w:rsid w:val="00DA7CBE"/>
    <w:rsid w:val="00DA7CF1"/>
    <w:rsid w:val="00DA7D82"/>
    <w:rsid w:val="00DA7DB5"/>
    <w:rsid w:val="00DA7DB9"/>
    <w:rsid w:val="00DA7DEC"/>
    <w:rsid w:val="00DA7E20"/>
    <w:rsid w:val="00DA7F9C"/>
    <w:rsid w:val="00DB004A"/>
    <w:rsid w:val="00DB0057"/>
    <w:rsid w:val="00DB0242"/>
    <w:rsid w:val="00DB03FC"/>
    <w:rsid w:val="00DB0406"/>
    <w:rsid w:val="00DB0419"/>
    <w:rsid w:val="00DB0439"/>
    <w:rsid w:val="00DB046A"/>
    <w:rsid w:val="00DB0477"/>
    <w:rsid w:val="00DB04FD"/>
    <w:rsid w:val="00DB050A"/>
    <w:rsid w:val="00DB0684"/>
    <w:rsid w:val="00DB07EF"/>
    <w:rsid w:val="00DB093F"/>
    <w:rsid w:val="00DB0A1F"/>
    <w:rsid w:val="00DB0A92"/>
    <w:rsid w:val="00DB0B6D"/>
    <w:rsid w:val="00DB0BE5"/>
    <w:rsid w:val="00DB0D4D"/>
    <w:rsid w:val="00DB0EA9"/>
    <w:rsid w:val="00DB0F07"/>
    <w:rsid w:val="00DB0F39"/>
    <w:rsid w:val="00DB10B5"/>
    <w:rsid w:val="00DB10DC"/>
    <w:rsid w:val="00DB116F"/>
    <w:rsid w:val="00DB11A8"/>
    <w:rsid w:val="00DB127F"/>
    <w:rsid w:val="00DB12AC"/>
    <w:rsid w:val="00DB130F"/>
    <w:rsid w:val="00DB1368"/>
    <w:rsid w:val="00DB13DE"/>
    <w:rsid w:val="00DB1596"/>
    <w:rsid w:val="00DB1742"/>
    <w:rsid w:val="00DB17BF"/>
    <w:rsid w:val="00DB1A4E"/>
    <w:rsid w:val="00DB1B14"/>
    <w:rsid w:val="00DB1CFB"/>
    <w:rsid w:val="00DB1E0A"/>
    <w:rsid w:val="00DB1ED7"/>
    <w:rsid w:val="00DB1F1D"/>
    <w:rsid w:val="00DB1F36"/>
    <w:rsid w:val="00DB1F64"/>
    <w:rsid w:val="00DB20B2"/>
    <w:rsid w:val="00DB20F2"/>
    <w:rsid w:val="00DB25D5"/>
    <w:rsid w:val="00DB274E"/>
    <w:rsid w:val="00DB27D3"/>
    <w:rsid w:val="00DB29AD"/>
    <w:rsid w:val="00DB2ACA"/>
    <w:rsid w:val="00DB2B6A"/>
    <w:rsid w:val="00DB2B9E"/>
    <w:rsid w:val="00DB2BAF"/>
    <w:rsid w:val="00DB2BE7"/>
    <w:rsid w:val="00DB2BF2"/>
    <w:rsid w:val="00DB2DC5"/>
    <w:rsid w:val="00DB2DE0"/>
    <w:rsid w:val="00DB2FF7"/>
    <w:rsid w:val="00DB3061"/>
    <w:rsid w:val="00DB30B9"/>
    <w:rsid w:val="00DB3355"/>
    <w:rsid w:val="00DB3421"/>
    <w:rsid w:val="00DB34F5"/>
    <w:rsid w:val="00DB3706"/>
    <w:rsid w:val="00DB3783"/>
    <w:rsid w:val="00DB3879"/>
    <w:rsid w:val="00DB399E"/>
    <w:rsid w:val="00DB3A01"/>
    <w:rsid w:val="00DB3A3F"/>
    <w:rsid w:val="00DB3A56"/>
    <w:rsid w:val="00DB3A58"/>
    <w:rsid w:val="00DB3BCC"/>
    <w:rsid w:val="00DB3C43"/>
    <w:rsid w:val="00DB3DFB"/>
    <w:rsid w:val="00DB3E88"/>
    <w:rsid w:val="00DB3EF6"/>
    <w:rsid w:val="00DB3F24"/>
    <w:rsid w:val="00DB4013"/>
    <w:rsid w:val="00DB42C7"/>
    <w:rsid w:val="00DB433B"/>
    <w:rsid w:val="00DB4348"/>
    <w:rsid w:val="00DB4423"/>
    <w:rsid w:val="00DB4438"/>
    <w:rsid w:val="00DB48DF"/>
    <w:rsid w:val="00DB4981"/>
    <w:rsid w:val="00DB4986"/>
    <w:rsid w:val="00DB49FD"/>
    <w:rsid w:val="00DB4B4A"/>
    <w:rsid w:val="00DB4C49"/>
    <w:rsid w:val="00DB4E8C"/>
    <w:rsid w:val="00DB5102"/>
    <w:rsid w:val="00DB5128"/>
    <w:rsid w:val="00DB519F"/>
    <w:rsid w:val="00DB52DE"/>
    <w:rsid w:val="00DB549B"/>
    <w:rsid w:val="00DB549D"/>
    <w:rsid w:val="00DB54FC"/>
    <w:rsid w:val="00DB550C"/>
    <w:rsid w:val="00DB5540"/>
    <w:rsid w:val="00DB55C8"/>
    <w:rsid w:val="00DB561A"/>
    <w:rsid w:val="00DB566E"/>
    <w:rsid w:val="00DB56C9"/>
    <w:rsid w:val="00DB56F4"/>
    <w:rsid w:val="00DB577F"/>
    <w:rsid w:val="00DB5799"/>
    <w:rsid w:val="00DB5834"/>
    <w:rsid w:val="00DB58A2"/>
    <w:rsid w:val="00DB5AB5"/>
    <w:rsid w:val="00DB5BDF"/>
    <w:rsid w:val="00DB5C4A"/>
    <w:rsid w:val="00DB5CF2"/>
    <w:rsid w:val="00DB5D91"/>
    <w:rsid w:val="00DB5F0A"/>
    <w:rsid w:val="00DB6030"/>
    <w:rsid w:val="00DB62B0"/>
    <w:rsid w:val="00DB6313"/>
    <w:rsid w:val="00DB6325"/>
    <w:rsid w:val="00DB63C4"/>
    <w:rsid w:val="00DB6495"/>
    <w:rsid w:val="00DB6518"/>
    <w:rsid w:val="00DB655B"/>
    <w:rsid w:val="00DB656F"/>
    <w:rsid w:val="00DB65CE"/>
    <w:rsid w:val="00DB65E5"/>
    <w:rsid w:val="00DB6707"/>
    <w:rsid w:val="00DB6728"/>
    <w:rsid w:val="00DB67C8"/>
    <w:rsid w:val="00DB67D9"/>
    <w:rsid w:val="00DB67F8"/>
    <w:rsid w:val="00DB6945"/>
    <w:rsid w:val="00DB6A42"/>
    <w:rsid w:val="00DB6B52"/>
    <w:rsid w:val="00DB6C45"/>
    <w:rsid w:val="00DB6F5B"/>
    <w:rsid w:val="00DB6F84"/>
    <w:rsid w:val="00DB6F93"/>
    <w:rsid w:val="00DB6F98"/>
    <w:rsid w:val="00DB6FFF"/>
    <w:rsid w:val="00DB7037"/>
    <w:rsid w:val="00DB70E8"/>
    <w:rsid w:val="00DB7155"/>
    <w:rsid w:val="00DB72FB"/>
    <w:rsid w:val="00DB7339"/>
    <w:rsid w:val="00DB7397"/>
    <w:rsid w:val="00DB73C3"/>
    <w:rsid w:val="00DB73D8"/>
    <w:rsid w:val="00DB7403"/>
    <w:rsid w:val="00DB74B7"/>
    <w:rsid w:val="00DB752A"/>
    <w:rsid w:val="00DB756F"/>
    <w:rsid w:val="00DB76B5"/>
    <w:rsid w:val="00DB76EB"/>
    <w:rsid w:val="00DB77E5"/>
    <w:rsid w:val="00DB784B"/>
    <w:rsid w:val="00DB7874"/>
    <w:rsid w:val="00DB78CE"/>
    <w:rsid w:val="00DB794E"/>
    <w:rsid w:val="00DB7B2E"/>
    <w:rsid w:val="00DB7B72"/>
    <w:rsid w:val="00DB7C63"/>
    <w:rsid w:val="00DB7CC7"/>
    <w:rsid w:val="00DB7D33"/>
    <w:rsid w:val="00DB7D39"/>
    <w:rsid w:val="00DB7E26"/>
    <w:rsid w:val="00DB7EC5"/>
    <w:rsid w:val="00DB7F2F"/>
    <w:rsid w:val="00DC00E1"/>
    <w:rsid w:val="00DC050A"/>
    <w:rsid w:val="00DC053A"/>
    <w:rsid w:val="00DC059F"/>
    <w:rsid w:val="00DC0611"/>
    <w:rsid w:val="00DC0989"/>
    <w:rsid w:val="00DC09B3"/>
    <w:rsid w:val="00DC0B95"/>
    <w:rsid w:val="00DC0BA6"/>
    <w:rsid w:val="00DC0C4B"/>
    <w:rsid w:val="00DC0CB4"/>
    <w:rsid w:val="00DC0CEF"/>
    <w:rsid w:val="00DC0D94"/>
    <w:rsid w:val="00DC0EC9"/>
    <w:rsid w:val="00DC0F47"/>
    <w:rsid w:val="00DC1041"/>
    <w:rsid w:val="00DC10AA"/>
    <w:rsid w:val="00DC10AE"/>
    <w:rsid w:val="00DC120B"/>
    <w:rsid w:val="00DC130D"/>
    <w:rsid w:val="00DC1356"/>
    <w:rsid w:val="00DC13FC"/>
    <w:rsid w:val="00DC1525"/>
    <w:rsid w:val="00DC15BF"/>
    <w:rsid w:val="00DC1628"/>
    <w:rsid w:val="00DC1635"/>
    <w:rsid w:val="00DC164B"/>
    <w:rsid w:val="00DC16B7"/>
    <w:rsid w:val="00DC16D1"/>
    <w:rsid w:val="00DC1720"/>
    <w:rsid w:val="00DC181E"/>
    <w:rsid w:val="00DC1894"/>
    <w:rsid w:val="00DC189E"/>
    <w:rsid w:val="00DC18A2"/>
    <w:rsid w:val="00DC1A2E"/>
    <w:rsid w:val="00DC1A55"/>
    <w:rsid w:val="00DC1A62"/>
    <w:rsid w:val="00DC1C0B"/>
    <w:rsid w:val="00DC1C57"/>
    <w:rsid w:val="00DC1C76"/>
    <w:rsid w:val="00DC1D9A"/>
    <w:rsid w:val="00DC1DFF"/>
    <w:rsid w:val="00DC1E27"/>
    <w:rsid w:val="00DC1F27"/>
    <w:rsid w:val="00DC1F2C"/>
    <w:rsid w:val="00DC1FAA"/>
    <w:rsid w:val="00DC203F"/>
    <w:rsid w:val="00DC2093"/>
    <w:rsid w:val="00DC209F"/>
    <w:rsid w:val="00DC2154"/>
    <w:rsid w:val="00DC217D"/>
    <w:rsid w:val="00DC21C1"/>
    <w:rsid w:val="00DC2269"/>
    <w:rsid w:val="00DC2318"/>
    <w:rsid w:val="00DC2319"/>
    <w:rsid w:val="00DC2363"/>
    <w:rsid w:val="00DC2419"/>
    <w:rsid w:val="00DC251A"/>
    <w:rsid w:val="00DC2572"/>
    <w:rsid w:val="00DC266A"/>
    <w:rsid w:val="00DC2694"/>
    <w:rsid w:val="00DC2730"/>
    <w:rsid w:val="00DC2773"/>
    <w:rsid w:val="00DC2779"/>
    <w:rsid w:val="00DC2845"/>
    <w:rsid w:val="00DC29AA"/>
    <w:rsid w:val="00DC2A9E"/>
    <w:rsid w:val="00DC2AA9"/>
    <w:rsid w:val="00DC2BEC"/>
    <w:rsid w:val="00DC2CF1"/>
    <w:rsid w:val="00DC2CF3"/>
    <w:rsid w:val="00DC2D66"/>
    <w:rsid w:val="00DC2E98"/>
    <w:rsid w:val="00DC302B"/>
    <w:rsid w:val="00DC302F"/>
    <w:rsid w:val="00DC3289"/>
    <w:rsid w:val="00DC32E3"/>
    <w:rsid w:val="00DC32F3"/>
    <w:rsid w:val="00DC3337"/>
    <w:rsid w:val="00DC337F"/>
    <w:rsid w:val="00DC339B"/>
    <w:rsid w:val="00DC33A1"/>
    <w:rsid w:val="00DC34A5"/>
    <w:rsid w:val="00DC34B0"/>
    <w:rsid w:val="00DC3534"/>
    <w:rsid w:val="00DC3559"/>
    <w:rsid w:val="00DC372A"/>
    <w:rsid w:val="00DC379B"/>
    <w:rsid w:val="00DC3899"/>
    <w:rsid w:val="00DC398B"/>
    <w:rsid w:val="00DC39AE"/>
    <w:rsid w:val="00DC3AE1"/>
    <w:rsid w:val="00DC3B54"/>
    <w:rsid w:val="00DC3B9B"/>
    <w:rsid w:val="00DC3CDF"/>
    <w:rsid w:val="00DC3D35"/>
    <w:rsid w:val="00DC3D69"/>
    <w:rsid w:val="00DC3E03"/>
    <w:rsid w:val="00DC3EA6"/>
    <w:rsid w:val="00DC3F0C"/>
    <w:rsid w:val="00DC411B"/>
    <w:rsid w:val="00DC4129"/>
    <w:rsid w:val="00DC41F0"/>
    <w:rsid w:val="00DC41F7"/>
    <w:rsid w:val="00DC42EA"/>
    <w:rsid w:val="00DC42F7"/>
    <w:rsid w:val="00DC43EA"/>
    <w:rsid w:val="00DC45F9"/>
    <w:rsid w:val="00DC4651"/>
    <w:rsid w:val="00DC46BD"/>
    <w:rsid w:val="00DC4761"/>
    <w:rsid w:val="00DC4876"/>
    <w:rsid w:val="00DC48BC"/>
    <w:rsid w:val="00DC4962"/>
    <w:rsid w:val="00DC4990"/>
    <w:rsid w:val="00DC4A0B"/>
    <w:rsid w:val="00DC4B09"/>
    <w:rsid w:val="00DC4B8F"/>
    <w:rsid w:val="00DC4E5B"/>
    <w:rsid w:val="00DC4F8B"/>
    <w:rsid w:val="00DC4F99"/>
    <w:rsid w:val="00DC502D"/>
    <w:rsid w:val="00DC5117"/>
    <w:rsid w:val="00DC51D5"/>
    <w:rsid w:val="00DC51E3"/>
    <w:rsid w:val="00DC5314"/>
    <w:rsid w:val="00DC5346"/>
    <w:rsid w:val="00DC562C"/>
    <w:rsid w:val="00DC56B1"/>
    <w:rsid w:val="00DC57EC"/>
    <w:rsid w:val="00DC59CE"/>
    <w:rsid w:val="00DC59D8"/>
    <w:rsid w:val="00DC5A32"/>
    <w:rsid w:val="00DC5A7B"/>
    <w:rsid w:val="00DC5AFB"/>
    <w:rsid w:val="00DC5B15"/>
    <w:rsid w:val="00DC5CFC"/>
    <w:rsid w:val="00DC5EE0"/>
    <w:rsid w:val="00DC5F30"/>
    <w:rsid w:val="00DC60DA"/>
    <w:rsid w:val="00DC62E7"/>
    <w:rsid w:val="00DC6307"/>
    <w:rsid w:val="00DC6589"/>
    <w:rsid w:val="00DC659F"/>
    <w:rsid w:val="00DC6631"/>
    <w:rsid w:val="00DC6650"/>
    <w:rsid w:val="00DC669D"/>
    <w:rsid w:val="00DC670B"/>
    <w:rsid w:val="00DC676F"/>
    <w:rsid w:val="00DC695D"/>
    <w:rsid w:val="00DC69A4"/>
    <w:rsid w:val="00DC6B23"/>
    <w:rsid w:val="00DC6B4B"/>
    <w:rsid w:val="00DC6C44"/>
    <w:rsid w:val="00DC6C6E"/>
    <w:rsid w:val="00DC6CAD"/>
    <w:rsid w:val="00DC6CCB"/>
    <w:rsid w:val="00DC6D01"/>
    <w:rsid w:val="00DC6D82"/>
    <w:rsid w:val="00DC6DC3"/>
    <w:rsid w:val="00DC6E1E"/>
    <w:rsid w:val="00DC6E64"/>
    <w:rsid w:val="00DC6E6C"/>
    <w:rsid w:val="00DC6E97"/>
    <w:rsid w:val="00DC71D2"/>
    <w:rsid w:val="00DC71D3"/>
    <w:rsid w:val="00DC71D7"/>
    <w:rsid w:val="00DC722C"/>
    <w:rsid w:val="00DC725B"/>
    <w:rsid w:val="00DC73D7"/>
    <w:rsid w:val="00DC7446"/>
    <w:rsid w:val="00DC75D1"/>
    <w:rsid w:val="00DC7672"/>
    <w:rsid w:val="00DC78B8"/>
    <w:rsid w:val="00DC7944"/>
    <w:rsid w:val="00DC7979"/>
    <w:rsid w:val="00DC7A0C"/>
    <w:rsid w:val="00DC7AB5"/>
    <w:rsid w:val="00DC7C61"/>
    <w:rsid w:val="00DC7C8C"/>
    <w:rsid w:val="00DC7CF2"/>
    <w:rsid w:val="00DC7DF1"/>
    <w:rsid w:val="00DC7E1D"/>
    <w:rsid w:val="00DC7EA5"/>
    <w:rsid w:val="00DC7F1E"/>
    <w:rsid w:val="00DC7FB2"/>
    <w:rsid w:val="00DD000B"/>
    <w:rsid w:val="00DD0016"/>
    <w:rsid w:val="00DD0094"/>
    <w:rsid w:val="00DD01C7"/>
    <w:rsid w:val="00DD034A"/>
    <w:rsid w:val="00DD038D"/>
    <w:rsid w:val="00DD03BC"/>
    <w:rsid w:val="00DD044D"/>
    <w:rsid w:val="00DD04E2"/>
    <w:rsid w:val="00DD067A"/>
    <w:rsid w:val="00DD084C"/>
    <w:rsid w:val="00DD08C6"/>
    <w:rsid w:val="00DD0A2E"/>
    <w:rsid w:val="00DD0A3E"/>
    <w:rsid w:val="00DD0B57"/>
    <w:rsid w:val="00DD0B61"/>
    <w:rsid w:val="00DD0B8F"/>
    <w:rsid w:val="00DD0BE3"/>
    <w:rsid w:val="00DD0C9E"/>
    <w:rsid w:val="00DD0CCF"/>
    <w:rsid w:val="00DD0D9A"/>
    <w:rsid w:val="00DD0E68"/>
    <w:rsid w:val="00DD0ED2"/>
    <w:rsid w:val="00DD0F20"/>
    <w:rsid w:val="00DD1076"/>
    <w:rsid w:val="00DD1214"/>
    <w:rsid w:val="00DD1306"/>
    <w:rsid w:val="00DD1336"/>
    <w:rsid w:val="00DD140A"/>
    <w:rsid w:val="00DD1431"/>
    <w:rsid w:val="00DD143C"/>
    <w:rsid w:val="00DD1462"/>
    <w:rsid w:val="00DD14B9"/>
    <w:rsid w:val="00DD15FB"/>
    <w:rsid w:val="00DD1709"/>
    <w:rsid w:val="00DD17A9"/>
    <w:rsid w:val="00DD197E"/>
    <w:rsid w:val="00DD19EE"/>
    <w:rsid w:val="00DD1A79"/>
    <w:rsid w:val="00DD1C2B"/>
    <w:rsid w:val="00DD1CD8"/>
    <w:rsid w:val="00DD1D2D"/>
    <w:rsid w:val="00DD20A2"/>
    <w:rsid w:val="00DD20F5"/>
    <w:rsid w:val="00DD210D"/>
    <w:rsid w:val="00DD218C"/>
    <w:rsid w:val="00DD2285"/>
    <w:rsid w:val="00DD238E"/>
    <w:rsid w:val="00DD23AA"/>
    <w:rsid w:val="00DD23AE"/>
    <w:rsid w:val="00DD2582"/>
    <w:rsid w:val="00DD25C0"/>
    <w:rsid w:val="00DD2685"/>
    <w:rsid w:val="00DD2894"/>
    <w:rsid w:val="00DD28D5"/>
    <w:rsid w:val="00DD2942"/>
    <w:rsid w:val="00DD29F1"/>
    <w:rsid w:val="00DD2ACE"/>
    <w:rsid w:val="00DD2B08"/>
    <w:rsid w:val="00DD2C11"/>
    <w:rsid w:val="00DD2D11"/>
    <w:rsid w:val="00DD2ECC"/>
    <w:rsid w:val="00DD2EED"/>
    <w:rsid w:val="00DD3043"/>
    <w:rsid w:val="00DD30ED"/>
    <w:rsid w:val="00DD32B3"/>
    <w:rsid w:val="00DD33CB"/>
    <w:rsid w:val="00DD340B"/>
    <w:rsid w:val="00DD3693"/>
    <w:rsid w:val="00DD381F"/>
    <w:rsid w:val="00DD389D"/>
    <w:rsid w:val="00DD38D6"/>
    <w:rsid w:val="00DD391C"/>
    <w:rsid w:val="00DD3A0D"/>
    <w:rsid w:val="00DD3A42"/>
    <w:rsid w:val="00DD3AE6"/>
    <w:rsid w:val="00DD3B9D"/>
    <w:rsid w:val="00DD3CF3"/>
    <w:rsid w:val="00DD3D5F"/>
    <w:rsid w:val="00DD3E05"/>
    <w:rsid w:val="00DD3E91"/>
    <w:rsid w:val="00DD3EA4"/>
    <w:rsid w:val="00DD3F34"/>
    <w:rsid w:val="00DD3FD1"/>
    <w:rsid w:val="00DD3FF4"/>
    <w:rsid w:val="00DD419B"/>
    <w:rsid w:val="00DD4380"/>
    <w:rsid w:val="00DD44D5"/>
    <w:rsid w:val="00DD4535"/>
    <w:rsid w:val="00DD454C"/>
    <w:rsid w:val="00DD4573"/>
    <w:rsid w:val="00DD45A6"/>
    <w:rsid w:val="00DD4706"/>
    <w:rsid w:val="00DD4708"/>
    <w:rsid w:val="00DD47EE"/>
    <w:rsid w:val="00DD4948"/>
    <w:rsid w:val="00DD495B"/>
    <w:rsid w:val="00DD4B5D"/>
    <w:rsid w:val="00DD4C6E"/>
    <w:rsid w:val="00DD4C9B"/>
    <w:rsid w:val="00DD4DB0"/>
    <w:rsid w:val="00DD4DDB"/>
    <w:rsid w:val="00DD4E3F"/>
    <w:rsid w:val="00DD4E58"/>
    <w:rsid w:val="00DD4EA8"/>
    <w:rsid w:val="00DD4F1A"/>
    <w:rsid w:val="00DD4FFA"/>
    <w:rsid w:val="00DD50F8"/>
    <w:rsid w:val="00DD50FA"/>
    <w:rsid w:val="00DD51F7"/>
    <w:rsid w:val="00DD531E"/>
    <w:rsid w:val="00DD540C"/>
    <w:rsid w:val="00DD5410"/>
    <w:rsid w:val="00DD5466"/>
    <w:rsid w:val="00DD5473"/>
    <w:rsid w:val="00DD555B"/>
    <w:rsid w:val="00DD564C"/>
    <w:rsid w:val="00DD568E"/>
    <w:rsid w:val="00DD57D9"/>
    <w:rsid w:val="00DD58CE"/>
    <w:rsid w:val="00DD58EF"/>
    <w:rsid w:val="00DD590C"/>
    <w:rsid w:val="00DD59C7"/>
    <w:rsid w:val="00DD5A40"/>
    <w:rsid w:val="00DD5BB9"/>
    <w:rsid w:val="00DD5D04"/>
    <w:rsid w:val="00DD6025"/>
    <w:rsid w:val="00DD6038"/>
    <w:rsid w:val="00DD6059"/>
    <w:rsid w:val="00DD60D2"/>
    <w:rsid w:val="00DD6279"/>
    <w:rsid w:val="00DD628A"/>
    <w:rsid w:val="00DD633D"/>
    <w:rsid w:val="00DD6363"/>
    <w:rsid w:val="00DD63C6"/>
    <w:rsid w:val="00DD63FD"/>
    <w:rsid w:val="00DD6558"/>
    <w:rsid w:val="00DD65A8"/>
    <w:rsid w:val="00DD65E6"/>
    <w:rsid w:val="00DD660B"/>
    <w:rsid w:val="00DD664A"/>
    <w:rsid w:val="00DD6869"/>
    <w:rsid w:val="00DD68FC"/>
    <w:rsid w:val="00DD6AAF"/>
    <w:rsid w:val="00DD6B20"/>
    <w:rsid w:val="00DD6B22"/>
    <w:rsid w:val="00DD6B98"/>
    <w:rsid w:val="00DD6BB1"/>
    <w:rsid w:val="00DD6CC8"/>
    <w:rsid w:val="00DD6D01"/>
    <w:rsid w:val="00DD6DD4"/>
    <w:rsid w:val="00DD6DEA"/>
    <w:rsid w:val="00DD6FF3"/>
    <w:rsid w:val="00DD7094"/>
    <w:rsid w:val="00DD709B"/>
    <w:rsid w:val="00DD70F4"/>
    <w:rsid w:val="00DD74A1"/>
    <w:rsid w:val="00DD74EE"/>
    <w:rsid w:val="00DD753F"/>
    <w:rsid w:val="00DD779E"/>
    <w:rsid w:val="00DD77D3"/>
    <w:rsid w:val="00DD78AD"/>
    <w:rsid w:val="00DD7A22"/>
    <w:rsid w:val="00DD7B6A"/>
    <w:rsid w:val="00DD7C20"/>
    <w:rsid w:val="00DD7CF1"/>
    <w:rsid w:val="00DD7D98"/>
    <w:rsid w:val="00DD7DF2"/>
    <w:rsid w:val="00DD7E25"/>
    <w:rsid w:val="00DE01E5"/>
    <w:rsid w:val="00DE03B6"/>
    <w:rsid w:val="00DE03E8"/>
    <w:rsid w:val="00DE0413"/>
    <w:rsid w:val="00DE041A"/>
    <w:rsid w:val="00DE0450"/>
    <w:rsid w:val="00DE0914"/>
    <w:rsid w:val="00DE09A8"/>
    <w:rsid w:val="00DE0A44"/>
    <w:rsid w:val="00DE0A7D"/>
    <w:rsid w:val="00DE0B28"/>
    <w:rsid w:val="00DE0B3D"/>
    <w:rsid w:val="00DE0BA8"/>
    <w:rsid w:val="00DE0BCD"/>
    <w:rsid w:val="00DE0CAF"/>
    <w:rsid w:val="00DE0CB8"/>
    <w:rsid w:val="00DE0F28"/>
    <w:rsid w:val="00DE121C"/>
    <w:rsid w:val="00DE1362"/>
    <w:rsid w:val="00DE13F0"/>
    <w:rsid w:val="00DE1422"/>
    <w:rsid w:val="00DE1442"/>
    <w:rsid w:val="00DE145C"/>
    <w:rsid w:val="00DE14D2"/>
    <w:rsid w:val="00DE14FE"/>
    <w:rsid w:val="00DE155F"/>
    <w:rsid w:val="00DE1575"/>
    <w:rsid w:val="00DE1625"/>
    <w:rsid w:val="00DE16FE"/>
    <w:rsid w:val="00DE184D"/>
    <w:rsid w:val="00DE18D3"/>
    <w:rsid w:val="00DE19F3"/>
    <w:rsid w:val="00DE1B06"/>
    <w:rsid w:val="00DE1C15"/>
    <w:rsid w:val="00DE1D0F"/>
    <w:rsid w:val="00DE1D8D"/>
    <w:rsid w:val="00DE1D91"/>
    <w:rsid w:val="00DE1E13"/>
    <w:rsid w:val="00DE1E79"/>
    <w:rsid w:val="00DE1EB1"/>
    <w:rsid w:val="00DE1EB4"/>
    <w:rsid w:val="00DE1EE0"/>
    <w:rsid w:val="00DE1F0E"/>
    <w:rsid w:val="00DE202B"/>
    <w:rsid w:val="00DE20EE"/>
    <w:rsid w:val="00DE226B"/>
    <w:rsid w:val="00DE229D"/>
    <w:rsid w:val="00DE22C2"/>
    <w:rsid w:val="00DE231C"/>
    <w:rsid w:val="00DE2484"/>
    <w:rsid w:val="00DE260C"/>
    <w:rsid w:val="00DE26B8"/>
    <w:rsid w:val="00DE2707"/>
    <w:rsid w:val="00DE277A"/>
    <w:rsid w:val="00DE2816"/>
    <w:rsid w:val="00DE2823"/>
    <w:rsid w:val="00DE28BF"/>
    <w:rsid w:val="00DE2973"/>
    <w:rsid w:val="00DE2A05"/>
    <w:rsid w:val="00DE2A64"/>
    <w:rsid w:val="00DE2B1B"/>
    <w:rsid w:val="00DE2BBA"/>
    <w:rsid w:val="00DE2C19"/>
    <w:rsid w:val="00DE2CF1"/>
    <w:rsid w:val="00DE2E0C"/>
    <w:rsid w:val="00DE2E74"/>
    <w:rsid w:val="00DE3121"/>
    <w:rsid w:val="00DE31D3"/>
    <w:rsid w:val="00DE3263"/>
    <w:rsid w:val="00DE32C5"/>
    <w:rsid w:val="00DE341B"/>
    <w:rsid w:val="00DE3437"/>
    <w:rsid w:val="00DE3544"/>
    <w:rsid w:val="00DE3552"/>
    <w:rsid w:val="00DE35C9"/>
    <w:rsid w:val="00DE371C"/>
    <w:rsid w:val="00DE3837"/>
    <w:rsid w:val="00DE38DC"/>
    <w:rsid w:val="00DE399D"/>
    <w:rsid w:val="00DE39C2"/>
    <w:rsid w:val="00DE39D9"/>
    <w:rsid w:val="00DE39F7"/>
    <w:rsid w:val="00DE3A72"/>
    <w:rsid w:val="00DE3AD8"/>
    <w:rsid w:val="00DE3B17"/>
    <w:rsid w:val="00DE3B93"/>
    <w:rsid w:val="00DE3BBC"/>
    <w:rsid w:val="00DE3D6C"/>
    <w:rsid w:val="00DE3DFC"/>
    <w:rsid w:val="00DE3E23"/>
    <w:rsid w:val="00DE3F0C"/>
    <w:rsid w:val="00DE3F5C"/>
    <w:rsid w:val="00DE40F5"/>
    <w:rsid w:val="00DE415A"/>
    <w:rsid w:val="00DE42D9"/>
    <w:rsid w:val="00DE44B6"/>
    <w:rsid w:val="00DE4608"/>
    <w:rsid w:val="00DE46E3"/>
    <w:rsid w:val="00DE4705"/>
    <w:rsid w:val="00DE49CC"/>
    <w:rsid w:val="00DE4A49"/>
    <w:rsid w:val="00DE4AD7"/>
    <w:rsid w:val="00DE4B8D"/>
    <w:rsid w:val="00DE4BF3"/>
    <w:rsid w:val="00DE4C76"/>
    <w:rsid w:val="00DE4EFC"/>
    <w:rsid w:val="00DE4F56"/>
    <w:rsid w:val="00DE50CB"/>
    <w:rsid w:val="00DE53D1"/>
    <w:rsid w:val="00DE5428"/>
    <w:rsid w:val="00DE5431"/>
    <w:rsid w:val="00DE54A9"/>
    <w:rsid w:val="00DE55A6"/>
    <w:rsid w:val="00DE560D"/>
    <w:rsid w:val="00DE5752"/>
    <w:rsid w:val="00DE5789"/>
    <w:rsid w:val="00DE5979"/>
    <w:rsid w:val="00DE5A86"/>
    <w:rsid w:val="00DE5B25"/>
    <w:rsid w:val="00DE5B58"/>
    <w:rsid w:val="00DE5BD0"/>
    <w:rsid w:val="00DE5C77"/>
    <w:rsid w:val="00DE5C7C"/>
    <w:rsid w:val="00DE5DFB"/>
    <w:rsid w:val="00DE5E93"/>
    <w:rsid w:val="00DE5F3B"/>
    <w:rsid w:val="00DE5F85"/>
    <w:rsid w:val="00DE6195"/>
    <w:rsid w:val="00DE6271"/>
    <w:rsid w:val="00DE62CF"/>
    <w:rsid w:val="00DE6369"/>
    <w:rsid w:val="00DE6417"/>
    <w:rsid w:val="00DE6578"/>
    <w:rsid w:val="00DE658D"/>
    <w:rsid w:val="00DE66C1"/>
    <w:rsid w:val="00DE68D0"/>
    <w:rsid w:val="00DE6948"/>
    <w:rsid w:val="00DE69B2"/>
    <w:rsid w:val="00DE6ACE"/>
    <w:rsid w:val="00DE6B4B"/>
    <w:rsid w:val="00DE6D30"/>
    <w:rsid w:val="00DE6D74"/>
    <w:rsid w:val="00DE6E70"/>
    <w:rsid w:val="00DE7078"/>
    <w:rsid w:val="00DE70FD"/>
    <w:rsid w:val="00DE715B"/>
    <w:rsid w:val="00DE724D"/>
    <w:rsid w:val="00DE743F"/>
    <w:rsid w:val="00DE7559"/>
    <w:rsid w:val="00DE75C1"/>
    <w:rsid w:val="00DE7810"/>
    <w:rsid w:val="00DE7986"/>
    <w:rsid w:val="00DE79B9"/>
    <w:rsid w:val="00DE79C7"/>
    <w:rsid w:val="00DE7A3A"/>
    <w:rsid w:val="00DE7A85"/>
    <w:rsid w:val="00DE7ACF"/>
    <w:rsid w:val="00DE7D25"/>
    <w:rsid w:val="00DE7D80"/>
    <w:rsid w:val="00DE7ED4"/>
    <w:rsid w:val="00DE7F4A"/>
    <w:rsid w:val="00DE7FB2"/>
    <w:rsid w:val="00DF0042"/>
    <w:rsid w:val="00DF0259"/>
    <w:rsid w:val="00DF033C"/>
    <w:rsid w:val="00DF040F"/>
    <w:rsid w:val="00DF0418"/>
    <w:rsid w:val="00DF0603"/>
    <w:rsid w:val="00DF0735"/>
    <w:rsid w:val="00DF0747"/>
    <w:rsid w:val="00DF08D0"/>
    <w:rsid w:val="00DF091D"/>
    <w:rsid w:val="00DF093B"/>
    <w:rsid w:val="00DF0992"/>
    <w:rsid w:val="00DF0B15"/>
    <w:rsid w:val="00DF0B17"/>
    <w:rsid w:val="00DF0B57"/>
    <w:rsid w:val="00DF0BCF"/>
    <w:rsid w:val="00DF0BFE"/>
    <w:rsid w:val="00DF0C08"/>
    <w:rsid w:val="00DF0C83"/>
    <w:rsid w:val="00DF0DB6"/>
    <w:rsid w:val="00DF0E73"/>
    <w:rsid w:val="00DF113A"/>
    <w:rsid w:val="00DF1227"/>
    <w:rsid w:val="00DF125D"/>
    <w:rsid w:val="00DF13E8"/>
    <w:rsid w:val="00DF1656"/>
    <w:rsid w:val="00DF16DC"/>
    <w:rsid w:val="00DF17B3"/>
    <w:rsid w:val="00DF185E"/>
    <w:rsid w:val="00DF1A13"/>
    <w:rsid w:val="00DF1A78"/>
    <w:rsid w:val="00DF1B80"/>
    <w:rsid w:val="00DF1BF7"/>
    <w:rsid w:val="00DF1C87"/>
    <w:rsid w:val="00DF1DC2"/>
    <w:rsid w:val="00DF1F6C"/>
    <w:rsid w:val="00DF1F92"/>
    <w:rsid w:val="00DF205C"/>
    <w:rsid w:val="00DF2198"/>
    <w:rsid w:val="00DF2264"/>
    <w:rsid w:val="00DF22BA"/>
    <w:rsid w:val="00DF22D7"/>
    <w:rsid w:val="00DF22E9"/>
    <w:rsid w:val="00DF239A"/>
    <w:rsid w:val="00DF23BD"/>
    <w:rsid w:val="00DF24B2"/>
    <w:rsid w:val="00DF2525"/>
    <w:rsid w:val="00DF25D3"/>
    <w:rsid w:val="00DF267F"/>
    <w:rsid w:val="00DF290C"/>
    <w:rsid w:val="00DF2AF8"/>
    <w:rsid w:val="00DF2B46"/>
    <w:rsid w:val="00DF2B4F"/>
    <w:rsid w:val="00DF2C93"/>
    <w:rsid w:val="00DF2CBD"/>
    <w:rsid w:val="00DF2DC7"/>
    <w:rsid w:val="00DF2EC6"/>
    <w:rsid w:val="00DF2F34"/>
    <w:rsid w:val="00DF2F7C"/>
    <w:rsid w:val="00DF3034"/>
    <w:rsid w:val="00DF30EC"/>
    <w:rsid w:val="00DF30F5"/>
    <w:rsid w:val="00DF313E"/>
    <w:rsid w:val="00DF332F"/>
    <w:rsid w:val="00DF343D"/>
    <w:rsid w:val="00DF345B"/>
    <w:rsid w:val="00DF3654"/>
    <w:rsid w:val="00DF3682"/>
    <w:rsid w:val="00DF36B3"/>
    <w:rsid w:val="00DF36C8"/>
    <w:rsid w:val="00DF36D2"/>
    <w:rsid w:val="00DF3701"/>
    <w:rsid w:val="00DF3724"/>
    <w:rsid w:val="00DF37AD"/>
    <w:rsid w:val="00DF37D3"/>
    <w:rsid w:val="00DF381F"/>
    <w:rsid w:val="00DF3949"/>
    <w:rsid w:val="00DF3A10"/>
    <w:rsid w:val="00DF3A2E"/>
    <w:rsid w:val="00DF3A31"/>
    <w:rsid w:val="00DF3D6C"/>
    <w:rsid w:val="00DF3DD9"/>
    <w:rsid w:val="00DF3E34"/>
    <w:rsid w:val="00DF3EB7"/>
    <w:rsid w:val="00DF3F0B"/>
    <w:rsid w:val="00DF3F5E"/>
    <w:rsid w:val="00DF3FB6"/>
    <w:rsid w:val="00DF4023"/>
    <w:rsid w:val="00DF40E5"/>
    <w:rsid w:val="00DF4246"/>
    <w:rsid w:val="00DF42ED"/>
    <w:rsid w:val="00DF43A8"/>
    <w:rsid w:val="00DF45AA"/>
    <w:rsid w:val="00DF45FD"/>
    <w:rsid w:val="00DF4643"/>
    <w:rsid w:val="00DF4676"/>
    <w:rsid w:val="00DF478E"/>
    <w:rsid w:val="00DF4890"/>
    <w:rsid w:val="00DF4997"/>
    <w:rsid w:val="00DF49EA"/>
    <w:rsid w:val="00DF4A27"/>
    <w:rsid w:val="00DF4C4F"/>
    <w:rsid w:val="00DF4D24"/>
    <w:rsid w:val="00DF4DA6"/>
    <w:rsid w:val="00DF4F37"/>
    <w:rsid w:val="00DF4F59"/>
    <w:rsid w:val="00DF4FAE"/>
    <w:rsid w:val="00DF4FB2"/>
    <w:rsid w:val="00DF50C8"/>
    <w:rsid w:val="00DF51C5"/>
    <w:rsid w:val="00DF5251"/>
    <w:rsid w:val="00DF5260"/>
    <w:rsid w:val="00DF5352"/>
    <w:rsid w:val="00DF53C9"/>
    <w:rsid w:val="00DF540F"/>
    <w:rsid w:val="00DF5421"/>
    <w:rsid w:val="00DF5729"/>
    <w:rsid w:val="00DF57C4"/>
    <w:rsid w:val="00DF57F7"/>
    <w:rsid w:val="00DF5835"/>
    <w:rsid w:val="00DF5891"/>
    <w:rsid w:val="00DF5935"/>
    <w:rsid w:val="00DF5939"/>
    <w:rsid w:val="00DF5A56"/>
    <w:rsid w:val="00DF5B24"/>
    <w:rsid w:val="00DF5BE1"/>
    <w:rsid w:val="00DF5C71"/>
    <w:rsid w:val="00DF5C97"/>
    <w:rsid w:val="00DF5D36"/>
    <w:rsid w:val="00DF5DA5"/>
    <w:rsid w:val="00DF5DD8"/>
    <w:rsid w:val="00DF5E2A"/>
    <w:rsid w:val="00DF5E90"/>
    <w:rsid w:val="00DF5E98"/>
    <w:rsid w:val="00DF5F84"/>
    <w:rsid w:val="00DF6017"/>
    <w:rsid w:val="00DF606E"/>
    <w:rsid w:val="00DF6097"/>
    <w:rsid w:val="00DF62A1"/>
    <w:rsid w:val="00DF62B8"/>
    <w:rsid w:val="00DF62C5"/>
    <w:rsid w:val="00DF634A"/>
    <w:rsid w:val="00DF644F"/>
    <w:rsid w:val="00DF6505"/>
    <w:rsid w:val="00DF650D"/>
    <w:rsid w:val="00DF66BF"/>
    <w:rsid w:val="00DF66F1"/>
    <w:rsid w:val="00DF672A"/>
    <w:rsid w:val="00DF67A3"/>
    <w:rsid w:val="00DF6806"/>
    <w:rsid w:val="00DF690A"/>
    <w:rsid w:val="00DF6B20"/>
    <w:rsid w:val="00DF6D36"/>
    <w:rsid w:val="00DF6E99"/>
    <w:rsid w:val="00DF6F4E"/>
    <w:rsid w:val="00DF70B4"/>
    <w:rsid w:val="00DF729A"/>
    <w:rsid w:val="00DF7342"/>
    <w:rsid w:val="00DF734E"/>
    <w:rsid w:val="00DF73B9"/>
    <w:rsid w:val="00DF74FF"/>
    <w:rsid w:val="00DF7507"/>
    <w:rsid w:val="00DF75CB"/>
    <w:rsid w:val="00DF75DB"/>
    <w:rsid w:val="00DF761B"/>
    <w:rsid w:val="00DF7637"/>
    <w:rsid w:val="00DF7856"/>
    <w:rsid w:val="00DF7859"/>
    <w:rsid w:val="00DF78A0"/>
    <w:rsid w:val="00DF7955"/>
    <w:rsid w:val="00DF7A96"/>
    <w:rsid w:val="00DF7A98"/>
    <w:rsid w:val="00DF7AAC"/>
    <w:rsid w:val="00DF7ABA"/>
    <w:rsid w:val="00DF7CCB"/>
    <w:rsid w:val="00DF7CD1"/>
    <w:rsid w:val="00DF7D20"/>
    <w:rsid w:val="00DF7D82"/>
    <w:rsid w:val="00DF7E38"/>
    <w:rsid w:val="00DF7E65"/>
    <w:rsid w:val="00DF7F47"/>
    <w:rsid w:val="00DF7FFA"/>
    <w:rsid w:val="00E00054"/>
    <w:rsid w:val="00E00111"/>
    <w:rsid w:val="00E0024E"/>
    <w:rsid w:val="00E003D3"/>
    <w:rsid w:val="00E00427"/>
    <w:rsid w:val="00E00441"/>
    <w:rsid w:val="00E00447"/>
    <w:rsid w:val="00E00491"/>
    <w:rsid w:val="00E004B5"/>
    <w:rsid w:val="00E00522"/>
    <w:rsid w:val="00E005EE"/>
    <w:rsid w:val="00E005F0"/>
    <w:rsid w:val="00E006D7"/>
    <w:rsid w:val="00E006E8"/>
    <w:rsid w:val="00E008D9"/>
    <w:rsid w:val="00E009E4"/>
    <w:rsid w:val="00E00A76"/>
    <w:rsid w:val="00E00A98"/>
    <w:rsid w:val="00E00B29"/>
    <w:rsid w:val="00E00BBB"/>
    <w:rsid w:val="00E00C90"/>
    <w:rsid w:val="00E00D2C"/>
    <w:rsid w:val="00E00D48"/>
    <w:rsid w:val="00E00DAA"/>
    <w:rsid w:val="00E00EBF"/>
    <w:rsid w:val="00E00EF2"/>
    <w:rsid w:val="00E00F4C"/>
    <w:rsid w:val="00E0102A"/>
    <w:rsid w:val="00E01074"/>
    <w:rsid w:val="00E01084"/>
    <w:rsid w:val="00E012C2"/>
    <w:rsid w:val="00E012F8"/>
    <w:rsid w:val="00E0137C"/>
    <w:rsid w:val="00E01393"/>
    <w:rsid w:val="00E013EA"/>
    <w:rsid w:val="00E01463"/>
    <w:rsid w:val="00E014C6"/>
    <w:rsid w:val="00E015A5"/>
    <w:rsid w:val="00E01655"/>
    <w:rsid w:val="00E0166F"/>
    <w:rsid w:val="00E0169E"/>
    <w:rsid w:val="00E01767"/>
    <w:rsid w:val="00E017DE"/>
    <w:rsid w:val="00E01869"/>
    <w:rsid w:val="00E01870"/>
    <w:rsid w:val="00E018BF"/>
    <w:rsid w:val="00E01954"/>
    <w:rsid w:val="00E0196F"/>
    <w:rsid w:val="00E01975"/>
    <w:rsid w:val="00E019A1"/>
    <w:rsid w:val="00E019DF"/>
    <w:rsid w:val="00E01AFE"/>
    <w:rsid w:val="00E01DA5"/>
    <w:rsid w:val="00E01DA8"/>
    <w:rsid w:val="00E01E72"/>
    <w:rsid w:val="00E01F6C"/>
    <w:rsid w:val="00E01F83"/>
    <w:rsid w:val="00E01FAE"/>
    <w:rsid w:val="00E01FEA"/>
    <w:rsid w:val="00E02010"/>
    <w:rsid w:val="00E0201F"/>
    <w:rsid w:val="00E020C4"/>
    <w:rsid w:val="00E021CA"/>
    <w:rsid w:val="00E021D2"/>
    <w:rsid w:val="00E021F6"/>
    <w:rsid w:val="00E02346"/>
    <w:rsid w:val="00E02366"/>
    <w:rsid w:val="00E023DC"/>
    <w:rsid w:val="00E02411"/>
    <w:rsid w:val="00E02450"/>
    <w:rsid w:val="00E024D6"/>
    <w:rsid w:val="00E02500"/>
    <w:rsid w:val="00E02507"/>
    <w:rsid w:val="00E02714"/>
    <w:rsid w:val="00E027B7"/>
    <w:rsid w:val="00E027E3"/>
    <w:rsid w:val="00E028FD"/>
    <w:rsid w:val="00E02A57"/>
    <w:rsid w:val="00E02CBE"/>
    <w:rsid w:val="00E02F94"/>
    <w:rsid w:val="00E03010"/>
    <w:rsid w:val="00E03021"/>
    <w:rsid w:val="00E0314A"/>
    <w:rsid w:val="00E03153"/>
    <w:rsid w:val="00E031E5"/>
    <w:rsid w:val="00E03281"/>
    <w:rsid w:val="00E032A4"/>
    <w:rsid w:val="00E0342B"/>
    <w:rsid w:val="00E034FE"/>
    <w:rsid w:val="00E0356C"/>
    <w:rsid w:val="00E03668"/>
    <w:rsid w:val="00E03738"/>
    <w:rsid w:val="00E0374B"/>
    <w:rsid w:val="00E0374D"/>
    <w:rsid w:val="00E03769"/>
    <w:rsid w:val="00E0385A"/>
    <w:rsid w:val="00E038AE"/>
    <w:rsid w:val="00E038D2"/>
    <w:rsid w:val="00E03964"/>
    <w:rsid w:val="00E03C61"/>
    <w:rsid w:val="00E03E51"/>
    <w:rsid w:val="00E03E99"/>
    <w:rsid w:val="00E03EC3"/>
    <w:rsid w:val="00E03EC4"/>
    <w:rsid w:val="00E03EEB"/>
    <w:rsid w:val="00E03FF4"/>
    <w:rsid w:val="00E04141"/>
    <w:rsid w:val="00E0415E"/>
    <w:rsid w:val="00E0417C"/>
    <w:rsid w:val="00E0417D"/>
    <w:rsid w:val="00E04263"/>
    <w:rsid w:val="00E042AD"/>
    <w:rsid w:val="00E04301"/>
    <w:rsid w:val="00E04465"/>
    <w:rsid w:val="00E044CB"/>
    <w:rsid w:val="00E044EC"/>
    <w:rsid w:val="00E04B10"/>
    <w:rsid w:val="00E04BAE"/>
    <w:rsid w:val="00E04CAE"/>
    <w:rsid w:val="00E04CD8"/>
    <w:rsid w:val="00E04D43"/>
    <w:rsid w:val="00E04E14"/>
    <w:rsid w:val="00E04E58"/>
    <w:rsid w:val="00E04E66"/>
    <w:rsid w:val="00E04FA2"/>
    <w:rsid w:val="00E05022"/>
    <w:rsid w:val="00E05105"/>
    <w:rsid w:val="00E05171"/>
    <w:rsid w:val="00E05207"/>
    <w:rsid w:val="00E05244"/>
    <w:rsid w:val="00E05268"/>
    <w:rsid w:val="00E0562F"/>
    <w:rsid w:val="00E057D2"/>
    <w:rsid w:val="00E057F6"/>
    <w:rsid w:val="00E05830"/>
    <w:rsid w:val="00E058CA"/>
    <w:rsid w:val="00E058CE"/>
    <w:rsid w:val="00E05B1B"/>
    <w:rsid w:val="00E05E8C"/>
    <w:rsid w:val="00E05EB9"/>
    <w:rsid w:val="00E05FB5"/>
    <w:rsid w:val="00E06186"/>
    <w:rsid w:val="00E061CD"/>
    <w:rsid w:val="00E0636A"/>
    <w:rsid w:val="00E0642C"/>
    <w:rsid w:val="00E06486"/>
    <w:rsid w:val="00E0653D"/>
    <w:rsid w:val="00E06580"/>
    <w:rsid w:val="00E06681"/>
    <w:rsid w:val="00E06806"/>
    <w:rsid w:val="00E06876"/>
    <w:rsid w:val="00E0688E"/>
    <w:rsid w:val="00E068CF"/>
    <w:rsid w:val="00E068F6"/>
    <w:rsid w:val="00E06927"/>
    <w:rsid w:val="00E06999"/>
    <w:rsid w:val="00E06A24"/>
    <w:rsid w:val="00E06C65"/>
    <w:rsid w:val="00E06DAE"/>
    <w:rsid w:val="00E06ED5"/>
    <w:rsid w:val="00E06EEB"/>
    <w:rsid w:val="00E06F07"/>
    <w:rsid w:val="00E06F44"/>
    <w:rsid w:val="00E06FA1"/>
    <w:rsid w:val="00E06FE2"/>
    <w:rsid w:val="00E070DC"/>
    <w:rsid w:val="00E072CF"/>
    <w:rsid w:val="00E07371"/>
    <w:rsid w:val="00E073BD"/>
    <w:rsid w:val="00E0744C"/>
    <w:rsid w:val="00E076B0"/>
    <w:rsid w:val="00E0776A"/>
    <w:rsid w:val="00E077F1"/>
    <w:rsid w:val="00E078BB"/>
    <w:rsid w:val="00E078FA"/>
    <w:rsid w:val="00E07925"/>
    <w:rsid w:val="00E07AC3"/>
    <w:rsid w:val="00E07B58"/>
    <w:rsid w:val="00E07C03"/>
    <w:rsid w:val="00E07CC0"/>
    <w:rsid w:val="00E07D9D"/>
    <w:rsid w:val="00E07EA2"/>
    <w:rsid w:val="00E07FAF"/>
    <w:rsid w:val="00E1002D"/>
    <w:rsid w:val="00E101C7"/>
    <w:rsid w:val="00E10236"/>
    <w:rsid w:val="00E10336"/>
    <w:rsid w:val="00E106AA"/>
    <w:rsid w:val="00E1079C"/>
    <w:rsid w:val="00E107AF"/>
    <w:rsid w:val="00E1086A"/>
    <w:rsid w:val="00E109FB"/>
    <w:rsid w:val="00E10A5E"/>
    <w:rsid w:val="00E10A94"/>
    <w:rsid w:val="00E10B5F"/>
    <w:rsid w:val="00E10BB5"/>
    <w:rsid w:val="00E10BFF"/>
    <w:rsid w:val="00E10C93"/>
    <w:rsid w:val="00E10C9E"/>
    <w:rsid w:val="00E10D4D"/>
    <w:rsid w:val="00E10DD2"/>
    <w:rsid w:val="00E10E5B"/>
    <w:rsid w:val="00E10E73"/>
    <w:rsid w:val="00E110D5"/>
    <w:rsid w:val="00E11133"/>
    <w:rsid w:val="00E1118E"/>
    <w:rsid w:val="00E1119E"/>
    <w:rsid w:val="00E11221"/>
    <w:rsid w:val="00E11249"/>
    <w:rsid w:val="00E11304"/>
    <w:rsid w:val="00E11320"/>
    <w:rsid w:val="00E113A6"/>
    <w:rsid w:val="00E11468"/>
    <w:rsid w:val="00E11658"/>
    <w:rsid w:val="00E116B3"/>
    <w:rsid w:val="00E1170C"/>
    <w:rsid w:val="00E117CD"/>
    <w:rsid w:val="00E11964"/>
    <w:rsid w:val="00E11983"/>
    <w:rsid w:val="00E11D83"/>
    <w:rsid w:val="00E11DB8"/>
    <w:rsid w:val="00E11DC0"/>
    <w:rsid w:val="00E11E42"/>
    <w:rsid w:val="00E12066"/>
    <w:rsid w:val="00E122D0"/>
    <w:rsid w:val="00E122DF"/>
    <w:rsid w:val="00E12336"/>
    <w:rsid w:val="00E1237F"/>
    <w:rsid w:val="00E1238D"/>
    <w:rsid w:val="00E123D7"/>
    <w:rsid w:val="00E12604"/>
    <w:rsid w:val="00E126E8"/>
    <w:rsid w:val="00E12955"/>
    <w:rsid w:val="00E12CC0"/>
    <w:rsid w:val="00E12CCC"/>
    <w:rsid w:val="00E12D2C"/>
    <w:rsid w:val="00E12D71"/>
    <w:rsid w:val="00E12E87"/>
    <w:rsid w:val="00E12EB6"/>
    <w:rsid w:val="00E12EDD"/>
    <w:rsid w:val="00E12F04"/>
    <w:rsid w:val="00E130A8"/>
    <w:rsid w:val="00E130F4"/>
    <w:rsid w:val="00E1324F"/>
    <w:rsid w:val="00E13254"/>
    <w:rsid w:val="00E133EB"/>
    <w:rsid w:val="00E133F6"/>
    <w:rsid w:val="00E133FB"/>
    <w:rsid w:val="00E13596"/>
    <w:rsid w:val="00E1360C"/>
    <w:rsid w:val="00E13671"/>
    <w:rsid w:val="00E13892"/>
    <w:rsid w:val="00E138A6"/>
    <w:rsid w:val="00E138AD"/>
    <w:rsid w:val="00E138F4"/>
    <w:rsid w:val="00E1391C"/>
    <w:rsid w:val="00E13B81"/>
    <w:rsid w:val="00E13B94"/>
    <w:rsid w:val="00E13BFC"/>
    <w:rsid w:val="00E13C45"/>
    <w:rsid w:val="00E13F29"/>
    <w:rsid w:val="00E13FD0"/>
    <w:rsid w:val="00E13FFE"/>
    <w:rsid w:val="00E1410D"/>
    <w:rsid w:val="00E14226"/>
    <w:rsid w:val="00E142F0"/>
    <w:rsid w:val="00E14343"/>
    <w:rsid w:val="00E14419"/>
    <w:rsid w:val="00E14700"/>
    <w:rsid w:val="00E14799"/>
    <w:rsid w:val="00E14951"/>
    <w:rsid w:val="00E149DD"/>
    <w:rsid w:val="00E149EB"/>
    <w:rsid w:val="00E149FB"/>
    <w:rsid w:val="00E14A16"/>
    <w:rsid w:val="00E14A7D"/>
    <w:rsid w:val="00E14C4C"/>
    <w:rsid w:val="00E14C52"/>
    <w:rsid w:val="00E14CF3"/>
    <w:rsid w:val="00E14D01"/>
    <w:rsid w:val="00E14D0F"/>
    <w:rsid w:val="00E14D21"/>
    <w:rsid w:val="00E14D6A"/>
    <w:rsid w:val="00E14E80"/>
    <w:rsid w:val="00E14F72"/>
    <w:rsid w:val="00E15016"/>
    <w:rsid w:val="00E15018"/>
    <w:rsid w:val="00E15030"/>
    <w:rsid w:val="00E151E9"/>
    <w:rsid w:val="00E153B0"/>
    <w:rsid w:val="00E157A0"/>
    <w:rsid w:val="00E15967"/>
    <w:rsid w:val="00E15A2C"/>
    <w:rsid w:val="00E15A60"/>
    <w:rsid w:val="00E15A8C"/>
    <w:rsid w:val="00E15AC6"/>
    <w:rsid w:val="00E15B14"/>
    <w:rsid w:val="00E15B40"/>
    <w:rsid w:val="00E15BBE"/>
    <w:rsid w:val="00E15C2E"/>
    <w:rsid w:val="00E15C3D"/>
    <w:rsid w:val="00E15D6B"/>
    <w:rsid w:val="00E15D7F"/>
    <w:rsid w:val="00E15E00"/>
    <w:rsid w:val="00E15EB9"/>
    <w:rsid w:val="00E15FA1"/>
    <w:rsid w:val="00E15FC1"/>
    <w:rsid w:val="00E161E2"/>
    <w:rsid w:val="00E162B4"/>
    <w:rsid w:val="00E16323"/>
    <w:rsid w:val="00E163FA"/>
    <w:rsid w:val="00E163FB"/>
    <w:rsid w:val="00E16452"/>
    <w:rsid w:val="00E1647B"/>
    <w:rsid w:val="00E164BC"/>
    <w:rsid w:val="00E16525"/>
    <w:rsid w:val="00E1659F"/>
    <w:rsid w:val="00E166B9"/>
    <w:rsid w:val="00E166E1"/>
    <w:rsid w:val="00E1671E"/>
    <w:rsid w:val="00E16859"/>
    <w:rsid w:val="00E16872"/>
    <w:rsid w:val="00E1691C"/>
    <w:rsid w:val="00E16947"/>
    <w:rsid w:val="00E169C8"/>
    <w:rsid w:val="00E16AAE"/>
    <w:rsid w:val="00E16B0F"/>
    <w:rsid w:val="00E16BD9"/>
    <w:rsid w:val="00E16C24"/>
    <w:rsid w:val="00E16C5B"/>
    <w:rsid w:val="00E16CB0"/>
    <w:rsid w:val="00E16CB1"/>
    <w:rsid w:val="00E16D20"/>
    <w:rsid w:val="00E16D24"/>
    <w:rsid w:val="00E16DAA"/>
    <w:rsid w:val="00E16E51"/>
    <w:rsid w:val="00E16E89"/>
    <w:rsid w:val="00E16EBD"/>
    <w:rsid w:val="00E16F79"/>
    <w:rsid w:val="00E17018"/>
    <w:rsid w:val="00E17023"/>
    <w:rsid w:val="00E17096"/>
    <w:rsid w:val="00E1713F"/>
    <w:rsid w:val="00E171E2"/>
    <w:rsid w:val="00E172B7"/>
    <w:rsid w:val="00E172C1"/>
    <w:rsid w:val="00E1731A"/>
    <w:rsid w:val="00E17551"/>
    <w:rsid w:val="00E17661"/>
    <w:rsid w:val="00E17851"/>
    <w:rsid w:val="00E17854"/>
    <w:rsid w:val="00E178C0"/>
    <w:rsid w:val="00E178D5"/>
    <w:rsid w:val="00E1794D"/>
    <w:rsid w:val="00E17982"/>
    <w:rsid w:val="00E17A73"/>
    <w:rsid w:val="00E17A9B"/>
    <w:rsid w:val="00E17AA7"/>
    <w:rsid w:val="00E17B4B"/>
    <w:rsid w:val="00E17D59"/>
    <w:rsid w:val="00E17D61"/>
    <w:rsid w:val="00E17DB5"/>
    <w:rsid w:val="00E17E67"/>
    <w:rsid w:val="00E17EA7"/>
    <w:rsid w:val="00E17EE5"/>
    <w:rsid w:val="00E17EEB"/>
    <w:rsid w:val="00E17F9E"/>
    <w:rsid w:val="00E17FF3"/>
    <w:rsid w:val="00E20046"/>
    <w:rsid w:val="00E20335"/>
    <w:rsid w:val="00E2065F"/>
    <w:rsid w:val="00E206E4"/>
    <w:rsid w:val="00E207CE"/>
    <w:rsid w:val="00E20944"/>
    <w:rsid w:val="00E209EC"/>
    <w:rsid w:val="00E20A53"/>
    <w:rsid w:val="00E20AC2"/>
    <w:rsid w:val="00E20B0C"/>
    <w:rsid w:val="00E20B2A"/>
    <w:rsid w:val="00E20CA4"/>
    <w:rsid w:val="00E20D03"/>
    <w:rsid w:val="00E20D6A"/>
    <w:rsid w:val="00E20D6E"/>
    <w:rsid w:val="00E20EB2"/>
    <w:rsid w:val="00E20ED6"/>
    <w:rsid w:val="00E20F8B"/>
    <w:rsid w:val="00E21038"/>
    <w:rsid w:val="00E2104F"/>
    <w:rsid w:val="00E21060"/>
    <w:rsid w:val="00E2110E"/>
    <w:rsid w:val="00E212DC"/>
    <w:rsid w:val="00E2134B"/>
    <w:rsid w:val="00E21438"/>
    <w:rsid w:val="00E214A2"/>
    <w:rsid w:val="00E21612"/>
    <w:rsid w:val="00E21860"/>
    <w:rsid w:val="00E2187C"/>
    <w:rsid w:val="00E218D0"/>
    <w:rsid w:val="00E21929"/>
    <w:rsid w:val="00E21940"/>
    <w:rsid w:val="00E219A8"/>
    <w:rsid w:val="00E21B0C"/>
    <w:rsid w:val="00E21B66"/>
    <w:rsid w:val="00E21B6F"/>
    <w:rsid w:val="00E21BD9"/>
    <w:rsid w:val="00E21BEF"/>
    <w:rsid w:val="00E21C4A"/>
    <w:rsid w:val="00E21E6F"/>
    <w:rsid w:val="00E21E81"/>
    <w:rsid w:val="00E21EAC"/>
    <w:rsid w:val="00E21FE1"/>
    <w:rsid w:val="00E22046"/>
    <w:rsid w:val="00E220B9"/>
    <w:rsid w:val="00E22132"/>
    <w:rsid w:val="00E222F8"/>
    <w:rsid w:val="00E22379"/>
    <w:rsid w:val="00E223F1"/>
    <w:rsid w:val="00E2240C"/>
    <w:rsid w:val="00E225AF"/>
    <w:rsid w:val="00E2264C"/>
    <w:rsid w:val="00E22651"/>
    <w:rsid w:val="00E226BD"/>
    <w:rsid w:val="00E226D7"/>
    <w:rsid w:val="00E22707"/>
    <w:rsid w:val="00E22720"/>
    <w:rsid w:val="00E228D0"/>
    <w:rsid w:val="00E228EE"/>
    <w:rsid w:val="00E22937"/>
    <w:rsid w:val="00E2297B"/>
    <w:rsid w:val="00E22A9A"/>
    <w:rsid w:val="00E22B4E"/>
    <w:rsid w:val="00E22E2E"/>
    <w:rsid w:val="00E22E4E"/>
    <w:rsid w:val="00E22E6A"/>
    <w:rsid w:val="00E230D3"/>
    <w:rsid w:val="00E23189"/>
    <w:rsid w:val="00E232B3"/>
    <w:rsid w:val="00E232C7"/>
    <w:rsid w:val="00E23379"/>
    <w:rsid w:val="00E2344E"/>
    <w:rsid w:val="00E2353E"/>
    <w:rsid w:val="00E235AB"/>
    <w:rsid w:val="00E235B7"/>
    <w:rsid w:val="00E235C8"/>
    <w:rsid w:val="00E236C6"/>
    <w:rsid w:val="00E23724"/>
    <w:rsid w:val="00E23858"/>
    <w:rsid w:val="00E238A0"/>
    <w:rsid w:val="00E2399E"/>
    <w:rsid w:val="00E239B0"/>
    <w:rsid w:val="00E23A86"/>
    <w:rsid w:val="00E23A9A"/>
    <w:rsid w:val="00E23AA8"/>
    <w:rsid w:val="00E23B00"/>
    <w:rsid w:val="00E23B0D"/>
    <w:rsid w:val="00E23CDE"/>
    <w:rsid w:val="00E23E24"/>
    <w:rsid w:val="00E23E9C"/>
    <w:rsid w:val="00E23FA1"/>
    <w:rsid w:val="00E24177"/>
    <w:rsid w:val="00E241E9"/>
    <w:rsid w:val="00E24314"/>
    <w:rsid w:val="00E243C5"/>
    <w:rsid w:val="00E243E1"/>
    <w:rsid w:val="00E24575"/>
    <w:rsid w:val="00E245F3"/>
    <w:rsid w:val="00E24687"/>
    <w:rsid w:val="00E246E3"/>
    <w:rsid w:val="00E246F2"/>
    <w:rsid w:val="00E24728"/>
    <w:rsid w:val="00E24873"/>
    <w:rsid w:val="00E248B3"/>
    <w:rsid w:val="00E2491D"/>
    <w:rsid w:val="00E24929"/>
    <w:rsid w:val="00E24997"/>
    <w:rsid w:val="00E24999"/>
    <w:rsid w:val="00E24B21"/>
    <w:rsid w:val="00E24B93"/>
    <w:rsid w:val="00E24D13"/>
    <w:rsid w:val="00E24EAF"/>
    <w:rsid w:val="00E24EFB"/>
    <w:rsid w:val="00E24F28"/>
    <w:rsid w:val="00E24FF0"/>
    <w:rsid w:val="00E250AF"/>
    <w:rsid w:val="00E250E7"/>
    <w:rsid w:val="00E25109"/>
    <w:rsid w:val="00E25153"/>
    <w:rsid w:val="00E25289"/>
    <w:rsid w:val="00E25298"/>
    <w:rsid w:val="00E254C5"/>
    <w:rsid w:val="00E25542"/>
    <w:rsid w:val="00E2554D"/>
    <w:rsid w:val="00E25650"/>
    <w:rsid w:val="00E256E7"/>
    <w:rsid w:val="00E2594B"/>
    <w:rsid w:val="00E25960"/>
    <w:rsid w:val="00E259F7"/>
    <w:rsid w:val="00E25A53"/>
    <w:rsid w:val="00E25B38"/>
    <w:rsid w:val="00E25C94"/>
    <w:rsid w:val="00E25D15"/>
    <w:rsid w:val="00E25DDA"/>
    <w:rsid w:val="00E25E50"/>
    <w:rsid w:val="00E26147"/>
    <w:rsid w:val="00E261D0"/>
    <w:rsid w:val="00E26345"/>
    <w:rsid w:val="00E26498"/>
    <w:rsid w:val="00E26539"/>
    <w:rsid w:val="00E26578"/>
    <w:rsid w:val="00E2657D"/>
    <w:rsid w:val="00E2658B"/>
    <w:rsid w:val="00E26622"/>
    <w:rsid w:val="00E266A2"/>
    <w:rsid w:val="00E267B4"/>
    <w:rsid w:val="00E269A2"/>
    <w:rsid w:val="00E269D9"/>
    <w:rsid w:val="00E26A91"/>
    <w:rsid w:val="00E26B44"/>
    <w:rsid w:val="00E26B72"/>
    <w:rsid w:val="00E26BAB"/>
    <w:rsid w:val="00E26BAC"/>
    <w:rsid w:val="00E26CC3"/>
    <w:rsid w:val="00E26DA5"/>
    <w:rsid w:val="00E26E92"/>
    <w:rsid w:val="00E2701C"/>
    <w:rsid w:val="00E27096"/>
    <w:rsid w:val="00E271E0"/>
    <w:rsid w:val="00E27391"/>
    <w:rsid w:val="00E274A7"/>
    <w:rsid w:val="00E274CF"/>
    <w:rsid w:val="00E2758C"/>
    <w:rsid w:val="00E27682"/>
    <w:rsid w:val="00E2768C"/>
    <w:rsid w:val="00E27740"/>
    <w:rsid w:val="00E27862"/>
    <w:rsid w:val="00E278DB"/>
    <w:rsid w:val="00E2791C"/>
    <w:rsid w:val="00E27956"/>
    <w:rsid w:val="00E279FD"/>
    <w:rsid w:val="00E27B41"/>
    <w:rsid w:val="00E27BB5"/>
    <w:rsid w:val="00E27BD9"/>
    <w:rsid w:val="00E27C87"/>
    <w:rsid w:val="00E27CE9"/>
    <w:rsid w:val="00E27E0A"/>
    <w:rsid w:val="00E300A1"/>
    <w:rsid w:val="00E300F5"/>
    <w:rsid w:val="00E304BD"/>
    <w:rsid w:val="00E305AB"/>
    <w:rsid w:val="00E305D6"/>
    <w:rsid w:val="00E30657"/>
    <w:rsid w:val="00E306AB"/>
    <w:rsid w:val="00E306D3"/>
    <w:rsid w:val="00E3078B"/>
    <w:rsid w:val="00E307B1"/>
    <w:rsid w:val="00E307B4"/>
    <w:rsid w:val="00E307D6"/>
    <w:rsid w:val="00E30861"/>
    <w:rsid w:val="00E3089C"/>
    <w:rsid w:val="00E308BD"/>
    <w:rsid w:val="00E308F6"/>
    <w:rsid w:val="00E3092C"/>
    <w:rsid w:val="00E30973"/>
    <w:rsid w:val="00E30993"/>
    <w:rsid w:val="00E309C6"/>
    <w:rsid w:val="00E30A07"/>
    <w:rsid w:val="00E30AA8"/>
    <w:rsid w:val="00E30B71"/>
    <w:rsid w:val="00E30CAA"/>
    <w:rsid w:val="00E30E26"/>
    <w:rsid w:val="00E30E58"/>
    <w:rsid w:val="00E31054"/>
    <w:rsid w:val="00E310CB"/>
    <w:rsid w:val="00E31133"/>
    <w:rsid w:val="00E31164"/>
    <w:rsid w:val="00E311D3"/>
    <w:rsid w:val="00E31237"/>
    <w:rsid w:val="00E31505"/>
    <w:rsid w:val="00E315A7"/>
    <w:rsid w:val="00E315B3"/>
    <w:rsid w:val="00E315ED"/>
    <w:rsid w:val="00E3173C"/>
    <w:rsid w:val="00E31772"/>
    <w:rsid w:val="00E31777"/>
    <w:rsid w:val="00E31786"/>
    <w:rsid w:val="00E317B9"/>
    <w:rsid w:val="00E3182B"/>
    <w:rsid w:val="00E3188F"/>
    <w:rsid w:val="00E318A2"/>
    <w:rsid w:val="00E318CB"/>
    <w:rsid w:val="00E3198D"/>
    <w:rsid w:val="00E319F6"/>
    <w:rsid w:val="00E319F8"/>
    <w:rsid w:val="00E31A56"/>
    <w:rsid w:val="00E31A7D"/>
    <w:rsid w:val="00E31AA3"/>
    <w:rsid w:val="00E31AB6"/>
    <w:rsid w:val="00E31AC8"/>
    <w:rsid w:val="00E31AE8"/>
    <w:rsid w:val="00E31B7E"/>
    <w:rsid w:val="00E31B89"/>
    <w:rsid w:val="00E31C15"/>
    <w:rsid w:val="00E31E50"/>
    <w:rsid w:val="00E31F1A"/>
    <w:rsid w:val="00E31FEB"/>
    <w:rsid w:val="00E32006"/>
    <w:rsid w:val="00E320C0"/>
    <w:rsid w:val="00E3211F"/>
    <w:rsid w:val="00E32123"/>
    <w:rsid w:val="00E322D1"/>
    <w:rsid w:val="00E3232C"/>
    <w:rsid w:val="00E323A7"/>
    <w:rsid w:val="00E323EA"/>
    <w:rsid w:val="00E3244F"/>
    <w:rsid w:val="00E324BE"/>
    <w:rsid w:val="00E32564"/>
    <w:rsid w:val="00E32652"/>
    <w:rsid w:val="00E327D8"/>
    <w:rsid w:val="00E32A3A"/>
    <w:rsid w:val="00E32A41"/>
    <w:rsid w:val="00E32AE2"/>
    <w:rsid w:val="00E32B5F"/>
    <w:rsid w:val="00E32C75"/>
    <w:rsid w:val="00E32F3D"/>
    <w:rsid w:val="00E32FA6"/>
    <w:rsid w:val="00E33060"/>
    <w:rsid w:val="00E3317A"/>
    <w:rsid w:val="00E3333B"/>
    <w:rsid w:val="00E33397"/>
    <w:rsid w:val="00E333A5"/>
    <w:rsid w:val="00E33442"/>
    <w:rsid w:val="00E3357E"/>
    <w:rsid w:val="00E3362C"/>
    <w:rsid w:val="00E336DC"/>
    <w:rsid w:val="00E338E8"/>
    <w:rsid w:val="00E339F5"/>
    <w:rsid w:val="00E33A28"/>
    <w:rsid w:val="00E33BEF"/>
    <w:rsid w:val="00E33CEF"/>
    <w:rsid w:val="00E33D6C"/>
    <w:rsid w:val="00E33E19"/>
    <w:rsid w:val="00E33FBE"/>
    <w:rsid w:val="00E34012"/>
    <w:rsid w:val="00E34172"/>
    <w:rsid w:val="00E341D2"/>
    <w:rsid w:val="00E34255"/>
    <w:rsid w:val="00E343AB"/>
    <w:rsid w:val="00E34747"/>
    <w:rsid w:val="00E3495D"/>
    <w:rsid w:val="00E349BB"/>
    <w:rsid w:val="00E34C5D"/>
    <w:rsid w:val="00E34D31"/>
    <w:rsid w:val="00E34D49"/>
    <w:rsid w:val="00E34D7E"/>
    <w:rsid w:val="00E34EDE"/>
    <w:rsid w:val="00E34F22"/>
    <w:rsid w:val="00E35234"/>
    <w:rsid w:val="00E352AA"/>
    <w:rsid w:val="00E352B4"/>
    <w:rsid w:val="00E3531A"/>
    <w:rsid w:val="00E35324"/>
    <w:rsid w:val="00E353E9"/>
    <w:rsid w:val="00E35528"/>
    <w:rsid w:val="00E35591"/>
    <w:rsid w:val="00E355C2"/>
    <w:rsid w:val="00E35674"/>
    <w:rsid w:val="00E356E4"/>
    <w:rsid w:val="00E3571F"/>
    <w:rsid w:val="00E3583D"/>
    <w:rsid w:val="00E3592A"/>
    <w:rsid w:val="00E35953"/>
    <w:rsid w:val="00E359A2"/>
    <w:rsid w:val="00E359CB"/>
    <w:rsid w:val="00E35A11"/>
    <w:rsid w:val="00E35A96"/>
    <w:rsid w:val="00E35BAC"/>
    <w:rsid w:val="00E35BB3"/>
    <w:rsid w:val="00E35C10"/>
    <w:rsid w:val="00E35CA1"/>
    <w:rsid w:val="00E35D38"/>
    <w:rsid w:val="00E35D7D"/>
    <w:rsid w:val="00E35DB9"/>
    <w:rsid w:val="00E35E99"/>
    <w:rsid w:val="00E35F03"/>
    <w:rsid w:val="00E361C7"/>
    <w:rsid w:val="00E36231"/>
    <w:rsid w:val="00E36895"/>
    <w:rsid w:val="00E36A17"/>
    <w:rsid w:val="00E36A3C"/>
    <w:rsid w:val="00E36B26"/>
    <w:rsid w:val="00E36B6C"/>
    <w:rsid w:val="00E36BD7"/>
    <w:rsid w:val="00E36C26"/>
    <w:rsid w:val="00E36CE3"/>
    <w:rsid w:val="00E36D9F"/>
    <w:rsid w:val="00E36E80"/>
    <w:rsid w:val="00E36F0A"/>
    <w:rsid w:val="00E36F1A"/>
    <w:rsid w:val="00E36F28"/>
    <w:rsid w:val="00E37030"/>
    <w:rsid w:val="00E3742F"/>
    <w:rsid w:val="00E37508"/>
    <w:rsid w:val="00E376AE"/>
    <w:rsid w:val="00E37794"/>
    <w:rsid w:val="00E377CD"/>
    <w:rsid w:val="00E378E1"/>
    <w:rsid w:val="00E378E5"/>
    <w:rsid w:val="00E378E8"/>
    <w:rsid w:val="00E3790F"/>
    <w:rsid w:val="00E37995"/>
    <w:rsid w:val="00E37A04"/>
    <w:rsid w:val="00E37A61"/>
    <w:rsid w:val="00E37A8E"/>
    <w:rsid w:val="00E37B54"/>
    <w:rsid w:val="00E37C32"/>
    <w:rsid w:val="00E37C69"/>
    <w:rsid w:val="00E37D4D"/>
    <w:rsid w:val="00E37DC4"/>
    <w:rsid w:val="00E37DDF"/>
    <w:rsid w:val="00E37E23"/>
    <w:rsid w:val="00E37E87"/>
    <w:rsid w:val="00E37EC4"/>
    <w:rsid w:val="00E37FA1"/>
    <w:rsid w:val="00E40045"/>
    <w:rsid w:val="00E4009E"/>
    <w:rsid w:val="00E40361"/>
    <w:rsid w:val="00E40383"/>
    <w:rsid w:val="00E403BE"/>
    <w:rsid w:val="00E40470"/>
    <w:rsid w:val="00E405C8"/>
    <w:rsid w:val="00E406F7"/>
    <w:rsid w:val="00E40707"/>
    <w:rsid w:val="00E40711"/>
    <w:rsid w:val="00E40792"/>
    <w:rsid w:val="00E40984"/>
    <w:rsid w:val="00E40B0F"/>
    <w:rsid w:val="00E40B2B"/>
    <w:rsid w:val="00E40B3F"/>
    <w:rsid w:val="00E40BE2"/>
    <w:rsid w:val="00E40C53"/>
    <w:rsid w:val="00E40C5E"/>
    <w:rsid w:val="00E40CF9"/>
    <w:rsid w:val="00E40ED2"/>
    <w:rsid w:val="00E410B7"/>
    <w:rsid w:val="00E410D8"/>
    <w:rsid w:val="00E410EE"/>
    <w:rsid w:val="00E41192"/>
    <w:rsid w:val="00E41364"/>
    <w:rsid w:val="00E4139B"/>
    <w:rsid w:val="00E413FD"/>
    <w:rsid w:val="00E4142E"/>
    <w:rsid w:val="00E414EA"/>
    <w:rsid w:val="00E4150B"/>
    <w:rsid w:val="00E4157A"/>
    <w:rsid w:val="00E415EC"/>
    <w:rsid w:val="00E416D6"/>
    <w:rsid w:val="00E417EB"/>
    <w:rsid w:val="00E419DF"/>
    <w:rsid w:val="00E41BB5"/>
    <w:rsid w:val="00E41C5F"/>
    <w:rsid w:val="00E41C90"/>
    <w:rsid w:val="00E41D4D"/>
    <w:rsid w:val="00E41DE5"/>
    <w:rsid w:val="00E41E3B"/>
    <w:rsid w:val="00E42178"/>
    <w:rsid w:val="00E421E6"/>
    <w:rsid w:val="00E422C0"/>
    <w:rsid w:val="00E422E1"/>
    <w:rsid w:val="00E42316"/>
    <w:rsid w:val="00E4240F"/>
    <w:rsid w:val="00E424A7"/>
    <w:rsid w:val="00E424CC"/>
    <w:rsid w:val="00E42532"/>
    <w:rsid w:val="00E425A0"/>
    <w:rsid w:val="00E4266F"/>
    <w:rsid w:val="00E4268A"/>
    <w:rsid w:val="00E42698"/>
    <w:rsid w:val="00E42704"/>
    <w:rsid w:val="00E427B9"/>
    <w:rsid w:val="00E428DE"/>
    <w:rsid w:val="00E42908"/>
    <w:rsid w:val="00E4293C"/>
    <w:rsid w:val="00E42B22"/>
    <w:rsid w:val="00E42B69"/>
    <w:rsid w:val="00E42BF0"/>
    <w:rsid w:val="00E42C23"/>
    <w:rsid w:val="00E42C65"/>
    <w:rsid w:val="00E42DE7"/>
    <w:rsid w:val="00E42F0B"/>
    <w:rsid w:val="00E43023"/>
    <w:rsid w:val="00E43049"/>
    <w:rsid w:val="00E4309A"/>
    <w:rsid w:val="00E431AB"/>
    <w:rsid w:val="00E4332C"/>
    <w:rsid w:val="00E433E5"/>
    <w:rsid w:val="00E434B7"/>
    <w:rsid w:val="00E436E7"/>
    <w:rsid w:val="00E43B87"/>
    <w:rsid w:val="00E43DFD"/>
    <w:rsid w:val="00E43E1A"/>
    <w:rsid w:val="00E44134"/>
    <w:rsid w:val="00E44165"/>
    <w:rsid w:val="00E44269"/>
    <w:rsid w:val="00E442F5"/>
    <w:rsid w:val="00E44342"/>
    <w:rsid w:val="00E443B2"/>
    <w:rsid w:val="00E443E8"/>
    <w:rsid w:val="00E44447"/>
    <w:rsid w:val="00E44506"/>
    <w:rsid w:val="00E4452E"/>
    <w:rsid w:val="00E4459A"/>
    <w:rsid w:val="00E445E6"/>
    <w:rsid w:val="00E4470F"/>
    <w:rsid w:val="00E44714"/>
    <w:rsid w:val="00E44742"/>
    <w:rsid w:val="00E44779"/>
    <w:rsid w:val="00E448AB"/>
    <w:rsid w:val="00E44A14"/>
    <w:rsid w:val="00E44A6D"/>
    <w:rsid w:val="00E44BD3"/>
    <w:rsid w:val="00E44BF1"/>
    <w:rsid w:val="00E44C9C"/>
    <w:rsid w:val="00E44CB5"/>
    <w:rsid w:val="00E44D1A"/>
    <w:rsid w:val="00E44DE6"/>
    <w:rsid w:val="00E44EDD"/>
    <w:rsid w:val="00E44F28"/>
    <w:rsid w:val="00E44F7A"/>
    <w:rsid w:val="00E450EF"/>
    <w:rsid w:val="00E4514A"/>
    <w:rsid w:val="00E451D1"/>
    <w:rsid w:val="00E45298"/>
    <w:rsid w:val="00E452C8"/>
    <w:rsid w:val="00E453B2"/>
    <w:rsid w:val="00E453F0"/>
    <w:rsid w:val="00E454DD"/>
    <w:rsid w:val="00E45507"/>
    <w:rsid w:val="00E45508"/>
    <w:rsid w:val="00E4551B"/>
    <w:rsid w:val="00E45582"/>
    <w:rsid w:val="00E45799"/>
    <w:rsid w:val="00E4584B"/>
    <w:rsid w:val="00E4586B"/>
    <w:rsid w:val="00E45896"/>
    <w:rsid w:val="00E45957"/>
    <w:rsid w:val="00E45B7D"/>
    <w:rsid w:val="00E45D29"/>
    <w:rsid w:val="00E45DD8"/>
    <w:rsid w:val="00E45E58"/>
    <w:rsid w:val="00E45EEB"/>
    <w:rsid w:val="00E45F74"/>
    <w:rsid w:val="00E45F92"/>
    <w:rsid w:val="00E46019"/>
    <w:rsid w:val="00E46109"/>
    <w:rsid w:val="00E4616D"/>
    <w:rsid w:val="00E46270"/>
    <w:rsid w:val="00E46344"/>
    <w:rsid w:val="00E463A5"/>
    <w:rsid w:val="00E464FE"/>
    <w:rsid w:val="00E465B8"/>
    <w:rsid w:val="00E46641"/>
    <w:rsid w:val="00E4678F"/>
    <w:rsid w:val="00E4679B"/>
    <w:rsid w:val="00E467FF"/>
    <w:rsid w:val="00E46824"/>
    <w:rsid w:val="00E4687D"/>
    <w:rsid w:val="00E468B6"/>
    <w:rsid w:val="00E468C6"/>
    <w:rsid w:val="00E46926"/>
    <w:rsid w:val="00E469A3"/>
    <w:rsid w:val="00E46CDF"/>
    <w:rsid w:val="00E46EBD"/>
    <w:rsid w:val="00E46FE3"/>
    <w:rsid w:val="00E470D5"/>
    <w:rsid w:val="00E47194"/>
    <w:rsid w:val="00E4736E"/>
    <w:rsid w:val="00E473DD"/>
    <w:rsid w:val="00E47405"/>
    <w:rsid w:val="00E4749F"/>
    <w:rsid w:val="00E476A9"/>
    <w:rsid w:val="00E47882"/>
    <w:rsid w:val="00E478FC"/>
    <w:rsid w:val="00E479B1"/>
    <w:rsid w:val="00E47B1D"/>
    <w:rsid w:val="00E47C3A"/>
    <w:rsid w:val="00E47CD7"/>
    <w:rsid w:val="00E5004B"/>
    <w:rsid w:val="00E50059"/>
    <w:rsid w:val="00E50065"/>
    <w:rsid w:val="00E500DB"/>
    <w:rsid w:val="00E503BF"/>
    <w:rsid w:val="00E50550"/>
    <w:rsid w:val="00E50628"/>
    <w:rsid w:val="00E506BC"/>
    <w:rsid w:val="00E50768"/>
    <w:rsid w:val="00E50772"/>
    <w:rsid w:val="00E507DF"/>
    <w:rsid w:val="00E50885"/>
    <w:rsid w:val="00E50998"/>
    <w:rsid w:val="00E50B57"/>
    <w:rsid w:val="00E50BDC"/>
    <w:rsid w:val="00E50C81"/>
    <w:rsid w:val="00E50F0D"/>
    <w:rsid w:val="00E50F6E"/>
    <w:rsid w:val="00E5109E"/>
    <w:rsid w:val="00E510B1"/>
    <w:rsid w:val="00E510D0"/>
    <w:rsid w:val="00E510EE"/>
    <w:rsid w:val="00E51190"/>
    <w:rsid w:val="00E5120E"/>
    <w:rsid w:val="00E5133B"/>
    <w:rsid w:val="00E514CF"/>
    <w:rsid w:val="00E51502"/>
    <w:rsid w:val="00E51534"/>
    <w:rsid w:val="00E5154E"/>
    <w:rsid w:val="00E515B1"/>
    <w:rsid w:val="00E51631"/>
    <w:rsid w:val="00E51646"/>
    <w:rsid w:val="00E51665"/>
    <w:rsid w:val="00E518AD"/>
    <w:rsid w:val="00E51907"/>
    <w:rsid w:val="00E51952"/>
    <w:rsid w:val="00E51986"/>
    <w:rsid w:val="00E519EE"/>
    <w:rsid w:val="00E51A00"/>
    <w:rsid w:val="00E51A5C"/>
    <w:rsid w:val="00E51A70"/>
    <w:rsid w:val="00E51ADF"/>
    <w:rsid w:val="00E51AED"/>
    <w:rsid w:val="00E51B32"/>
    <w:rsid w:val="00E51B62"/>
    <w:rsid w:val="00E51C2B"/>
    <w:rsid w:val="00E51D2F"/>
    <w:rsid w:val="00E51DB6"/>
    <w:rsid w:val="00E51F08"/>
    <w:rsid w:val="00E520D7"/>
    <w:rsid w:val="00E52407"/>
    <w:rsid w:val="00E5242C"/>
    <w:rsid w:val="00E524DF"/>
    <w:rsid w:val="00E524FD"/>
    <w:rsid w:val="00E5260C"/>
    <w:rsid w:val="00E526C2"/>
    <w:rsid w:val="00E52799"/>
    <w:rsid w:val="00E52841"/>
    <w:rsid w:val="00E528EF"/>
    <w:rsid w:val="00E52909"/>
    <w:rsid w:val="00E529FA"/>
    <w:rsid w:val="00E52A55"/>
    <w:rsid w:val="00E52C2D"/>
    <w:rsid w:val="00E52C85"/>
    <w:rsid w:val="00E52C93"/>
    <w:rsid w:val="00E52D46"/>
    <w:rsid w:val="00E52E05"/>
    <w:rsid w:val="00E52E93"/>
    <w:rsid w:val="00E52F14"/>
    <w:rsid w:val="00E52FF6"/>
    <w:rsid w:val="00E5307A"/>
    <w:rsid w:val="00E53198"/>
    <w:rsid w:val="00E531EE"/>
    <w:rsid w:val="00E532CC"/>
    <w:rsid w:val="00E532DF"/>
    <w:rsid w:val="00E53322"/>
    <w:rsid w:val="00E53398"/>
    <w:rsid w:val="00E53457"/>
    <w:rsid w:val="00E534B3"/>
    <w:rsid w:val="00E534C1"/>
    <w:rsid w:val="00E534E2"/>
    <w:rsid w:val="00E53532"/>
    <w:rsid w:val="00E5359A"/>
    <w:rsid w:val="00E53650"/>
    <w:rsid w:val="00E536D6"/>
    <w:rsid w:val="00E536F6"/>
    <w:rsid w:val="00E53841"/>
    <w:rsid w:val="00E538AD"/>
    <w:rsid w:val="00E53948"/>
    <w:rsid w:val="00E539D8"/>
    <w:rsid w:val="00E539F3"/>
    <w:rsid w:val="00E53AA5"/>
    <w:rsid w:val="00E53AD4"/>
    <w:rsid w:val="00E53B6F"/>
    <w:rsid w:val="00E53B75"/>
    <w:rsid w:val="00E53BA8"/>
    <w:rsid w:val="00E53D3D"/>
    <w:rsid w:val="00E53E36"/>
    <w:rsid w:val="00E53E7E"/>
    <w:rsid w:val="00E53EB7"/>
    <w:rsid w:val="00E53F9E"/>
    <w:rsid w:val="00E54066"/>
    <w:rsid w:val="00E540E1"/>
    <w:rsid w:val="00E54159"/>
    <w:rsid w:val="00E54185"/>
    <w:rsid w:val="00E54214"/>
    <w:rsid w:val="00E54248"/>
    <w:rsid w:val="00E5424D"/>
    <w:rsid w:val="00E54264"/>
    <w:rsid w:val="00E5439F"/>
    <w:rsid w:val="00E54436"/>
    <w:rsid w:val="00E546D8"/>
    <w:rsid w:val="00E5470A"/>
    <w:rsid w:val="00E54748"/>
    <w:rsid w:val="00E5474B"/>
    <w:rsid w:val="00E5476E"/>
    <w:rsid w:val="00E54884"/>
    <w:rsid w:val="00E54943"/>
    <w:rsid w:val="00E549A7"/>
    <w:rsid w:val="00E549DD"/>
    <w:rsid w:val="00E54A5B"/>
    <w:rsid w:val="00E54A70"/>
    <w:rsid w:val="00E54B0C"/>
    <w:rsid w:val="00E54BAA"/>
    <w:rsid w:val="00E54CCD"/>
    <w:rsid w:val="00E54D75"/>
    <w:rsid w:val="00E54DE9"/>
    <w:rsid w:val="00E54E12"/>
    <w:rsid w:val="00E54E1C"/>
    <w:rsid w:val="00E54FDD"/>
    <w:rsid w:val="00E5504B"/>
    <w:rsid w:val="00E55196"/>
    <w:rsid w:val="00E552DE"/>
    <w:rsid w:val="00E5532A"/>
    <w:rsid w:val="00E55332"/>
    <w:rsid w:val="00E5546A"/>
    <w:rsid w:val="00E5558E"/>
    <w:rsid w:val="00E55600"/>
    <w:rsid w:val="00E557AA"/>
    <w:rsid w:val="00E55816"/>
    <w:rsid w:val="00E55824"/>
    <w:rsid w:val="00E558B0"/>
    <w:rsid w:val="00E559AE"/>
    <w:rsid w:val="00E559FB"/>
    <w:rsid w:val="00E55A9C"/>
    <w:rsid w:val="00E55B5D"/>
    <w:rsid w:val="00E55B5F"/>
    <w:rsid w:val="00E55C75"/>
    <w:rsid w:val="00E55CB6"/>
    <w:rsid w:val="00E55D0A"/>
    <w:rsid w:val="00E55DF7"/>
    <w:rsid w:val="00E55EC4"/>
    <w:rsid w:val="00E55EF8"/>
    <w:rsid w:val="00E55F4C"/>
    <w:rsid w:val="00E55F68"/>
    <w:rsid w:val="00E56102"/>
    <w:rsid w:val="00E5613A"/>
    <w:rsid w:val="00E56166"/>
    <w:rsid w:val="00E56247"/>
    <w:rsid w:val="00E562D6"/>
    <w:rsid w:val="00E5631E"/>
    <w:rsid w:val="00E5642E"/>
    <w:rsid w:val="00E56510"/>
    <w:rsid w:val="00E56536"/>
    <w:rsid w:val="00E5675D"/>
    <w:rsid w:val="00E567E6"/>
    <w:rsid w:val="00E56979"/>
    <w:rsid w:val="00E5697D"/>
    <w:rsid w:val="00E56AE0"/>
    <w:rsid w:val="00E56AF7"/>
    <w:rsid w:val="00E56C0E"/>
    <w:rsid w:val="00E56DB6"/>
    <w:rsid w:val="00E56FCF"/>
    <w:rsid w:val="00E57201"/>
    <w:rsid w:val="00E57292"/>
    <w:rsid w:val="00E5739C"/>
    <w:rsid w:val="00E573B6"/>
    <w:rsid w:val="00E5740F"/>
    <w:rsid w:val="00E574A4"/>
    <w:rsid w:val="00E574D2"/>
    <w:rsid w:val="00E575C0"/>
    <w:rsid w:val="00E57753"/>
    <w:rsid w:val="00E57838"/>
    <w:rsid w:val="00E57944"/>
    <w:rsid w:val="00E57B14"/>
    <w:rsid w:val="00E57B80"/>
    <w:rsid w:val="00E57E5C"/>
    <w:rsid w:val="00E57F8B"/>
    <w:rsid w:val="00E57F92"/>
    <w:rsid w:val="00E600BE"/>
    <w:rsid w:val="00E60178"/>
    <w:rsid w:val="00E601A2"/>
    <w:rsid w:val="00E602A9"/>
    <w:rsid w:val="00E603D1"/>
    <w:rsid w:val="00E6077C"/>
    <w:rsid w:val="00E607BD"/>
    <w:rsid w:val="00E60846"/>
    <w:rsid w:val="00E608B4"/>
    <w:rsid w:val="00E608BB"/>
    <w:rsid w:val="00E608D3"/>
    <w:rsid w:val="00E609BA"/>
    <w:rsid w:val="00E60B40"/>
    <w:rsid w:val="00E60B90"/>
    <w:rsid w:val="00E60BDF"/>
    <w:rsid w:val="00E60CE2"/>
    <w:rsid w:val="00E60D29"/>
    <w:rsid w:val="00E60EA8"/>
    <w:rsid w:val="00E60F93"/>
    <w:rsid w:val="00E611F3"/>
    <w:rsid w:val="00E611FC"/>
    <w:rsid w:val="00E612D2"/>
    <w:rsid w:val="00E61318"/>
    <w:rsid w:val="00E61488"/>
    <w:rsid w:val="00E61548"/>
    <w:rsid w:val="00E61644"/>
    <w:rsid w:val="00E61694"/>
    <w:rsid w:val="00E616F0"/>
    <w:rsid w:val="00E617F5"/>
    <w:rsid w:val="00E61882"/>
    <w:rsid w:val="00E61960"/>
    <w:rsid w:val="00E61980"/>
    <w:rsid w:val="00E61B77"/>
    <w:rsid w:val="00E61CFA"/>
    <w:rsid w:val="00E61E13"/>
    <w:rsid w:val="00E61E2F"/>
    <w:rsid w:val="00E62174"/>
    <w:rsid w:val="00E62195"/>
    <w:rsid w:val="00E623B2"/>
    <w:rsid w:val="00E62468"/>
    <w:rsid w:val="00E6247F"/>
    <w:rsid w:val="00E625BE"/>
    <w:rsid w:val="00E625C0"/>
    <w:rsid w:val="00E625E9"/>
    <w:rsid w:val="00E62609"/>
    <w:rsid w:val="00E62715"/>
    <w:rsid w:val="00E6279C"/>
    <w:rsid w:val="00E627CB"/>
    <w:rsid w:val="00E628C1"/>
    <w:rsid w:val="00E62970"/>
    <w:rsid w:val="00E629DC"/>
    <w:rsid w:val="00E62A18"/>
    <w:rsid w:val="00E62A4D"/>
    <w:rsid w:val="00E62B70"/>
    <w:rsid w:val="00E62B7A"/>
    <w:rsid w:val="00E62BA3"/>
    <w:rsid w:val="00E62C52"/>
    <w:rsid w:val="00E62D00"/>
    <w:rsid w:val="00E62D96"/>
    <w:rsid w:val="00E62DB5"/>
    <w:rsid w:val="00E62DD8"/>
    <w:rsid w:val="00E62DFB"/>
    <w:rsid w:val="00E62E04"/>
    <w:rsid w:val="00E62EDE"/>
    <w:rsid w:val="00E63147"/>
    <w:rsid w:val="00E63158"/>
    <w:rsid w:val="00E6318F"/>
    <w:rsid w:val="00E63256"/>
    <w:rsid w:val="00E63278"/>
    <w:rsid w:val="00E633B8"/>
    <w:rsid w:val="00E6369F"/>
    <w:rsid w:val="00E637FA"/>
    <w:rsid w:val="00E638CE"/>
    <w:rsid w:val="00E639BD"/>
    <w:rsid w:val="00E63AFF"/>
    <w:rsid w:val="00E63B9B"/>
    <w:rsid w:val="00E63BA9"/>
    <w:rsid w:val="00E63C73"/>
    <w:rsid w:val="00E63DA4"/>
    <w:rsid w:val="00E63F32"/>
    <w:rsid w:val="00E6404A"/>
    <w:rsid w:val="00E64055"/>
    <w:rsid w:val="00E64088"/>
    <w:rsid w:val="00E641A7"/>
    <w:rsid w:val="00E641CD"/>
    <w:rsid w:val="00E64317"/>
    <w:rsid w:val="00E644FE"/>
    <w:rsid w:val="00E64522"/>
    <w:rsid w:val="00E64614"/>
    <w:rsid w:val="00E64637"/>
    <w:rsid w:val="00E6464D"/>
    <w:rsid w:val="00E64743"/>
    <w:rsid w:val="00E647A9"/>
    <w:rsid w:val="00E64A6D"/>
    <w:rsid w:val="00E64AB0"/>
    <w:rsid w:val="00E64B44"/>
    <w:rsid w:val="00E64F1A"/>
    <w:rsid w:val="00E64F82"/>
    <w:rsid w:val="00E64FF9"/>
    <w:rsid w:val="00E6502E"/>
    <w:rsid w:val="00E650B0"/>
    <w:rsid w:val="00E65247"/>
    <w:rsid w:val="00E652AC"/>
    <w:rsid w:val="00E65339"/>
    <w:rsid w:val="00E653C2"/>
    <w:rsid w:val="00E65647"/>
    <w:rsid w:val="00E656F6"/>
    <w:rsid w:val="00E65796"/>
    <w:rsid w:val="00E6582B"/>
    <w:rsid w:val="00E6586B"/>
    <w:rsid w:val="00E65A3C"/>
    <w:rsid w:val="00E65B52"/>
    <w:rsid w:val="00E65C78"/>
    <w:rsid w:val="00E65CD9"/>
    <w:rsid w:val="00E65D30"/>
    <w:rsid w:val="00E65D8F"/>
    <w:rsid w:val="00E65DD5"/>
    <w:rsid w:val="00E65FE4"/>
    <w:rsid w:val="00E660CE"/>
    <w:rsid w:val="00E66120"/>
    <w:rsid w:val="00E6612D"/>
    <w:rsid w:val="00E6624B"/>
    <w:rsid w:val="00E6629E"/>
    <w:rsid w:val="00E66309"/>
    <w:rsid w:val="00E6635B"/>
    <w:rsid w:val="00E66392"/>
    <w:rsid w:val="00E663B4"/>
    <w:rsid w:val="00E66427"/>
    <w:rsid w:val="00E66598"/>
    <w:rsid w:val="00E66678"/>
    <w:rsid w:val="00E6669C"/>
    <w:rsid w:val="00E6695B"/>
    <w:rsid w:val="00E669CF"/>
    <w:rsid w:val="00E66B15"/>
    <w:rsid w:val="00E66C74"/>
    <w:rsid w:val="00E66C7C"/>
    <w:rsid w:val="00E66CE3"/>
    <w:rsid w:val="00E66D2A"/>
    <w:rsid w:val="00E66DCB"/>
    <w:rsid w:val="00E66EBA"/>
    <w:rsid w:val="00E66EFF"/>
    <w:rsid w:val="00E67099"/>
    <w:rsid w:val="00E670F0"/>
    <w:rsid w:val="00E67104"/>
    <w:rsid w:val="00E67444"/>
    <w:rsid w:val="00E674E0"/>
    <w:rsid w:val="00E6757A"/>
    <w:rsid w:val="00E675A7"/>
    <w:rsid w:val="00E675D9"/>
    <w:rsid w:val="00E676B8"/>
    <w:rsid w:val="00E67759"/>
    <w:rsid w:val="00E67904"/>
    <w:rsid w:val="00E679E1"/>
    <w:rsid w:val="00E67A5D"/>
    <w:rsid w:val="00E67A7E"/>
    <w:rsid w:val="00E67BF5"/>
    <w:rsid w:val="00E67D81"/>
    <w:rsid w:val="00E67DF2"/>
    <w:rsid w:val="00E67E16"/>
    <w:rsid w:val="00E67E88"/>
    <w:rsid w:val="00E67F49"/>
    <w:rsid w:val="00E67F5C"/>
    <w:rsid w:val="00E67FBB"/>
    <w:rsid w:val="00E7015B"/>
    <w:rsid w:val="00E701C3"/>
    <w:rsid w:val="00E70213"/>
    <w:rsid w:val="00E702A5"/>
    <w:rsid w:val="00E7032B"/>
    <w:rsid w:val="00E70343"/>
    <w:rsid w:val="00E703A7"/>
    <w:rsid w:val="00E703D1"/>
    <w:rsid w:val="00E70496"/>
    <w:rsid w:val="00E70512"/>
    <w:rsid w:val="00E70640"/>
    <w:rsid w:val="00E70678"/>
    <w:rsid w:val="00E70735"/>
    <w:rsid w:val="00E70A56"/>
    <w:rsid w:val="00E70A7E"/>
    <w:rsid w:val="00E70AA8"/>
    <w:rsid w:val="00E70B5D"/>
    <w:rsid w:val="00E70C72"/>
    <w:rsid w:val="00E70CFD"/>
    <w:rsid w:val="00E70D03"/>
    <w:rsid w:val="00E70D13"/>
    <w:rsid w:val="00E70DD6"/>
    <w:rsid w:val="00E70E6D"/>
    <w:rsid w:val="00E70EE5"/>
    <w:rsid w:val="00E710CD"/>
    <w:rsid w:val="00E7110D"/>
    <w:rsid w:val="00E711E3"/>
    <w:rsid w:val="00E712AF"/>
    <w:rsid w:val="00E71303"/>
    <w:rsid w:val="00E7148E"/>
    <w:rsid w:val="00E71524"/>
    <w:rsid w:val="00E71567"/>
    <w:rsid w:val="00E71586"/>
    <w:rsid w:val="00E71588"/>
    <w:rsid w:val="00E715DB"/>
    <w:rsid w:val="00E7168C"/>
    <w:rsid w:val="00E716B5"/>
    <w:rsid w:val="00E717E0"/>
    <w:rsid w:val="00E71818"/>
    <w:rsid w:val="00E718F8"/>
    <w:rsid w:val="00E71932"/>
    <w:rsid w:val="00E71977"/>
    <w:rsid w:val="00E71A3F"/>
    <w:rsid w:val="00E71A6F"/>
    <w:rsid w:val="00E71C2F"/>
    <w:rsid w:val="00E71C4B"/>
    <w:rsid w:val="00E71DBE"/>
    <w:rsid w:val="00E71DD1"/>
    <w:rsid w:val="00E71E18"/>
    <w:rsid w:val="00E71E4B"/>
    <w:rsid w:val="00E71E96"/>
    <w:rsid w:val="00E71F4D"/>
    <w:rsid w:val="00E71FA0"/>
    <w:rsid w:val="00E71FDC"/>
    <w:rsid w:val="00E71FF6"/>
    <w:rsid w:val="00E7202D"/>
    <w:rsid w:val="00E72079"/>
    <w:rsid w:val="00E72090"/>
    <w:rsid w:val="00E72117"/>
    <w:rsid w:val="00E721BC"/>
    <w:rsid w:val="00E72679"/>
    <w:rsid w:val="00E7269B"/>
    <w:rsid w:val="00E7275E"/>
    <w:rsid w:val="00E727C9"/>
    <w:rsid w:val="00E728BF"/>
    <w:rsid w:val="00E728C8"/>
    <w:rsid w:val="00E728D7"/>
    <w:rsid w:val="00E728E9"/>
    <w:rsid w:val="00E72A90"/>
    <w:rsid w:val="00E72ADB"/>
    <w:rsid w:val="00E72BA7"/>
    <w:rsid w:val="00E72BEE"/>
    <w:rsid w:val="00E72C45"/>
    <w:rsid w:val="00E72C5E"/>
    <w:rsid w:val="00E72E65"/>
    <w:rsid w:val="00E72E68"/>
    <w:rsid w:val="00E72EC2"/>
    <w:rsid w:val="00E72EED"/>
    <w:rsid w:val="00E7306F"/>
    <w:rsid w:val="00E733DA"/>
    <w:rsid w:val="00E7350D"/>
    <w:rsid w:val="00E73528"/>
    <w:rsid w:val="00E73592"/>
    <w:rsid w:val="00E7363C"/>
    <w:rsid w:val="00E737E0"/>
    <w:rsid w:val="00E7389D"/>
    <w:rsid w:val="00E738C5"/>
    <w:rsid w:val="00E73916"/>
    <w:rsid w:val="00E7392D"/>
    <w:rsid w:val="00E73A14"/>
    <w:rsid w:val="00E73A1B"/>
    <w:rsid w:val="00E73AC6"/>
    <w:rsid w:val="00E73B98"/>
    <w:rsid w:val="00E73CBF"/>
    <w:rsid w:val="00E73D2A"/>
    <w:rsid w:val="00E73D3A"/>
    <w:rsid w:val="00E73E02"/>
    <w:rsid w:val="00E73EE7"/>
    <w:rsid w:val="00E73F19"/>
    <w:rsid w:val="00E73F69"/>
    <w:rsid w:val="00E73FAC"/>
    <w:rsid w:val="00E74743"/>
    <w:rsid w:val="00E748E9"/>
    <w:rsid w:val="00E74A99"/>
    <w:rsid w:val="00E74AE1"/>
    <w:rsid w:val="00E74B90"/>
    <w:rsid w:val="00E74C37"/>
    <w:rsid w:val="00E74C64"/>
    <w:rsid w:val="00E74D0C"/>
    <w:rsid w:val="00E74D36"/>
    <w:rsid w:val="00E74EE6"/>
    <w:rsid w:val="00E74F3D"/>
    <w:rsid w:val="00E74FD7"/>
    <w:rsid w:val="00E75229"/>
    <w:rsid w:val="00E75378"/>
    <w:rsid w:val="00E7549C"/>
    <w:rsid w:val="00E7568B"/>
    <w:rsid w:val="00E756D7"/>
    <w:rsid w:val="00E75789"/>
    <w:rsid w:val="00E75936"/>
    <w:rsid w:val="00E75A9E"/>
    <w:rsid w:val="00E75BB3"/>
    <w:rsid w:val="00E75C3D"/>
    <w:rsid w:val="00E75C94"/>
    <w:rsid w:val="00E75CC1"/>
    <w:rsid w:val="00E75E1A"/>
    <w:rsid w:val="00E75E6C"/>
    <w:rsid w:val="00E75FA1"/>
    <w:rsid w:val="00E76018"/>
    <w:rsid w:val="00E76189"/>
    <w:rsid w:val="00E761B7"/>
    <w:rsid w:val="00E76445"/>
    <w:rsid w:val="00E764AD"/>
    <w:rsid w:val="00E76527"/>
    <w:rsid w:val="00E76546"/>
    <w:rsid w:val="00E76570"/>
    <w:rsid w:val="00E765A8"/>
    <w:rsid w:val="00E7681F"/>
    <w:rsid w:val="00E76835"/>
    <w:rsid w:val="00E76963"/>
    <w:rsid w:val="00E769FA"/>
    <w:rsid w:val="00E76A3E"/>
    <w:rsid w:val="00E76A58"/>
    <w:rsid w:val="00E76BF0"/>
    <w:rsid w:val="00E76CA7"/>
    <w:rsid w:val="00E76F29"/>
    <w:rsid w:val="00E76F47"/>
    <w:rsid w:val="00E77015"/>
    <w:rsid w:val="00E7701E"/>
    <w:rsid w:val="00E77027"/>
    <w:rsid w:val="00E770E6"/>
    <w:rsid w:val="00E77281"/>
    <w:rsid w:val="00E772F1"/>
    <w:rsid w:val="00E7745E"/>
    <w:rsid w:val="00E774AA"/>
    <w:rsid w:val="00E77547"/>
    <w:rsid w:val="00E775A1"/>
    <w:rsid w:val="00E776CB"/>
    <w:rsid w:val="00E77861"/>
    <w:rsid w:val="00E778FF"/>
    <w:rsid w:val="00E7797F"/>
    <w:rsid w:val="00E779AD"/>
    <w:rsid w:val="00E779BB"/>
    <w:rsid w:val="00E77A2F"/>
    <w:rsid w:val="00E77A75"/>
    <w:rsid w:val="00E77C1C"/>
    <w:rsid w:val="00E77C99"/>
    <w:rsid w:val="00E77DF5"/>
    <w:rsid w:val="00E77F1F"/>
    <w:rsid w:val="00E800EC"/>
    <w:rsid w:val="00E8015D"/>
    <w:rsid w:val="00E80161"/>
    <w:rsid w:val="00E8022C"/>
    <w:rsid w:val="00E802D5"/>
    <w:rsid w:val="00E80316"/>
    <w:rsid w:val="00E80324"/>
    <w:rsid w:val="00E805B4"/>
    <w:rsid w:val="00E80651"/>
    <w:rsid w:val="00E80653"/>
    <w:rsid w:val="00E8071B"/>
    <w:rsid w:val="00E80732"/>
    <w:rsid w:val="00E8082A"/>
    <w:rsid w:val="00E8089B"/>
    <w:rsid w:val="00E80942"/>
    <w:rsid w:val="00E809AB"/>
    <w:rsid w:val="00E809E2"/>
    <w:rsid w:val="00E80A46"/>
    <w:rsid w:val="00E80A9E"/>
    <w:rsid w:val="00E80C47"/>
    <w:rsid w:val="00E80C85"/>
    <w:rsid w:val="00E80CED"/>
    <w:rsid w:val="00E80CFF"/>
    <w:rsid w:val="00E80D2A"/>
    <w:rsid w:val="00E80EDF"/>
    <w:rsid w:val="00E810A5"/>
    <w:rsid w:val="00E81228"/>
    <w:rsid w:val="00E8132A"/>
    <w:rsid w:val="00E813B5"/>
    <w:rsid w:val="00E81578"/>
    <w:rsid w:val="00E815E0"/>
    <w:rsid w:val="00E816FC"/>
    <w:rsid w:val="00E81737"/>
    <w:rsid w:val="00E8185B"/>
    <w:rsid w:val="00E81ADF"/>
    <w:rsid w:val="00E81AFD"/>
    <w:rsid w:val="00E81B28"/>
    <w:rsid w:val="00E81B35"/>
    <w:rsid w:val="00E81B5B"/>
    <w:rsid w:val="00E81CA0"/>
    <w:rsid w:val="00E81D1B"/>
    <w:rsid w:val="00E81DD2"/>
    <w:rsid w:val="00E81E40"/>
    <w:rsid w:val="00E81E8F"/>
    <w:rsid w:val="00E81E9D"/>
    <w:rsid w:val="00E81F86"/>
    <w:rsid w:val="00E821F3"/>
    <w:rsid w:val="00E822EF"/>
    <w:rsid w:val="00E82368"/>
    <w:rsid w:val="00E8238C"/>
    <w:rsid w:val="00E823B7"/>
    <w:rsid w:val="00E825F9"/>
    <w:rsid w:val="00E827C2"/>
    <w:rsid w:val="00E82842"/>
    <w:rsid w:val="00E828CA"/>
    <w:rsid w:val="00E82B05"/>
    <w:rsid w:val="00E82B23"/>
    <w:rsid w:val="00E82B36"/>
    <w:rsid w:val="00E82BFA"/>
    <w:rsid w:val="00E82C0B"/>
    <w:rsid w:val="00E82F19"/>
    <w:rsid w:val="00E82F7E"/>
    <w:rsid w:val="00E8305E"/>
    <w:rsid w:val="00E83078"/>
    <w:rsid w:val="00E8313C"/>
    <w:rsid w:val="00E8338A"/>
    <w:rsid w:val="00E835F4"/>
    <w:rsid w:val="00E8362D"/>
    <w:rsid w:val="00E83673"/>
    <w:rsid w:val="00E837AF"/>
    <w:rsid w:val="00E837EB"/>
    <w:rsid w:val="00E838B4"/>
    <w:rsid w:val="00E838F2"/>
    <w:rsid w:val="00E8393D"/>
    <w:rsid w:val="00E8396B"/>
    <w:rsid w:val="00E83A01"/>
    <w:rsid w:val="00E83A45"/>
    <w:rsid w:val="00E83AD6"/>
    <w:rsid w:val="00E83AE2"/>
    <w:rsid w:val="00E83CA7"/>
    <w:rsid w:val="00E83DB1"/>
    <w:rsid w:val="00E83E27"/>
    <w:rsid w:val="00E83ED2"/>
    <w:rsid w:val="00E8401E"/>
    <w:rsid w:val="00E84068"/>
    <w:rsid w:val="00E8409B"/>
    <w:rsid w:val="00E841FD"/>
    <w:rsid w:val="00E843E4"/>
    <w:rsid w:val="00E8450A"/>
    <w:rsid w:val="00E84671"/>
    <w:rsid w:val="00E846B7"/>
    <w:rsid w:val="00E84754"/>
    <w:rsid w:val="00E847EC"/>
    <w:rsid w:val="00E84A1D"/>
    <w:rsid w:val="00E84A51"/>
    <w:rsid w:val="00E84B6F"/>
    <w:rsid w:val="00E84D0D"/>
    <w:rsid w:val="00E84D40"/>
    <w:rsid w:val="00E84E0E"/>
    <w:rsid w:val="00E84F4F"/>
    <w:rsid w:val="00E850D8"/>
    <w:rsid w:val="00E854C5"/>
    <w:rsid w:val="00E8550F"/>
    <w:rsid w:val="00E85547"/>
    <w:rsid w:val="00E8566E"/>
    <w:rsid w:val="00E85742"/>
    <w:rsid w:val="00E85794"/>
    <w:rsid w:val="00E85904"/>
    <w:rsid w:val="00E859EB"/>
    <w:rsid w:val="00E85A35"/>
    <w:rsid w:val="00E85B94"/>
    <w:rsid w:val="00E85C0A"/>
    <w:rsid w:val="00E85C15"/>
    <w:rsid w:val="00E85C8B"/>
    <w:rsid w:val="00E85CD9"/>
    <w:rsid w:val="00E85CDA"/>
    <w:rsid w:val="00E85E30"/>
    <w:rsid w:val="00E85EF3"/>
    <w:rsid w:val="00E85EFE"/>
    <w:rsid w:val="00E85FDF"/>
    <w:rsid w:val="00E86070"/>
    <w:rsid w:val="00E86075"/>
    <w:rsid w:val="00E860ED"/>
    <w:rsid w:val="00E861C4"/>
    <w:rsid w:val="00E86275"/>
    <w:rsid w:val="00E86324"/>
    <w:rsid w:val="00E863C7"/>
    <w:rsid w:val="00E864F1"/>
    <w:rsid w:val="00E86560"/>
    <w:rsid w:val="00E8658B"/>
    <w:rsid w:val="00E865E6"/>
    <w:rsid w:val="00E8660D"/>
    <w:rsid w:val="00E86638"/>
    <w:rsid w:val="00E866E0"/>
    <w:rsid w:val="00E8683F"/>
    <w:rsid w:val="00E8686B"/>
    <w:rsid w:val="00E86887"/>
    <w:rsid w:val="00E86A29"/>
    <w:rsid w:val="00E86A35"/>
    <w:rsid w:val="00E86BE5"/>
    <w:rsid w:val="00E86CF1"/>
    <w:rsid w:val="00E86D4C"/>
    <w:rsid w:val="00E86D5D"/>
    <w:rsid w:val="00E86E04"/>
    <w:rsid w:val="00E86E97"/>
    <w:rsid w:val="00E86F3E"/>
    <w:rsid w:val="00E86F80"/>
    <w:rsid w:val="00E86F8E"/>
    <w:rsid w:val="00E87089"/>
    <w:rsid w:val="00E870DF"/>
    <w:rsid w:val="00E871D6"/>
    <w:rsid w:val="00E87269"/>
    <w:rsid w:val="00E872C7"/>
    <w:rsid w:val="00E87521"/>
    <w:rsid w:val="00E8752A"/>
    <w:rsid w:val="00E87616"/>
    <w:rsid w:val="00E87617"/>
    <w:rsid w:val="00E876A3"/>
    <w:rsid w:val="00E876BB"/>
    <w:rsid w:val="00E877CB"/>
    <w:rsid w:val="00E87852"/>
    <w:rsid w:val="00E879FE"/>
    <w:rsid w:val="00E87B39"/>
    <w:rsid w:val="00E87CE6"/>
    <w:rsid w:val="00E87DCA"/>
    <w:rsid w:val="00E87F12"/>
    <w:rsid w:val="00E87F4D"/>
    <w:rsid w:val="00E87FE9"/>
    <w:rsid w:val="00E900B1"/>
    <w:rsid w:val="00E90139"/>
    <w:rsid w:val="00E90183"/>
    <w:rsid w:val="00E901AF"/>
    <w:rsid w:val="00E901CF"/>
    <w:rsid w:val="00E90270"/>
    <w:rsid w:val="00E90272"/>
    <w:rsid w:val="00E90306"/>
    <w:rsid w:val="00E9035C"/>
    <w:rsid w:val="00E903E4"/>
    <w:rsid w:val="00E90425"/>
    <w:rsid w:val="00E90435"/>
    <w:rsid w:val="00E90441"/>
    <w:rsid w:val="00E904F9"/>
    <w:rsid w:val="00E9051E"/>
    <w:rsid w:val="00E905A2"/>
    <w:rsid w:val="00E905AB"/>
    <w:rsid w:val="00E9062A"/>
    <w:rsid w:val="00E9076D"/>
    <w:rsid w:val="00E90870"/>
    <w:rsid w:val="00E908D9"/>
    <w:rsid w:val="00E90905"/>
    <w:rsid w:val="00E9093F"/>
    <w:rsid w:val="00E9095A"/>
    <w:rsid w:val="00E90D5A"/>
    <w:rsid w:val="00E90D7F"/>
    <w:rsid w:val="00E90DC5"/>
    <w:rsid w:val="00E90DD7"/>
    <w:rsid w:val="00E90F79"/>
    <w:rsid w:val="00E91014"/>
    <w:rsid w:val="00E91072"/>
    <w:rsid w:val="00E91113"/>
    <w:rsid w:val="00E91201"/>
    <w:rsid w:val="00E91203"/>
    <w:rsid w:val="00E912BB"/>
    <w:rsid w:val="00E91487"/>
    <w:rsid w:val="00E914D1"/>
    <w:rsid w:val="00E914E6"/>
    <w:rsid w:val="00E91508"/>
    <w:rsid w:val="00E919BE"/>
    <w:rsid w:val="00E919D3"/>
    <w:rsid w:val="00E919F7"/>
    <w:rsid w:val="00E91ADE"/>
    <w:rsid w:val="00E91B37"/>
    <w:rsid w:val="00E91C75"/>
    <w:rsid w:val="00E91E46"/>
    <w:rsid w:val="00E91E7B"/>
    <w:rsid w:val="00E91EB5"/>
    <w:rsid w:val="00E920DD"/>
    <w:rsid w:val="00E92201"/>
    <w:rsid w:val="00E922FC"/>
    <w:rsid w:val="00E9236D"/>
    <w:rsid w:val="00E9238B"/>
    <w:rsid w:val="00E925F0"/>
    <w:rsid w:val="00E926C8"/>
    <w:rsid w:val="00E92730"/>
    <w:rsid w:val="00E9290A"/>
    <w:rsid w:val="00E929C9"/>
    <w:rsid w:val="00E929EB"/>
    <w:rsid w:val="00E92CBE"/>
    <w:rsid w:val="00E92CE1"/>
    <w:rsid w:val="00E92CE4"/>
    <w:rsid w:val="00E92E9E"/>
    <w:rsid w:val="00E9302F"/>
    <w:rsid w:val="00E93044"/>
    <w:rsid w:val="00E9339E"/>
    <w:rsid w:val="00E93448"/>
    <w:rsid w:val="00E93498"/>
    <w:rsid w:val="00E9349C"/>
    <w:rsid w:val="00E934C7"/>
    <w:rsid w:val="00E934E1"/>
    <w:rsid w:val="00E93566"/>
    <w:rsid w:val="00E9368B"/>
    <w:rsid w:val="00E936FE"/>
    <w:rsid w:val="00E937FF"/>
    <w:rsid w:val="00E93876"/>
    <w:rsid w:val="00E938E0"/>
    <w:rsid w:val="00E93966"/>
    <w:rsid w:val="00E939BD"/>
    <w:rsid w:val="00E939F8"/>
    <w:rsid w:val="00E93AA7"/>
    <w:rsid w:val="00E93C3D"/>
    <w:rsid w:val="00E93C79"/>
    <w:rsid w:val="00E93C9A"/>
    <w:rsid w:val="00E93D32"/>
    <w:rsid w:val="00E93D36"/>
    <w:rsid w:val="00E93D75"/>
    <w:rsid w:val="00E93DD4"/>
    <w:rsid w:val="00E93DE6"/>
    <w:rsid w:val="00E93E93"/>
    <w:rsid w:val="00E93ECA"/>
    <w:rsid w:val="00E93F85"/>
    <w:rsid w:val="00E93FFB"/>
    <w:rsid w:val="00E941DA"/>
    <w:rsid w:val="00E94270"/>
    <w:rsid w:val="00E94345"/>
    <w:rsid w:val="00E943A2"/>
    <w:rsid w:val="00E9440A"/>
    <w:rsid w:val="00E944CA"/>
    <w:rsid w:val="00E94552"/>
    <w:rsid w:val="00E94558"/>
    <w:rsid w:val="00E94671"/>
    <w:rsid w:val="00E948EE"/>
    <w:rsid w:val="00E948F3"/>
    <w:rsid w:val="00E948F4"/>
    <w:rsid w:val="00E94943"/>
    <w:rsid w:val="00E94B0C"/>
    <w:rsid w:val="00E94C2F"/>
    <w:rsid w:val="00E94CA5"/>
    <w:rsid w:val="00E94CE9"/>
    <w:rsid w:val="00E94D0F"/>
    <w:rsid w:val="00E94DBD"/>
    <w:rsid w:val="00E94E95"/>
    <w:rsid w:val="00E94FB0"/>
    <w:rsid w:val="00E9509B"/>
    <w:rsid w:val="00E95101"/>
    <w:rsid w:val="00E95167"/>
    <w:rsid w:val="00E951F6"/>
    <w:rsid w:val="00E95274"/>
    <w:rsid w:val="00E95345"/>
    <w:rsid w:val="00E9534D"/>
    <w:rsid w:val="00E95440"/>
    <w:rsid w:val="00E955D3"/>
    <w:rsid w:val="00E95639"/>
    <w:rsid w:val="00E95666"/>
    <w:rsid w:val="00E956D1"/>
    <w:rsid w:val="00E957AA"/>
    <w:rsid w:val="00E95937"/>
    <w:rsid w:val="00E959F7"/>
    <w:rsid w:val="00E95AD2"/>
    <w:rsid w:val="00E95B19"/>
    <w:rsid w:val="00E95BCE"/>
    <w:rsid w:val="00E95CD1"/>
    <w:rsid w:val="00E95E27"/>
    <w:rsid w:val="00E95EEE"/>
    <w:rsid w:val="00E95FAC"/>
    <w:rsid w:val="00E95FCC"/>
    <w:rsid w:val="00E95FCE"/>
    <w:rsid w:val="00E96028"/>
    <w:rsid w:val="00E962CF"/>
    <w:rsid w:val="00E963CC"/>
    <w:rsid w:val="00E96418"/>
    <w:rsid w:val="00E96508"/>
    <w:rsid w:val="00E9656B"/>
    <w:rsid w:val="00E96583"/>
    <w:rsid w:val="00E965E0"/>
    <w:rsid w:val="00E966E8"/>
    <w:rsid w:val="00E9685B"/>
    <w:rsid w:val="00E968EB"/>
    <w:rsid w:val="00E96910"/>
    <w:rsid w:val="00E969BE"/>
    <w:rsid w:val="00E96A30"/>
    <w:rsid w:val="00E96B9F"/>
    <w:rsid w:val="00E96BA4"/>
    <w:rsid w:val="00E96BF9"/>
    <w:rsid w:val="00E96CC4"/>
    <w:rsid w:val="00E96D74"/>
    <w:rsid w:val="00E96F86"/>
    <w:rsid w:val="00E97080"/>
    <w:rsid w:val="00E9713C"/>
    <w:rsid w:val="00E9721F"/>
    <w:rsid w:val="00E97320"/>
    <w:rsid w:val="00E9734B"/>
    <w:rsid w:val="00E97425"/>
    <w:rsid w:val="00E97458"/>
    <w:rsid w:val="00E974E8"/>
    <w:rsid w:val="00E975C4"/>
    <w:rsid w:val="00E97698"/>
    <w:rsid w:val="00E977A1"/>
    <w:rsid w:val="00E97826"/>
    <w:rsid w:val="00E97855"/>
    <w:rsid w:val="00E97931"/>
    <w:rsid w:val="00E97950"/>
    <w:rsid w:val="00E979BA"/>
    <w:rsid w:val="00E97AC2"/>
    <w:rsid w:val="00E97CAD"/>
    <w:rsid w:val="00E97D3B"/>
    <w:rsid w:val="00E97F68"/>
    <w:rsid w:val="00E97FF9"/>
    <w:rsid w:val="00EA0095"/>
    <w:rsid w:val="00EA00B8"/>
    <w:rsid w:val="00EA0293"/>
    <w:rsid w:val="00EA0317"/>
    <w:rsid w:val="00EA0513"/>
    <w:rsid w:val="00EA05D3"/>
    <w:rsid w:val="00EA0760"/>
    <w:rsid w:val="00EA07AF"/>
    <w:rsid w:val="00EA081D"/>
    <w:rsid w:val="00EA08A4"/>
    <w:rsid w:val="00EA08B8"/>
    <w:rsid w:val="00EA0B25"/>
    <w:rsid w:val="00EA0B4A"/>
    <w:rsid w:val="00EA0C8A"/>
    <w:rsid w:val="00EA0D2C"/>
    <w:rsid w:val="00EA0F8E"/>
    <w:rsid w:val="00EA135B"/>
    <w:rsid w:val="00EA144A"/>
    <w:rsid w:val="00EA14B8"/>
    <w:rsid w:val="00EA14CB"/>
    <w:rsid w:val="00EA15C9"/>
    <w:rsid w:val="00EA1664"/>
    <w:rsid w:val="00EA1803"/>
    <w:rsid w:val="00EA1807"/>
    <w:rsid w:val="00EA1835"/>
    <w:rsid w:val="00EA18E4"/>
    <w:rsid w:val="00EA1919"/>
    <w:rsid w:val="00EA19A6"/>
    <w:rsid w:val="00EA1B37"/>
    <w:rsid w:val="00EA1C56"/>
    <w:rsid w:val="00EA1D8C"/>
    <w:rsid w:val="00EA1E21"/>
    <w:rsid w:val="00EA1EBE"/>
    <w:rsid w:val="00EA2140"/>
    <w:rsid w:val="00EA2188"/>
    <w:rsid w:val="00EA21D9"/>
    <w:rsid w:val="00EA2468"/>
    <w:rsid w:val="00EA2471"/>
    <w:rsid w:val="00EA2472"/>
    <w:rsid w:val="00EA24B0"/>
    <w:rsid w:val="00EA24C3"/>
    <w:rsid w:val="00EA24E6"/>
    <w:rsid w:val="00EA2787"/>
    <w:rsid w:val="00EA27EA"/>
    <w:rsid w:val="00EA2810"/>
    <w:rsid w:val="00EA2837"/>
    <w:rsid w:val="00EA287B"/>
    <w:rsid w:val="00EA2AE2"/>
    <w:rsid w:val="00EA2B91"/>
    <w:rsid w:val="00EA2BCC"/>
    <w:rsid w:val="00EA2BFF"/>
    <w:rsid w:val="00EA2C8C"/>
    <w:rsid w:val="00EA2D3B"/>
    <w:rsid w:val="00EA2DA5"/>
    <w:rsid w:val="00EA2E4A"/>
    <w:rsid w:val="00EA314F"/>
    <w:rsid w:val="00EA3356"/>
    <w:rsid w:val="00EA34E8"/>
    <w:rsid w:val="00EA35C8"/>
    <w:rsid w:val="00EA3637"/>
    <w:rsid w:val="00EA364D"/>
    <w:rsid w:val="00EA36AD"/>
    <w:rsid w:val="00EA36E0"/>
    <w:rsid w:val="00EA380F"/>
    <w:rsid w:val="00EA3829"/>
    <w:rsid w:val="00EA3836"/>
    <w:rsid w:val="00EA3945"/>
    <w:rsid w:val="00EA39D3"/>
    <w:rsid w:val="00EA3A26"/>
    <w:rsid w:val="00EA3A2C"/>
    <w:rsid w:val="00EA3A5D"/>
    <w:rsid w:val="00EA3AB6"/>
    <w:rsid w:val="00EA3B45"/>
    <w:rsid w:val="00EA3B67"/>
    <w:rsid w:val="00EA3BAF"/>
    <w:rsid w:val="00EA3BD3"/>
    <w:rsid w:val="00EA3C6D"/>
    <w:rsid w:val="00EA3CB0"/>
    <w:rsid w:val="00EA3F21"/>
    <w:rsid w:val="00EA3F9B"/>
    <w:rsid w:val="00EA4271"/>
    <w:rsid w:val="00EA4488"/>
    <w:rsid w:val="00EA44E7"/>
    <w:rsid w:val="00EA458C"/>
    <w:rsid w:val="00EA4630"/>
    <w:rsid w:val="00EA463D"/>
    <w:rsid w:val="00EA46D1"/>
    <w:rsid w:val="00EA4711"/>
    <w:rsid w:val="00EA482A"/>
    <w:rsid w:val="00EA489C"/>
    <w:rsid w:val="00EA48B3"/>
    <w:rsid w:val="00EA4910"/>
    <w:rsid w:val="00EA4995"/>
    <w:rsid w:val="00EA4B28"/>
    <w:rsid w:val="00EA4B3A"/>
    <w:rsid w:val="00EA4B8B"/>
    <w:rsid w:val="00EA4B8F"/>
    <w:rsid w:val="00EA4BA4"/>
    <w:rsid w:val="00EA4E7C"/>
    <w:rsid w:val="00EA4EA0"/>
    <w:rsid w:val="00EA4EE2"/>
    <w:rsid w:val="00EA4F6F"/>
    <w:rsid w:val="00EA5091"/>
    <w:rsid w:val="00EA50C9"/>
    <w:rsid w:val="00EA52CA"/>
    <w:rsid w:val="00EA52D9"/>
    <w:rsid w:val="00EA5308"/>
    <w:rsid w:val="00EA5554"/>
    <w:rsid w:val="00EA55E0"/>
    <w:rsid w:val="00EA5644"/>
    <w:rsid w:val="00EA56AD"/>
    <w:rsid w:val="00EA5785"/>
    <w:rsid w:val="00EA57BC"/>
    <w:rsid w:val="00EA57D9"/>
    <w:rsid w:val="00EA57E1"/>
    <w:rsid w:val="00EA58A0"/>
    <w:rsid w:val="00EA5935"/>
    <w:rsid w:val="00EA5A8F"/>
    <w:rsid w:val="00EA5E1E"/>
    <w:rsid w:val="00EA5F1B"/>
    <w:rsid w:val="00EA5F53"/>
    <w:rsid w:val="00EA5F77"/>
    <w:rsid w:val="00EA5FAD"/>
    <w:rsid w:val="00EA6059"/>
    <w:rsid w:val="00EA6127"/>
    <w:rsid w:val="00EA61FF"/>
    <w:rsid w:val="00EA62FB"/>
    <w:rsid w:val="00EA6371"/>
    <w:rsid w:val="00EA63A2"/>
    <w:rsid w:val="00EA6447"/>
    <w:rsid w:val="00EA6464"/>
    <w:rsid w:val="00EA6467"/>
    <w:rsid w:val="00EA64FD"/>
    <w:rsid w:val="00EA6531"/>
    <w:rsid w:val="00EA6540"/>
    <w:rsid w:val="00EA6613"/>
    <w:rsid w:val="00EA6777"/>
    <w:rsid w:val="00EA67FE"/>
    <w:rsid w:val="00EA6869"/>
    <w:rsid w:val="00EA68B6"/>
    <w:rsid w:val="00EA6A8B"/>
    <w:rsid w:val="00EA6B71"/>
    <w:rsid w:val="00EA6DF4"/>
    <w:rsid w:val="00EA6E0D"/>
    <w:rsid w:val="00EA6E17"/>
    <w:rsid w:val="00EA6E82"/>
    <w:rsid w:val="00EA6EA9"/>
    <w:rsid w:val="00EA6F4D"/>
    <w:rsid w:val="00EA6F62"/>
    <w:rsid w:val="00EA6FAB"/>
    <w:rsid w:val="00EA7043"/>
    <w:rsid w:val="00EA710B"/>
    <w:rsid w:val="00EA7115"/>
    <w:rsid w:val="00EA713F"/>
    <w:rsid w:val="00EA72AE"/>
    <w:rsid w:val="00EA72B3"/>
    <w:rsid w:val="00EA72BA"/>
    <w:rsid w:val="00EA73D9"/>
    <w:rsid w:val="00EA7478"/>
    <w:rsid w:val="00EA767B"/>
    <w:rsid w:val="00EA76EE"/>
    <w:rsid w:val="00EA774A"/>
    <w:rsid w:val="00EA78A2"/>
    <w:rsid w:val="00EA7A15"/>
    <w:rsid w:val="00EA7A66"/>
    <w:rsid w:val="00EA7B5D"/>
    <w:rsid w:val="00EA7B94"/>
    <w:rsid w:val="00EA7C7A"/>
    <w:rsid w:val="00EA7D04"/>
    <w:rsid w:val="00EA7D97"/>
    <w:rsid w:val="00EA7E1B"/>
    <w:rsid w:val="00EA7E7E"/>
    <w:rsid w:val="00EA7E8D"/>
    <w:rsid w:val="00EA7F11"/>
    <w:rsid w:val="00EA7F1C"/>
    <w:rsid w:val="00EA7F2B"/>
    <w:rsid w:val="00EB01D9"/>
    <w:rsid w:val="00EB020D"/>
    <w:rsid w:val="00EB02F2"/>
    <w:rsid w:val="00EB0419"/>
    <w:rsid w:val="00EB041D"/>
    <w:rsid w:val="00EB05B7"/>
    <w:rsid w:val="00EB05D0"/>
    <w:rsid w:val="00EB0602"/>
    <w:rsid w:val="00EB063D"/>
    <w:rsid w:val="00EB07A3"/>
    <w:rsid w:val="00EB07F3"/>
    <w:rsid w:val="00EB084A"/>
    <w:rsid w:val="00EB08A1"/>
    <w:rsid w:val="00EB08FC"/>
    <w:rsid w:val="00EB0916"/>
    <w:rsid w:val="00EB0986"/>
    <w:rsid w:val="00EB0ACC"/>
    <w:rsid w:val="00EB0C10"/>
    <w:rsid w:val="00EB10A1"/>
    <w:rsid w:val="00EB1181"/>
    <w:rsid w:val="00EB1232"/>
    <w:rsid w:val="00EB1348"/>
    <w:rsid w:val="00EB135A"/>
    <w:rsid w:val="00EB1471"/>
    <w:rsid w:val="00EB1510"/>
    <w:rsid w:val="00EB1550"/>
    <w:rsid w:val="00EB159E"/>
    <w:rsid w:val="00EB15F9"/>
    <w:rsid w:val="00EB1797"/>
    <w:rsid w:val="00EB185C"/>
    <w:rsid w:val="00EB188A"/>
    <w:rsid w:val="00EB190D"/>
    <w:rsid w:val="00EB191B"/>
    <w:rsid w:val="00EB193A"/>
    <w:rsid w:val="00EB1986"/>
    <w:rsid w:val="00EB1A06"/>
    <w:rsid w:val="00EB1B42"/>
    <w:rsid w:val="00EB1BE2"/>
    <w:rsid w:val="00EB1BFB"/>
    <w:rsid w:val="00EB1C54"/>
    <w:rsid w:val="00EB1CCB"/>
    <w:rsid w:val="00EB1EAC"/>
    <w:rsid w:val="00EB1FE9"/>
    <w:rsid w:val="00EB2074"/>
    <w:rsid w:val="00EB20A5"/>
    <w:rsid w:val="00EB223A"/>
    <w:rsid w:val="00EB22C6"/>
    <w:rsid w:val="00EB23BB"/>
    <w:rsid w:val="00EB23F8"/>
    <w:rsid w:val="00EB26BE"/>
    <w:rsid w:val="00EB26ED"/>
    <w:rsid w:val="00EB2705"/>
    <w:rsid w:val="00EB27E4"/>
    <w:rsid w:val="00EB2A0D"/>
    <w:rsid w:val="00EB2C40"/>
    <w:rsid w:val="00EB2C5E"/>
    <w:rsid w:val="00EB2CA0"/>
    <w:rsid w:val="00EB2DB0"/>
    <w:rsid w:val="00EB2F7D"/>
    <w:rsid w:val="00EB2FA8"/>
    <w:rsid w:val="00EB30BE"/>
    <w:rsid w:val="00EB3145"/>
    <w:rsid w:val="00EB3152"/>
    <w:rsid w:val="00EB319A"/>
    <w:rsid w:val="00EB31C6"/>
    <w:rsid w:val="00EB3202"/>
    <w:rsid w:val="00EB32BE"/>
    <w:rsid w:val="00EB32DD"/>
    <w:rsid w:val="00EB33EB"/>
    <w:rsid w:val="00EB3401"/>
    <w:rsid w:val="00EB3491"/>
    <w:rsid w:val="00EB34BC"/>
    <w:rsid w:val="00EB34FB"/>
    <w:rsid w:val="00EB358D"/>
    <w:rsid w:val="00EB35AA"/>
    <w:rsid w:val="00EB365D"/>
    <w:rsid w:val="00EB3740"/>
    <w:rsid w:val="00EB37AA"/>
    <w:rsid w:val="00EB37E9"/>
    <w:rsid w:val="00EB3823"/>
    <w:rsid w:val="00EB38FC"/>
    <w:rsid w:val="00EB394B"/>
    <w:rsid w:val="00EB3989"/>
    <w:rsid w:val="00EB3CE1"/>
    <w:rsid w:val="00EB3E4E"/>
    <w:rsid w:val="00EB3E56"/>
    <w:rsid w:val="00EB3E92"/>
    <w:rsid w:val="00EB3F40"/>
    <w:rsid w:val="00EB3F57"/>
    <w:rsid w:val="00EB3FCC"/>
    <w:rsid w:val="00EB4083"/>
    <w:rsid w:val="00EB4107"/>
    <w:rsid w:val="00EB415B"/>
    <w:rsid w:val="00EB43FD"/>
    <w:rsid w:val="00EB4502"/>
    <w:rsid w:val="00EB46E7"/>
    <w:rsid w:val="00EB47C7"/>
    <w:rsid w:val="00EB47D1"/>
    <w:rsid w:val="00EB4824"/>
    <w:rsid w:val="00EB4866"/>
    <w:rsid w:val="00EB48B0"/>
    <w:rsid w:val="00EB48C1"/>
    <w:rsid w:val="00EB4983"/>
    <w:rsid w:val="00EB49AF"/>
    <w:rsid w:val="00EB4A86"/>
    <w:rsid w:val="00EB4B23"/>
    <w:rsid w:val="00EB4B4B"/>
    <w:rsid w:val="00EB4CB4"/>
    <w:rsid w:val="00EB4DFA"/>
    <w:rsid w:val="00EB4F04"/>
    <w:rsid w:val="00EB50E1"/>
    <w:rsid w:val="00EB5183"/>
    <w:rsid w:val="00EB5195"/>
    <w:rsid w:val="00EB51EE"/>
    <w:rsid w:val="00EB5325"/>
    <w:rsid w:val="00EB5346"/>
    <w:rsid w:val="00EB54A1"/>
    <w:rsid w:val="00EB5528"/>
    <w:rsid w:val="00EB55EE"/>
    <w:rsid w:val="00EB5603"/>
    <w:rsid w:val="00EB56C3"/>
    <w:rsid w:val="00EB588A"/>
    <w:rsid w:val="00EB5891"/>
    <w:rsid w:val="00EB5A73"/>
    <w:rsid w:val="00EB5AE6"/>
    <w:rsid w:val="00EB5BD9"/>
    <w:rsid w:val="00EB5D5B"/>
    <w:rsid w:val="00EB5E25"/>
    <w:rsid w:val="00EB5E3A"/>
    <w:rsid w:val="00EB5FF6"/>
    <w:rsid w:val="00EB605B"/>
    <w:rsid w:val="00EB617E"/>
    <w:rsid w:val="00EB61A7"/>
    <w:rsid w:val="00EB62D9"/>
    <w:rsid w:val="00EB63A4"/>
    <w:rsid w:val="00EB63C6"/>
    <w:rsid w:val="00EB64A8"/>
    <w:rsid w:val="00EB65A5"/>
    <w:rsid w:val="00EB6629"/>
    <w:rsid w:val="00EB66BD"/>
    <w:rsid w:val="00EB678C"/>
    <w:rsid w:val="00EB67DA"/>
    <w:rsid w:val="00EB689D"/>
    <w:rsid w:val="00EB6938"/>
    <w:rsid w:val="00EB6A55"/>
    <w:rsid w:val="00EB6AAA"/>
    <w:rsid w:val="00EB6AB1"/>
    <w:rsid w:val="00EB6B5F"/>
    <w:rsid w:val="00EB6D00"/>
    <w:rsid w:val="00EB6D40"/>
    <w:rsid w:val="00EB6D9A"/>
    <w:rsid w:val="00EB6E22"/>
    <w:rsid w:val="00EB6E23"/>
    <w:rsid w:val="00EB6E54"/>
    <w:rsid w:val="00EB6E78"/>
    <w:rsid w:val="00EB6E82"/>
    <w:rsid w:val="00EB6EAF"/>
    <w:rsid w:val="00EB6F04"/>
    <w:rsid w:val="00EB6F96"/>
    <w:rsid w:val="00EB707F"/>
    <w:rsid w:val="00EB70B3"/>
    <w:rsid w:val="00EB70C2"/>
    <w:rsid w:val="00EB71BD"/>
    <w:rsid w:val="00EB73BE"/>
    <w:rsid w:val="00EB74DF"/>
    <w:rsid w:val="00EB7601"/>
    <w:rsid w:val="00EB762D"/>
    <w:rsid w:val="00EB76A9"/>
    <w:rsid w:val="00EB785E"/>
    <w:rsid w:val="00EB79B8"/>
    <w:rsid w:val="00EB7C0F"/>
    <w:rsid w:val="00EB7C2A"/>
    <w:rsid w:val="00EB7D76"/>
    <w:rsid w:val="00EB7E22"/>
    <w:rsid w:val="00EC01B9"/>
    <w:rsid w:val="00EC0287"/>
    <w:rsid w:val="00EC0462"/>
    <w:rsid w:val="00EC0597"/>
    <w:rsid w:val="00EC064D"/>
    <w:rsid w:val="00EC0746"/>
    <w:rsid w:val="00EC09B1"/>
    <w:rsid w:val="00EC0AB9"/>
    <w:rsid w:val="00EC0CCE"/>
    <w:rsid w:val="00EC0D8F"/>
    <w:rsid w:val="00EC0DE7"/>
    <w:rsid w:val="00EC0EC4"/>
    <w:rsid w:val="00EC0EC9"/>
    <w:rsid w:val="00EC0EF4"/>
    <w:rsid w:val="00EC104A"/>
    <w:rsid w:val="00EC1179"/>
    <w:rsid w:val="00EC1253"/>
    <w:rsid w:val="00EC13AA"/>
    <w:rsid w:val="00EC1520"/>
    <w:rsid w:val="00EC17A2"/>
    <w:rsid w:val="00EC18C2"/>
    <w:rsid w:val="00EC18E6"/>
    <w:rsid w:val="00EC1924"/>
    <w:rsid w:val="00EC19DB"/>
    <w:rsid w:val="00EC1A35"/>
    <w:rsid w:val="00EC1B2C"/>
    <w:rsid w:val="00EC1BD7"/>
    <w:rsid w:val="00EC1BE9"/>
    <w:rsid w:val="00EC1C3A"/>
    <w:rsid w:val="00EC1CF8"/>
    <w:rsid w:val="00EC1D78"/>
    <w:rsid w:val="00EC1DC3"/>
    <w:rsid w:val="00EC1DCB"/>
    <w:rsid w:val="00EC1DFB"/>
    <w:rsid w:val="00EC233C"/>
    <w:rsid w:val="00EC2357"/>
    <w:rsid w:val="00EC243B"/>
    <w:rsid w:val="00EC245B"/>
    <w:rsid w:val="00EC246B"/>
    <w:rsid w:val="00EC24C2"/>
    <w:rsid w:val="00EC26D4"/>
    <w:rsid w:val="00EC2878"/>
    <w:rsid w:val="00EC2AB0"/>
    <w:rsid w:val="00EC2AB3"/>
    <w:rsid w:val="00EC2B46"/>
    <w:rsid w:val="00EC2BDF"/>
    <w:rsid w:val="00EC2BEC"/>
    <w:rsid w:val="00EC2BEE"/>
    <w:rsid w:val="00EC2D11"/>
    <w:rsid w:val="00EC2D5C"/>
    <w:rsid w:val="00EC2E38"/>
    <w:rsid w:val="00EC2F30"/>
    <w:rsid w:val="00EC2F35"/>
    <w:rsid w:val="00EC2FDF"/>
    <w:rsid w:val="00EC3021"/>
    <w:rsid w:val="00EC30F7"/>
    <w:rsid w:val="00EC31B8"/>
    <w:rsid w:val="00EC31CC"/>
    <w:rsid w:val="00EC3278"/>
    <w:rsid w:val="00EC32D1"/>
    <w:rsid w:val="00EC3343"/>
    <w:rsid w:val="00EC34A8"/>
    <w:rsid w:val="00EC3576"/>
    <w:rsid w:val="00EC3583"/>
    <w:rsid w:val="00EC3671"/>
    <w:rsid w:val="00EC36AF"/>
    <w:rsid w:val="00EC3750"/>
    <w:rsid w:val="00EC3827"/>
    <w:rsid w:val="00EC387B"/>
    <w:rsid w:val="00EC3991"/>
    <w:rsid w:val="00EC3AB2"/>
    <w:rsid w:val="00EC3B1D"/>
    <w:rsid w:val="00EC3B68"/>
    <w:rsid w:val="00EC3B92"/>
    <w:rsid w:val="00EC3BCC"/>
    <w:rsid w:val="00EC3CB5"/>
    <w:rsid w:val="00EC3E97"/>
    <w:rsid w:val="00EC3F3A"/>
    <w:rsid w:val="00EC3F41"/>
    <w:rsid w:val="00EC3FF8"/>
    <w:rsid w:val="00EC414D"/>
    <w:rsid w:val="00EC430F"/>
    <w:rsid w:val="00EC44BC"/>
    <w:rsid w:val="00EC44FD"/>
    <w:rsid w:val="00EC44FE"/>
    <w:rsid w:val="00EC4516"/>
    <w:rsid w:val="00EC45D5"/>
    <w:rsid w:val="00EC46F1"/>
    <w:rsid w:val="00EC481D"/>
    <w:rsid w:val="00EC487F"/>
    <w:rsid w:val="00EC4AC9"/>
    <w:rsid w:val="00EC4AD7"/>
    <w:rsid w:val="00EC4AE7"/>
    <w:rsid w:val="00EC4B4A"/>
    <w:rsid w:val="00EC4C3A"/>
    <w:rsid w:val="00EC4C5B"/>
    <w:rsid w:val="00EC4C5F"/>
    <w:rsid w:val="00EC4CC3"/>
    <w:rsid w:val="00EC4CCD"/>
    <w:rsid w:val="00EC4CD3"/>
    <w:rsid w:val="00EC4CEF"/>
    <w:rsid w:val="00EC4D38"/>
    <w:rsid w:val="00EC4D3C"/>
    <w:rsid w:val="00EC4D62"/>
    <w:rsid w:val="00EC4DE0"/>
    <w:rsid w:val="00EC4F45"/>
    <w:rsid w:val="00EC4F76"/>
    <w:rsid w:val="00EC4F9A"/>
    <w:rsid w:val="00EC50FA"/>
    <w:rsid w:val="00EC510E"/>
    <w:rsid w:val="00EC5146"/>
    <w:rsid w:val="00EC522C"/>
    <w:rsid w:val="00EC544C"/>
    <w:rsid w:val="00EC5493"/>
    <w:rsid w:val="00EC54BC"/>
    <w:rsid w:val="00EC56CB"/>
    <w:rsid w:val="00EC5743"/>
    <w:rsid w:val="00EC589C"/>
    <w:rsid w:val="00EC5B8E"/>
    <w:rsid w:val="00EC5CE5"/>
    <w:rsid w:val="00EC5CF0"/>
    <w:rsid w:val="00EC5D3A"/>
    <w:rsid w:val="00EC5D77"/>
    <w:rsid w:val="00EC5E3F"/>
    <w:rsid w:val="00EC5EE9"/>
    <w:rsid w:val="00EC607F"/>
    <w:rsid w:val="00EC6167"/>
    <w:rsid w:val="00EC6243"/>
    <w:rsid w:val="00EC638C"/>
    <w:rsid w:val="00EC6437"/>
    <w:rsid w:val="00EC6487"/>
    <w:rsid w:val="00EC64B4"/>
    <w:rsid w:val="00EC64F0"/>
    <w:rsid w:val="00EC65DB"/>
    <w:rsid w:val="00EC65EB"/>
    <w:rsid w:val="00EC665A"/>
    <w:rsid w:val="00EC676C"/>
    <w:rsid w:val="00EC677E"/>
    <w:rsid w:val="00EC6932"/>
    <w:rsid w:val="00EC6999"/>
    <w:rsid w:val="00EC69BC"/>
    <w:rsid w:val="00EC6A8D"/>
    <w:rsid w:val="00EC6B7F"/>
    <w:rsid w:val="00EC6B94"/>
    <w:rsid w:val="00EC6B95"/>
    <w:rsid w:val="00EC6D13"/>
    <w:rsid w:val="00EC6D7D"/>
    <w:rsid w:val="00EC6DBD"/>
    <w:rsid w:val="00EC6DD7"/>
    <w:rsid w:val="00EC6E00"/>
    <w:rsid w:val="00EC7046"/>
    <w:rsid w:val="00EC71A4"/>
    <w:rsid w:val="00EC7216"/>
    <w:rsid w:val="00EC7259"/>
    <w:rsid w:val="00EC73BC"/>
    <w:rsid w:val="00EC73EF"/>
    <w:rsid w:val="00EC74AB"/>
    <w:rsid w:val="00EC7572"/>
    <w:rsid w:val="00EC75D3"/>
    <w:rsid w:val="00EC7636"/>
    <w:rsid w:val="00EC763D"/>
    <w:rsid w:val="00EC7705"/>
    <w:rsid w:val="00EC77B4"/>
    <w:rsid w:val="00EC78B8"/>
    <w:rsid w:val="00EC7948"/>
    <w:rsid w:val="00EC7A54"/>
    <w:rsid w:val="00EC7A81"/>
    <w:rsid w:val="00EC7ADC"/>
    <w:rsid w:val="00EC7B14"/>
    <w:rsid w:val="00ED0035"/>
    <w:rsid w:val="00ED00C8"/>
    <w:rsid w:val="00ED021F"/>
    <w:rsid w:val="00ED0240"/>
    <w:rsid w:val="00ED0247"/>
    <w:rsid w:val="00ED0254"/>
    <w:rsid w:val="00ED0284"/>
    <w:rsid w:val="00ED03DA"/>
    <w:rsid w:val="00ED0499"/>
    <w:rsid w:val="00ED0551"/>
    <w:rsid w:val="00ED05DF"/>
    <w:rsid w:val="00ED0623"/>
    <w:rsid w:val="00ED0752"/>
    <w:rsid w:val="00ED0821"/>
    <w:rsid w:val="00ED091C"/>
    <w:rsid w:val="00ED0A0E"/>
    <w:rsid w:val="00ED0A30"/>
    <w:rsid w:val="00ED0A79"/>
    <w:rsid w:val="00ED0AE6"/>
    <w:rsid w:val="00ED0BB8"/>
    <w:rsid w:val="00ED0BFB"/>
    <w:rsid w:val="00ED0CFB"/>
    <w:rsid w:val="00ED0DFD"/>
    <w:rsid w:val="00ED0F00"/>
    <w:rsid w:val="00ED0F5A"/>
    <w:rsid w:val="00ED0FEB"/>
    <w:rsid w:val="00ED1038"/>
    <w:rsid w:val="00ED10B1"/>
    <w:rsid w:val="00ED1284"/>
    <w:rsid w:val="00ED132F"/>
    <w:rsid w:val="00ED1586"/>
    <w:rsid w:val="00ED174E"/>
    <w:rsid w:val="00ED175A"/>
    <w:rsid w:val="00ED1846"/>
    <w:rsid w:val="00ED19C9"/>
    <w:rsid w:val="00ED1A67"/>
    <w:rsid w:val="00ED1A91"/>
    <w:rsid w:val="00ED1AEE"/>
    <w:rsid w:val="00ED1B23"/>
    <w:rsid w:val="00ED1F9D"/>
    <w:rsid w:val="00ED1FEB"/>
    <w:rsid w:val="00ED2034"/>
    <w:rsid w:val="00ED21F5"/>
    <w:rsid w:val="00ED2259"/>
    <w:rsid w:val="00ED2262"/>
    <w:rsid w:val="00ED2269"/>
    <w:rsid w:val="00ED229F"/>
    <w:rsid w:val="00ED248C"/>
    <w:rsid w:val="00ED24FA"/>
    <w:rsid w:val="00ED2550"/>
    <w:rsid w:val="00ED259D"/>
    <w:rsid w:val="00ED2674"/>
    <w:rsid w:val="00ED2975"/>
    <w:rsid w:val="00ED2AF7"/>
    <w:rsid w:val="00ED2B96"/>
    <w:rsid w:val="00ED2B97"/>
    <w:rsid w:val="00ED2BB6"/>
    <w:rsid w:val="00ED2C46"/>
    <w:rsid w:val="00ED2E3F"/>
    <w:rsid w:val="00ED2E64"/>
    <w:rsid w:val="00ED2E92"/>
    <w:rsid w:val="00ED2FCF"/>
    <w:rsid w:val="00ED2FF0"/>
    <w:rsid w:val="00ED3029"/>
    <w:rsid w:val="00ED3070"/>
    <w:rsid w:val="00ED31FC"/>
    <w:rsid w:val="00ED3326"/>
    <w:rsid w:val="00ED3327"/>
    <w:rsid w:val="00ED3425"/>
    <w:rsid w:val="00ED35D1"/>
    <w:rsid w:val="00ED3606"/>
    <w:rsid w:val="00ED371D"/>
    <w:rsid w:val="00ED372A"/>
    <w:rsid w:val="00ED3766"/>
    <w:rsid w:val="00ED37BA"/>
    <w:rsid w:val="00ED37EA"/>
    <w:rsid w:val="00ED38F7"/>
    <w:rsid w:val="00ED3916"/>
    <w:rsid w:val="00ED3A4A"/>
    <w:rsid w:val="00ED3AB4"/>
    <w:rsid w:val="00ED3AFA"/>
    <w:rsid w:val="00ED3B44"/>
    <w:rsid w:val="00ED3D4A"/>
    <w:rsid w:val="00ED3DA8"/>
    <w:rsid w:val="00ED3E8E"/>
    <w:rsid w:val="00ED3EB6"/>
    <w:rsid w:val="00ED3F83"/>
    <w:rsid w:val="00ED4072"/>
    <w:rsid w:val="00ED40A5"/>
    <w:rsid w:val="00ED41DC"/>
    <w:rsid w:val="00ED426A"/>
    <w:rsid w:val="00ED453C"/>
    <w:rsid w:val="00ED45E1"/>
    <w:rsid w:val="00ED46A3"/>
    <w:rsid w:val="00ED47D2"/>
    <w:rsid w:val="00ED485E"/>
    <w:rsid w:val="00ED4A17"/>
    <w:rsid w:val="00ED4CDE"/>
    <w:rsid w:val="00ED4E01"/>
    <w:rsid w:val="00ED4EB1"/>
    <w:rsid w:val="00ED4F6E"/>
    <w:rsid w:val="00ED5007"/>
    <w:rsid w:val="00ED523B"/>
    <w:rsid w:val="00ED53C7"/>
    <w:rsid w:val="00ED53F7"/>
    <w:rsid w:val="00ED549E"/>
    <w:rsid w:val="00ED551A"/>
    <w:rsid w:val="00ED56F2"/>
    <w:rsid w:val="00ED571D"/>
    <w:rsid w:val="00ED5863"/>
    <w:rsid w:val="00ED58CE"/>
    <w:rsid w:val="00ED5963"/>
    <w:rsid w:val="00ED5970"/>
    <w:rsid w:val="00ED5984"/>
    <w:rsid w:val="00ED5A66"/>
    <w:rsid w:val="00ED5AB9"/>
    <w:rsid w:val="00ED5AEE"/>
    <w:rsid w:val="00ED5B3D"/>
    <w:rsid w:val="00ED5C2A"/>
    <w:rsid w:val="00ED5C3C"/>
    <w:rsid w:val="00ED5C8B"/>
    <w:rsid w:val="00ED5CE4"/>
    <w:rsid w:val="00ED5D65"/>
    <w:rsid w:val="00ED5D8F"/>
    <w:rsid w:val="00ED5E17"/>
    <w:rsid w:val="00ED5F1B"/>
    <w:rsid w:val="00ED602B"/>
    <w:rsid w:val="00ED6081"/>
    <w:rsid w:val="00ED628D"/>
    <w:rsid w:val="00ED633A"/>
    <w:rsid w:val="00ED6355"/>
    <w:rsid w:val="00ED6568"/>
    <w:rsid w:val="00ED65DA"/>
    <w:rsid w:val="00ED65F3"/>
    <w:rsid w:val="00ED661D"/>
    <w:rsid w:val="00ED6689"/>
    <w:rsid w:val="00ED6745"/>
    <w:rsid w:val="00ED6873"/>
    <w:rsid w:val="00ED691B"/>
    <w:rsid w:val="00ED69B6"/>
    <w:rsid w:val="00ED69BD"/>
    <w:rsid w:val="00ED69EC"/>
    <w:rsid w:val="00ED6BDE"/>
    <w:rsid w:val="00ED6C09"/>
    <w:rsid w:val="00ED6C23"/>
    <w:rsid w:val="00ED6CFD"/>
    <w:rsid w:val="00ED6D21"/>
    <w:rsid w:val="00ED6D89"/>
    <w:rsid w:val="00ED6E38"/>
    <w:rsid w:val="00ED6F0E"/>
    <w:rsid w:val="00ED6F1B"/>
    <w:rsid w:val="00ED6F6E"/>
    <w:rsid w:val="00ED6FF4"/>
    <w:rsid w:val="00ED709D"/>
    <w:rsid w:val="00ED70BE"/>
    <w:rsid w:val="00ED710A"/>
    <w:rsid w:val="00ED71E2"/>
    <w:rsid w:val="00ED7202"/>
    <w:rsid w:val="00ED7369"/>
    <w:rsid w:val="00ED7519"/>
    <w:rsid w:val="00ED753A"/>
    <w:rsid w:val="00ED7567"/>
    <w:rsid w:val="00ED75F5"/>
    <w:rsid w:val="00ED76BD"/>
    <w:rsid w:val="00ED776F"/>
    <w:rsid w:val="00ED7A6A"/>
    <w:rsid w:val="00ED7B30"/>
    <w:rsid w:val="00ED7B83"/>
    <w:rsid w:val="00ED7BB1"/>
    <w:rsid w:val="00ED7C85"/>
    <w:rsid w:val="00ED7D8D"/>
    <w:rsid w:val="00ED7E29"/>
    <w:rsid w:val="00ED7F84"/>
    <w:rsid w:val="00EE0140"/>
    <w:rsid w:val="00EE01B0"/>
    <w:rsid w:val="00EE01D1"/>
    <w:rsid w:val="00EE022F"/>
    <w:rsid w:val="00EE0239"/>
    <w:rsid w:val="00EE03E0"/>
    <w:rsid w:val="00EE043C"/>
    <w:rsid w:val="00EE0479"/>
    <w:rsid w:val="00EE0491"/>
    <w:rsid w:val="00EE053B"/>
    <w:rsid w:val="00EE064C"/>
    <w:rsid w:val="00EE06E1"/>
    <w:rsid w:val="00EE0785"/>
    <w:rsid w:val="00EE0862"/>
    <w:rsid w:val="00EE08CA"/>
    <w:rsid w:val="00EE092A"/>
    <w:rsid w:val="00EE0952"/>
    <w:rsid w:val="00EE0A30"/>
    <w:rsid w:val="00EE0AD0"/>
    <w:rsid w:val="00EE0B61"/>
    <w:rsid w:val="00EE0EB0"/>
    <w:rsid w:val="00EE0F05"/>
    <w:rsid w:val="00EE10B3"/>
    <w:rsid w:val="00EE1153"/>
    <w:rsid w:val="00EE122C"/>
    <w:rsid w:val="00EE12DD"/>
    <w:rsid w:val="00EE136E"/>
    <w:rsid w:val="00EE138D"/>
    <w:rsid w:val="00EE1471"/>
    <w:rsid w:val="00EE14AE"/>
    <w:rsid w:val="00EE14FA"/>
    <w:rsid w:val="00EE15C3"/>
    <w:rsid w:val="00EE16A9"/>
    <w:rsid w:val="00EE16CD"/>
    <w:rsid w:val="00EE17A4"/>
    <w:rsid w:val="00EE185E"/>
    <w:rsid w:val="00EE18AE"/>
    <w:rsid w:val="00EE1B7C"/>
    <w:rsid w:val="00EE1BEF"/>
    <w:rsid w:val="00EE1D3E"/>
    <w:rsid w:val="00EE1EF7"/>
    <w:rsid w:val="00EE1F22"/>
    <w:rsid w:val="00EE1FC9"/>
    <w:rsid w:val="00EE20AD"/>
    <w:rsid w:val="00EE231A"/>
    <w:rsid w:val="00EE2339"/>
    <w:rsid w:val="00EE23D5"/>
    <w:rsid w:val="00EE24C0"/>
    <w:rsid w:val="00EE24D8"/>
    <w:rsid w:val="00EE2554"/>
    <w:rsid w:val="00EE2583"/>
    <w:rsid w:val="00EE27F1"/>
    <w:rsid w:val="00EE2807"/>
    <w:rsid w:val="00EE28CE"/>
    <w:rsid w:val="00EE290E"/>
    <w:rsid w:val="00EE294B"/>
    <w:rsid w:val="00EE29DB"/>
    <w:rsid w:val="00EE2A71"/>
    <w:rsid w:val="00EE2A75"/>
    <w:rsid w:val="00EE2AB7"/>
    <w:rsid w:val="00EE2B66"/>
    <w:rsid w:val="00EE2E5E"/>
    <w:rsid w:val="00EE2EA1"/>
    <w:rsid w:val="00EE3053"/>
    <w:rsid w:val="00EE3095"/>
    <w:rsid w:val="00EE323B"/>
    <w:rsid w:val="00EE324A"/>
    <w:rsid w:val="00EE32D1"/>
    <w:rsid w:val="00EE33CD"/>
    <w:rsid w:val="00EE3440"/>
    <w:rsid w:val="00EE345A"/>
    <w:rsid w:val="00EE360E"/>
    <w:rsid w:val="00EE3614"/>
    <w:rsid w:val="00EE3626"/>
    <w:rsid w:val="00EE365D"/>
    <w:rsid w:val="00EE3831"/>
    <w:rsid w:val="00EE3C79"/>
    <w:rsid w:val="00EE3E60"/>
    <w:rsid w:val="00EE3FFD"/>
    <w:rsid w:val="00EE3FFE"/>
    <w:rsid w:val="00EE403B"/>
    <w:rsid w:val="00EE40FB"/>
    <w:rsid w:val="00EE4105"/>
    <w:rsid w:val="00EE415D"/>
    <w:rsid w:val="00EE4205"/>
    <w:rsid w:val="00EE42C9"/>
    <w:rsid w:val="00EE4333"/>
    <w:rsid w:val="00EE43B1"/>
    <w:rsid w:val="00EE43B7"/>
    <w:rsid w:val="00EE4410"/>
    <w:rsid w:val="00EE441E"/>
    <w:rsid w:val="00EE44CB"/>
    <w:rsid w:val="00EE45C2"/>
    <w:rsid w:val="00EE4684"/>
    <w:rsid w:val="00EE46E5"/>
    <w:rsid w:val="00EE4738"/>
    <w:rsid w:val="00EE474A"/>
    <w:rsid w:val="00EE47EC"/>
    <w:rsid w:val="00EE47F4"/>
    <w:rsid w:val="00EE4916"/>
    <w:rsid w:val="00EE4ACE"/>
    <w:rsid w:val="00EE4BFD"/>
    <w:rsid w:val="00EE4CF0"/>
    <w:rsid w:val="00EE4D21"/>
    <w:rsid w:val="00EE4D3C"/>
    <w:rsid w:val="00EE4E7C"/>
    <w:rsid w:val="00EE4FBB"/>
    <w:rsid w:val="00EE4FF5"/>
    <w:rsid w:val="00EE5052"/>
    <w:rsid w:val="00EE509A"/>
    <w:rsid w:val="00EE521C"/>
    <w:rsid w:val="00EE52AE"/>
    <w:rsid w:val="00EE53CC"/>
    <w:rsid w:val="00EE549F"/>
    <w:rsid w:val="00EE558A"/>
    <w:rsid w:val="00EE55E7"/>
    <w:rsid w:val="00EE567A"/>
    <w:rsid w:val="00EE5862"/>
    <w:rsid w:val="00EE5906"/>
    <w:rsid w:val="00EE5A67"/>
    <w:rsid w:val="00EE5B5A"/>
    <w:rsid w:val="00EE5BE3"/>
    <w:rsid w:val="00EE5C00"/>
    <w:rsid w:val="00EE5C45"/>
    <w:rsid w:val="00EE5CD1"/>
    <w:rsid w:val="00EE5D61"/>
    <w:rsid w:val="00EE5E93"/>
    <w:rsid w:val="00EE5E9D"/>
    <w:rsid w:val="00EE5F12"/>
    <w:rsid w:val="00EE606B"/>
    <w:rsid w:val="00EE60D0"/>
    <w:rsid w:val="00EE6349"/>
    <w:rsid w:val="00EE64FC"/>
    <w:rsid w:val="00EE65C4"/>
    <w:rsid w:val="00EE65EC"/>
    <w:rsid w:val="00EE65FD"/>
    <w:rsid w:val="00EE67B0"/>
    <w:rsid w:val="00EE6812"/>
    <w:rsid w:val="00EE6819"/>
    <w:rsid w:val="00EE6868"/>
    <w:rsid w:val="00EE687E"/>
    <w:rsid w:val="00EE6889"/>
    <w:rsid w:val="00EE6941"/>
    <w:rsid w:val="00EE6961"/>
    <w:rsid w:val="00EE69B2"/>
    <w:rsid w:val="00EE6A29"/>
    <w:rsid w:val="00EE6B36"/>
    <w:rsid w:val="00EE6DD9"/>
    <w:rsid w:val="00EE6E8D"/>
    <w:rsid w:val="00EE6ED7"/>
    <w:rsid w:val="00EE6ED9"/>
    <w:rsid w:val="00EE7035"/>
    <w:rsid w:val="00EE72D8"/>
    <w:rsid w:val="00EE7456"/>
    <w:rsid w:val="00EE75E1"/>
    <w:rsid w:val="00EE760C"/>
    <w:rsid w:val="00EE76CB"/>
    <w:rsid w:val="00EE7794"/>
    <w:rsid w:val="00EE783F"/>
    <w:rsid w:val="00EE790C"/>
    <w:rsid w:val="00EE797C"/>
    <w:rsid w:val="00EE7AB2"/>
    <w:rsid w:val="00EE7B13"/>
    <w:rsid w:val="00EE7BB4"/>
    <w:rsid w:val="00EE7BE9"/>
    <w:rsid w:val="00EE7C40"/>
    <w:rsid w:val="00EE7CEC"/>
    <w:rsid w:val="00EE7D83"/>
    <w:rsid w:val="00EE7D9B"/>
    <w:rsid w:val="00EE7DCB"/>
    <w:rsid w:val="00EE7E25"/>
    <w:rsid w:val="00EE7F04"/>
    <w:rsid w:val="00EE7F61"/>
    <w:rsid w:val="00EE7FAA"/>
    <w:rsid w:val="00EF0103"/>
    <w:rsid w:val="00EF01DA"/>
    <w:rsid w:val="00EF0308"/>
    <w:rsid w:val="00EF033A"/>
    <w:rsid w:val="00EF04E7"/>
    <w:rsid w:val="00EF0500"/>
    <w:rsid w:val="00EF0621"/>
    <w:rsid w:val="00EF0643"/>
    <w:rsid w:val="00EF0657"/>
    <w:rsid w:val="00EF0684"/>
    <w:rsid w:val="00EF06DD"/>
    <w:rsid w:val="00EF0721"/>
    <w:rsid w:val="00EF07CF"/>
    <w:rsid w:val="00EF0907"/>
    <w:rsid w:val="00EF097B"/>
    <w:rsid w:val="00EF09E7"/>
    <w:rsid w:val="00EF0C0B"/>
    <w:rsid w:val="00EF0C3D"/>
    <w:rsid w:val="00EF0C93"/>
    <w:rsid w:val="00EF0CDC"/>
    <w:rsid w:val="00EF0D80"/>
    <w:rsid w:val="00EF0E30"/>
    <w:rsid w:val="00EF0EAC"/>
    <w:rsid w:val="00EF1193"/>
    <w:rsid w:val="00EF1208"/>
    <w:rsid w:val="00EF1220"/>
    <w:rsid w:val="00EF1233"/>
    <w:rsid w:val="00EF1284"/>
    <w:rsid w:val="00EF1493"/>
    <w:rsid w:val="00EF14AD"/>
    <w:rsid w:val="00EF1697"/>
    <w:rsid w:val="00EF171E"/>
    <w:rsid w:val="00EF1860"/>
    <w:rsid w:val="00EF1980"/>
    <w:rsid w:val="00EF19D8"/>
    <w:rsid w:val="00EF1AE4"/>
    <w:rsid w:val="00EF1B66"/>
    <w:rsid w:val="00EF1CEC"/>
    <w:rsid w:val="00EF1EB2"/>
    <w:rsid w:val="00EF1F1F"/>
    <w:rsid w:val="00EF1F67"/>
    <w:rsid w:val="00EF1FA4"/>
    <w:rsid w:val="00EF1FB6"/>
    <w:rsid w:val="00EF1FD3"/>
    <w:rsid w:val="00EF1FEC"/>
    <w:rsid w:val="00EF2002"/>
    <w:rsid w:val="00EF2005"/>
    <w:rsid w:val="00EF215E"/>
    <w:rsid w:val="00EF2242"/>
    <w:rsid w:val="00EF224F"/>
    <w:rsid w:val="00EF229A"/>
    <w:rsid w:val="00EF22E3"/>
    <w:rsid w:val="00EF2332"/>
    <w:rsid w:val="00EF2486"/>
    <w:rsid w:val="00EF2490"/>
    <w:rsid w:val="00EF2494"/>
    <w:rsid w:val="00EF24C1"/>
    <w:rsid w:val="00EF24CA"/>
    <w:rsid w:val="00EF261E"/>
    <w:rsid w:val="00EF2660"/>
    <w:rsid w:val="00EF26EB"/>
    <w:rsid w:val="00EF2756"/>
    <w:rsid w:val="00EF280A"/>
    <w:rsid w:val="00EF2822"/>
    <w:rsid w:val="00EF28AF"/>
    <w:rsid w:val="00EF2B60"/>
    <w:rsid w:val="00EF2BEE"/>
    <w:rsid w:val="00EF2CD4"/>
    <w:rsid w:val="00EF2DD9"/>
    <w:rsid w:val="00EF2DE5"/>
    <w:rsid w:val="00EF2EA0"/>
    <w:rsid w:val="00EF2F3B"/>
    <w:rsid w:val="00EF2F9C"/>
    <w:rsid w:val="00EF3008"/>
    <w:rsid w:val="00EF3065"/>
    <w:rsid w:val="00EF3115"/>
    <w:rsid w:val="00EF332D"/>
    <w:rsid w:val="00EF3427"/>
    <w:rsid w:val="00EF34C2"/>
    <w:rsid w:val="00EF34E1"/>
    <w:rsid w:val="00EF3532"/>
    <w:rsid w:val="00EF3596"/>
    <w:rsid w:val="00EF3663"/>
    <w:rsid w:val="00EF36E1"/>
    <w:rsid w:val="00EF373C"/>
    <w:rsid w:val="00EF385C"/>
    <w:rsid w:val="00EF391E"/>
    <w:rsid w:val="00EF3991"/>
    <w:rsid w:val="00EF3A28"/>
    <w:rsid w:val="00EF3A29"/>
    <w:rsid w:val="00EF3C2E"/>
    <w:rsid w:val="00EF3C5C"/>
    <w:rsid w:val="00EF3F1F"/>
    <w:rsid w:val="00EF3F26"/>
    <w:rsid w:val="00EF4108"/>
    <w:rsid w:val="00EF413F"/>
    <w:rsid w:val="00EF4144"/>
    <w:rsid w:val="00EF41E9"/>
    <w:rsid w:val="00EF436A"/>
    <w:rsid w:val="00EF439C"/>
    <w:rsid w:val="00EF43C5"/>
    <w:rsid w:val="00EF43EC"/>
    <w:rsid w:val="00EF4425"/>
    <w:rsid w:val="00EF44E5"/>
    <w:rsid w:val="00EF4527"/>
    <w:rsid w:val="00EF45B0"/>
    <w:rsid w:val="00EF463C"/>
    <w:rsid w:val="00EF4680"/>
    <w:rsid w:val="00EF4698"/>
    <w:rsid w:val="00EF4722"/>
    <w:rsid w:val="00EF486F"/>
    <w:rsid w:val="00EF4910"/>
    <w:rsid w:val="00EF4A39"/>
    <w:rsid w:val="00EF4B98"/>
    <w:rsid w:val="00EF4C1C"/>
    <w:rsid w:val="00EF4C58"/>
    <w:rsid w:val="00EF4D52"/>
    <w:rsid w:val="00EF4DE5"/>
    <w:rsid w:val="00EF4E3F"/>
    <w:rsid w:val="00EF4F5D"/>
    <w:rsid w:val="00EF4FB4"/>
    <w:rsid w:val="00EF5015"/>
    <w:rsid w:val="00EF5034"/>
    <w:rsid w:val="00EF5511"/>
    <w:rsid w:val="00EF55D2"/>
    <w:rsid w:val="00EF56AC"/>
    <w:rsid w:val="00EF56E6"/>
    <w:rsid w:val="00EF5825"/>
    <w:rsid w:val="00EF5A2B"/>
    <w:rsid w:val="00EF5ACC"/>
    <w:rsid w:val="00EF5B07"/>
    <w:rsid w:val="00EF5BA5"/>
    <w:rsid w:val="00EF5BFC"/>
    <w:rsid w:val="00EF5C5F"/>
    <w:rsid w:val="00EF5C93"/>
    <w:rsid w:val="00EF5CFE"/>
    <w:rsid w:val="00EF5D6D"/>
    <w:rsid w:val="00EF5E6A"/>
    <w:rsid w:val="00EF621F"/>
    <w:rsid w:val="00EF62A2"/>
    <w:rsid w:val="00EF62E3"/>
    <w:rsid w:val="00EF6352"/>
    <w:rsid w:val="00EF6651"/>
    <w:rsid w:val="00EF6661"/>
    <w:rsid w:val="00EF6749"/>
    <w:rsid w:val="00EF6750"/>
    <w:rsid w:val="00EF67F0"/>
    <w:rsid w:val="00EF687C"/>
    <w:rsid w:val="00EF6B55"/>
    <w:rsid w:val="00EF6BBB"/>
    <w:rsid w:val="00EF6C1E"/>
    <w:rsid w:val="00EF6C5C"/>
    <w:rsid w:val="00EF6CCD"/>
    <w:rsid w:val="00EF6D19"/>
    <w:rsid w:val="00EF6FE1"/>
    <w:rsid w:val="00EF6FEF"/>
    <w:rsid w:val="00EF71EF"/>
    <w:rsid w:val="00EF7206"/>
    <w:rsid w:val="00EF7237"/>
    <w:rsid w:val="00EF7346"/>
    <w:rsid w:val="00EF7371"/>
    <w:rsid w:val="00EF738F"/>
    <w:rsid w:val="00EF739C"/>
    <w:rsid w:val="00EF73B3"/>
    <w:rsid w:val="00EF74C7"/>
    <w:rsid w:val="00EF7633"/>
    <w:rsid w:val="00EF76AD"/>
    <w:rsid w:val="00EF76C4"/>
    <w:rsid w:val="00EF77EE"/>
    <w:rsid w:val="00EF7834"/>
    <w:rsid w:val="00EF792D"/>
    <w:rsid w:val="00EF793C"/>
    <w:rsid w:val="00EF7952"/>
    <w:rsid w:val="00EF7993"/>
    <w:rsid w:val="00EF79E6"/>
    <w:rsid w:val="00EF7A9B"/>
    <w:rsid w:val="00EF7AFF"/>
    <w:rsid w:val="00EF7CAC"/>
    <w:rsid w:val="00EF7CD6"/>
    <w:rsid w:val="00EF7CE0"/>
    <w:rsid w:val="00EF7D4C"/>
    <w:rsid w:val="00EF7D64"/>
    <w:rsid w:val="00EF7D82"/>
    <w:rsid w:val="00EF7F07"/>
    <w:rsid w:val="00EF7F0E"/>
    <w:rsid w:val="00EF7FB5"/>
    <w:rsid w:val="00F00245"/>
    <w:rsid w:val="00F00273"/>
    <w:rsid w:val="00F002B2"/>
    <w:rsid w:val="00F002D1"/>
    <w:rsid w:val="00F002D7"/>
    <w:rsid w:val="00F00435"/>
    <w:rsid w:val="00F00558"/>
    <w:rsid w:val="00F00668"/>
    <w:rsid w:val="00F006FB"/>
    <w:rsid w:val="00F00779"/>
    <w:rsid w:val="00F007A8"/>
    <w:rsid w:val="00F007C9"/>
    <w:rsid w:val="00F007E0"/>
    <w:rsid w:val="00F00883"/>
    <w:rsid w:val="00F008D9"/>
    <w:rsid w:val="00F00B5D"/>
    <w:rsid w:val="00F00C61"/>
    <w:rsid w:val="00F00C6C"/>
    <w:rsid w:val="00F00CC2"/>
    <w:rsid w:val="00F00D04"/>
    <w:rsid w:val="00F00D34"/>
    <w:rsid w:val="00F00E6D"/>
    <w:rsid w:val="00F00E92"/>
    <w:rsid w:val="00F00F13"/>
    <w:rsid w:val="00F00F6B"/>
    <w:rsid w:val="00F00F7D"/>
    <w:rsid w:val="00F00FEC"/>
    <w:rsid w:val="00F010BD"/>
    <w:rsid w:val="00F010D1"/>
    <w:rsid w:val="00F010F4"/>
    <w:rsid w:val="00F01224"/>
    <w:rsid w:val="00F0135F"/>
    <w:rsid w:val="00F01381"/>
    <w:rsid w:val="00F01446"/>
    <w:rsid w:val="00F01463"/>
    <w:rsid w:val="00F01487"/>
    <w:rsid w:val="00F0155E"/>
    <w:rsid w:val="00F017FF"/>
    <w:rsid w:val="00F01820"/>
    <w:rsid w:val="00F01919"/>
    <w:rsid w:val="00F0194E"/>
    <w:rsid w:val="00F01A72"/>
    <w:rsid w:val="00F01AD7"/>
    <w:rsid w:val="00F01B81"/>
    <w:rsid w:val="00F01CBB"/>
    <w:rsid w:val="00F01E18"/>
    <w:rsid w:val="00F01EA3"/>
    <w:rsid w:val="00F01F56"/>
    <w:rsid w:val="00F02071"/>
    <w:rsid w:val="00F02178"/>
    <w:rsid w:val="00F021A5"/>
    <w:rsid w:val="00F0235F"/>
    <w:rsid w:val="00F02533"/>
    <w:rsid w:val="00F02570"/>
    <w:rsid w:val="00F025B7"/>
    <w:rsid w:val="00F026B8"/>
    <w:rsid w:val="00F02757"/>
    <w:rsid w:val="00F02A5C"/>
    <w:rsid w:val="00F02D8E"/>
    <w:rsid w:val="00F02DD1"/>
    <w:rsid w:val="00F02DDD"/>
    <w:rsid w:val="00F02E58"/>
    <w:rsid w:val="00F02EAF"/>
    <w:rsid w:val="00F02FDE"/>
    <w:rsid w:val="00F03078"/>
    <w:rsid w:val="00F0315C"/>
    <w:rsid w:val="00F032AD"/>
    <w:rsid w:val="00F032AF"/>
    <w:rsid w:val="00F03342"/>
    <w:rsid w:val="00F03389"/>
    <w:rsid w:val="00F0343E"/>
    <w:rsid w:val="00F034FD"/>
    <w:rsid w:val="00F036D3"/>
    <w:rsid w:val="00F03712"/>
    <w:rsid w:val="00F0373B"/>
    <w:rsid w:val="00F0373C"/>
    <w:rsid w:val="00F03743"/>
    <w:rsid w:val="00F03982"/>
    <w:rsid w:val="00F039A6"/>
    <w:rsid w:val="00F039FD"/>
    <w:rsid w:val="00F03AD3"/>
    <w:rsid w:val="00F03B88"/>
    <w:rsid w:val="00F03BB2"/>
    <w:rsid w:val="00F03CE3"/>
    <w:rsid w:val="00F03D14"/>
    <w:rsid w:val="00F03D70"/>
    <w:rsid w:val="00F040CF"/>
    <w:rsid w:val="00F041A1"/>
    <w:rsid w:val="00F041F8"/>
    <w:rsid w:val="00F043B2"/>
    <w:rsid w:val="00F043CB"/>
    <w:rsid w:val="00F043DE"/>
    <w:rsid w:val="00F0440F"/>
    <w:rsid w:val="00F0447E"/>
    <w:rsid w:val="00F04514"/>
    <w:rsid w:val="00F0464A"/>
    <w:rsid w:val="00F046AC"/>
    <w:rsid w:val="00F046D5"/>
    <w:rsid w:val="00F04758"/>
    <w:rsid w:val="00F0475F"/>
    <w:rsid w:val="00F04801"/>
    <w:rsid w:val="00F048AF"/>
    <w:rsid w:val="00F04A09"/>
    <w:rsid w:val="00F04A5D"/>
    <w:rsid w:val="00F04A83"/>
    <w:rsid w:val="00F04AC4"/>
    <w:rsid w:val="00F04AE7"/>
    <w:rsid w:val="00F04BB2"/>
    <w:rsid w:val="00F04C53"/>
    <w:rsid w:val="00F04C96"/>
    <w:rsid w:val="00F04EA7"/>
    <w:rsid w:val="00F04F0F"/>
    <w:rsid w:val="00F04F10"/>
    <w:rsid w:val="00F04F17"/>
    <w:rsid w:val="00F04FD5"/>
    <w:rsid w:val="00F0501B"/>
    <w:rsid w:val="00F05252"/>
    <w:rsid w:val="00F05256"/>
    <w:rsid w:val="00F05275"/>
    <w:rsid w:val="00F05303"/>
    <w:rsid w:val="00F0533D"/>
    <w:rsid w:val="00F0537F"/>
    <w:rsid w:val="00F05463"/>
    <w:rsid w:val="00F0550C"/>
    <w:rsid w:val="00F055A1"/>
    <w:rsid w:val="00F055AB"/>
    <w:rsid w:val="00F055F4"/>
    <w:rsid w:val="00F0564D"/>
    <w:rsid w:val="00F056AF"/>
    <w:rsid w:val="00F05701"/>
    <w:rsid w:val="00F057A0"/>
    <w:rsid w:val="00F05859"/>
    <w:rsid w:val="00F058C2"/>
    <w:rsid w:val="00F05914"/>
    <w:rsid w:val="00F0598A"/>
    <w:rsid w:val="00F059B6"/>
    <w:rsid w:val="00F05A38"/>
    <w:rsid w:val="00F05A59"/>
    <w:rsid w:val="00F05B34"/>
    <w:rsid w:val="00F05BE1"/>
    <w:rsid w:val="00F05C45"/>
    <w:rsid w:val="00F05C6A"/>
    <w:rsid w:val="00F05D04"/>
    <w:rsid w:val="00F05D5F"/>
    <w:rsid w:val="00F05DB7"/>
    <w:rsid w:val="00F05ECE"/>
    <w:rsid w:val="00F05F3F"/>
    <w:rsid w:val="00F06064"/>
    <w:rsid w:val="00F060F8"/>
    <w:rsid w:val="00F0636F"/>
    <w:rsid w:val="00F06384"/>
    <w:rsid w:val="00F06564"/>
    <w:rsid w:val="00F065A0"/>
    <w:rsid w:val="00F065BC"/>
    <w:rsid w:val="00F065D6"/>
    <w:rsid w:val="00F066E9"/>
    <w:rsid w:val="00F06771"/>
    <w:rsid w:val="00F06874"/>
    <w:rsid w:val="00F068AC"/>
    <w:rsid w:val="00F068F8"/>
    <w:rsid w:val="00F06934"/>
    <w:rsid w:val="00F0695A"/>
    <w:rsid w:val="00F06998"/>
    <w:rsid w:val="00F06B02"/>
    <w:rsid w:val="00F06B9D"/>
    <w:rsid w:val="00F06B9E"/>
    <w:rsid w:val="00F06BAF"/>
    <w:rsid w:val="00F06CB3"/>
    <w:rsid w:val="00F06CD3"/>
    <w:rsid w:val="00F06D6B"/>
    <w:rsid w:val="00F06EB3"/>
    <w:rsid w:val="00F06EFC"/>
    <w:rsid w:val="00F06F24"/>
    <w:rsid w:val="00F07005"/>
    <w:rsid w:val="00F070C5"/>
    <w:rsid w:val="00F07352"/>
    <w:rsid w:val="00F074BC"/>
    <w:rsid w:val="00F075BE"/>
    <w:rsid w:val="00F075D1"/>
    <w:rsid w:val="00F076CA"/>
    <w:rsid w:val="00F07792"/>
    <w:rsid w:val="00F077A9"/>
    <w:rsid w:val="00F0785B"/>
    <w:rsid w:val="00F079D5"/>
    <w:rsid w:val="00F07BD3"/>
    <w:rsid w:val="00F07C01"/>
    <w:rsid w:val="00F07C93"/>
    <w:rsid w:val="00F07D5E"/>
    <w:rsid w:val="00F07D71"/>
    <w:rsid w:val="00F07E61"/>
    <w:rsid w:val="00F07E9B"/>
    <w:rsid w:val="00F07EEC"/>
    <w:rsid w:val="00F07F0E"/>
    <w:rsid w:val="00F100DE"/>
    <w:rsid w:val="00F10127"/>
    <w:rsid w:val="00F10136"/>
    <w:rsid w:val="00F10182"/>
    <w:rsid w:val="00F102B5"/>
    <w:rsid w:val="00F103D0"/>
    <w:rsid w:val="00F104D0"/>
    <w:rsid w:val="00F10537"/>
    <w:rsid w:val="00F10626"/>
    <w:rsid w:val="00F10687"/>
    <w:rsid w:val="00F106BD"/>
    <w:rsid w:val="00F106FA"/>
    <w:rsid w:val="00F10712"/>
    <w:rsid w:val="00F1088E"/>
    <w:rsid w:val="00F10974"/>
    <w:rsid w:val="00F109BA"/>
    <w:rsid w:val="00F10A15"/>
    <w:rsid w:val="00F10A3A"/>
    <w:rsid w:val="00F10A93"/>
    <w:rsid w:val="00F10BB9"/>
    <w:rsid w:val="00F10CEB"/>
    <w:rsid w:val="00F10E03"/>
    <w:rsid w:val="00F10FF6"/>
    <w:rsid w:val="00F11174"/>
    <w:rsid w:val="00F1121C"/>
    <w:rsid w:val="00F112F2"/>
    <w:rsid w:val="00F11661"/>
    <w:rsid w:val="00F11718"/>
    <w:rsid w:val="00F118A6"/>
    <w:rsid w:val="00F118AA"/>
    <w:rsid w:val="00F118F4"/>
    <w:rsid w:val="00F11900"/>
    <w:rsid w:val="00F11951"/>
    <w:rsid w:val="00F11997"/>
    <w:rsid w:val="00F119C7"/>
    <w:rsid w:val="00F119DF"/>
    <w:rsid w:val="00F11ADB"/>
    <w:rsid w:val="00F11B69"/>
    <w:rsid w:val="00F11B73"/>
    <w:rsid w:val="00F11C63"/>
    <w:rsid w:val="00F11D39"/>
    <w:rsid w:val="00F11D40"/>
    <w:rsid w:val="00F11E6B"/>
    <w:rsid w:val="00F11EA7"/>
    <w:rsid w:val="00F11EF0"/>
    <w:rsid w:val="00F11F28"/>
    <w:rsid w:val="00F11F8E"/>
    <w:rsid w:val="00F120D0"/>
    <w:rsid w:val="00F12174"/>
    <w:rsid w:val="00F121C6"/>
    <w:rsid w:val="00F121F3"/>
    <w:rsid w:val="00F121F6"/>
    <w:rsid w:val="00F1223E"/>
    <w:rsid w:val="00F12382"/>
    <w:rsid w:val="00F123F9"/>
    <w:rsid w:val="00F124CB"/>
    <w:rsid w:val="00F124DC"/>
    <w:rsid w:val="00F125A5"/>
    <w:rsid w:val="00F12694"/>
    <w:rsid w:val="00F127A1"/>
    <w:rsid w:val="00F12884"/>
    <w:rsid w:val="00F12894"/>
    <w:rsid w:val="00F12B17"/>
    <w:rsid w:val="00F12B73"/>
    <w:rsid w:val="00F12C53"/>
    <w:rsid w:val="00F12E13"/>
    <w:rsid w:val="00F12E81"/>
    <w:rsid w:val="00F12F65"/>
    <w:rsid w:val="00F12FD3"/>
    <w:rsid w:val="00F1306E"/>
    <w:rsid w:val="00F130B3"/>
    <w:rsid w:val="00F13164"/>
    <w:rsid w:val="00F1319F"/>
    <w:rsid w:val="00F131E4"/>
    <w:rsid w:val="00F131EE"/>
    <w:rsid w:val="00F132F2"/>
    <w:rsid w:val="00F13308"/>
    <w:rsid w:val="00F13395"/>
    <w:rsid w:val="00F133A5"/>
    <w:rsid w:val="00F1345E"/>
    <w:rsid w:val="00F1348E"/>
    <w:rsid w:val="00F13492"/>
    <w:rsid w:val="00F1352D"/>
    <w:rsid w:val="00F13534"/>
    <w:rsid w:val="00F1375E"/>
    <w:rsid w:val="00F137A8"/>
    <w:rsid w:val="00F138FF"/>
    <w:rsid w:val="00F1399A"/>
    <w:rsid w:val="00F13BA0"/>
    <w:rsid w:val="00F13C49"/>
    <w:rsid w:val="00F13D41"/>
    <w:rsid w:val="00F13D6A"/>
    <w:rsid w:val="00F13E25"/>
    <w:rsid w:val="00F13EAC"/>
    <w:rsid w:val="00F13F06"/>
    <w:rsid w:val="00F13F38"/>
    <w:rsid w:val="00F141A3"/>
    <w:rsid w:val="00F14267"/>
    <w:rsid w:val="00F142BC"/>
    <w:rsid w:val="00F1436A"/>
    <w:rsid w:val="00F143A3"/>
    <w:rsid w:val="00F14442"/>
    <w:rsid w:val="00F1452B"/>
    <w:rsid w:val="00F1457E"/>
    <w:rsid w:val="00F145E1"/>
    <w:rsid w:val="00F14604"/>
    <w:rsid w:val="00F146E4"/>
    <w:rsid w:val="00F1485B"/>
    <w:rsid w:val="00F14889"/>
    <w:rsid w:val="00F148DE"/>
    <w:rsid w:val="00F1491A"/>
    <w:rsid w:val="00F14D76"/>
    <w:rsid w:val="00F14DE1"/>
    <w:rsid w:val="00F14ED4"/>
    <w:rsid w:val="00F14F58"/>
    <w:rsid w:val="00F150C7"/>
    <w:rsid w:val="00F150F4"/>
    <w:rsid w:val="00F150F6"/>
    <w:rsid w:val="00F152F5"/>
    <w:rsid w:val="00F153CE"/>
    <w:rsid w:val="00F154BD"/>
    <w:rsid w:val="00F154ED"/>
    <w:rsid w:val="00F15539"/>
    <w:rsid w:val="00F15544"/>
    <w:rsid w:val="00F1555D"/>
    <w:rsid w:val="00F155D6"/>
    <w:rsid w:val="00F1561A"/>
    <w:rsid w:val="00F1566E"/>
    <w:rsid w:val="00F156EA"/>
    <w:rsid w:val="00F157E7"/>
    <w:rsid w:val="00F1588F"/>
    <w:rsid w:val="00F159CD"/>
    <w:rsid w:val="00F159F9"/>
    <w:rsid w:val="00F15A24"/>
    <w:rsid w:val="00F15B1F"/>
    <w:rsid w:val="00F15B83"/>
    <w:rsid w:val="00F15C1F"/>
    <w:rsid w:val="00F15C3A"/>
    <w:rsid w:val="00F15C7B"/>
    <w:rsid w:val="00F15DB3"/>
    <w:rsid w:val="00F15FCA"/>
    <w:rsid w:val="00F1616E"/>
    <w:rsid w:val="00F1618C"/>
    <w:rsid w:val="00F162F4"/>
    <w:rsid w:val="00F16340"/>
    <w:rsid w:val="00F16528"/>
    <w:rsid w:val="00F16574"/>
    <w:rsid w:val="00F1658F"/>
    <w:rsid w:val="00F1667C"/>
    <w:rsid w:val="00F16744"/>
    <w:rsid w:val="00F167CE"/>
    <w:rsid w:val="00F167EC"/>
    <w:rsid w:val="00F1684F"/>
    <w:rsid w:val="00F16880"/>
    <w:rsid w:val="00F16923"/>
    <w:rsid w:val="00F169AA"/>
    <w:rsid w:val="00F16A4A"/>
    <w:rsid w:val="00F16A75"/>
    <w:rsid w:val="00F16B18"/>
    <w:rsid w:val="00F16B5E"/>
    <w:rsid w:val="00F16BD5"/>
    <w:rsid w:val="00F16C66"/>
    <w:rsid w:val="00F16CA4"/>
    <w:rsid w:val="00F16DC1"/>
    <w:rsid w:val="00F16ECA"/>
    <w:rsid w:val="00F17034"/>
    <w:rsid w:val="00F17154"/>
    <w:rsid w:val="00F17259"/>
    <w:rsid w:val="00F17287"/>
    <w:rsid w:val="00F17516"/>
    <w:rsid w:val="00F1757B"/>
    <w:rsid w:val="00F17596"/>
    <w:rsid w:val="00F17650"/>
    <w:rsid w:val="00F1793B"/>
    <w:rsid w:val="00F179FF"/>
    <w:rsid w:val="00F17A84"/>
    <w:rsid w:val="00F17AA0"/>
    <w:rsid w:val="00F17B6A"/>
    <w:rsid w:val="00F17B75"/>
    <w:rsid w:val="00F17BEB"/>
    <w:rsid w:val="00F17C33"/>
    <w:rsid w:val="00F17C83"/>
    <w:rsid w:val="00F17CC3"/>
    <w:rsid w:val="00F17D88"/>
    <w:rsid w:val="00F17DA8"/>
    <w:rsid w:val="00F17E84"/>
    <w:rsid w:val="00F17FEC"/>
    <w:rsid w:val="00F20022"/>
    <w:rsid w:val="00F20030"/>
    <w:rsid w:val="00F200CB"/>
    <w:rsid w:val="00F20213"/>
    <w:rsid w:val="00F20230"/>
    <w:rsid w:val="00F20250"/>
    <w:rsid w:val="00F20281"/>
    <w:rsid w:val="00F202AD"/>
    <w:rsid w:val="00F20396"/>
    <w:rsid w:val="00F20459"/>
    <w:rsid w:val="00F20640"/>
    <w:rsid w:val="00F20650"/>
    <w:rsid w:val="00F206D4"/>
    <w:rsid w:val="00F20729"/>
    <w:rsid w:val="00F2074C"/>
    <w:rsid w:val="00F20771"/>
    <w:rsid w:val="00F20860"/>
    <w:rsid w:val="00F20896"/>
    <w:rsid w:val="00F20A33"/>
    <w:rsid w:val="00F20AC1"/>
    <w:rsid w:val="00F20B70"/>
    <w:rsid w:val="00F20D45"/>
    <w:rsid w:val="00F20D76"/>
    <w:rsid w:val="00F20EF5"/>
    <w:rsid w:val="00F20F60"/>
    <w:rsid w:val="00F211CA"/>
    <w:rsid w:val="00F21226"/>
    <w:rsid w:val="00F21456"/>
    <w:rsid w:val="00F2150D"/>
    <w:rsid w:val="00F217BE"/>
    <w:rsid w:val="00F217D7"/>
    <w:rsid w:val="00F2182C"/>
    <w:rsid w:val="00F21922"/>
    <w:rsid w:val="00F21B01"/>
    <w:rsid w:val="00F21B6C"/>
    <w:rsid w:val="00F21B85"/>
    <w:rsid w:val="00F21BF8"/>
    <w:rsid w:val="00F21C34"/>
    <w:rsid w:val="00F21CB9"/>
    <w:rsid w:val="00F21CC0"/>
    <w:rsid w:val="00F21D49"/>
    <w:rsid w:val="00F21DF6"/>
    <w:rsid w:val="00F21E3D"/>
    <w:rsid w:val="00F21E50"/>
    <w:rsid w:val="00F21FCA"/>
    <w:rsid w:val="00F2215B"/>
    <w:rsid w:val="00F22295"/>
    <w:rsid w:val="00F223C3"/>
    <w:rsid w:val="00F2247C"/>
    <w:rsid w:val="00F2251D"/>
    <w:rsid w:val="00F227A6"/>
    <w:rsid w:val="00F22A26"/>
    <w:rsid w:val="00F22A30"/>
    <w:rsid w:val="00F22A83"/>
    <w:rsid w:val="00F22AAD"/>
    <w:rsid w:val="00F22B0F"/>
    <w:rsid w:val="00F22BBE"/>
    <w:rsid w:val="00F22C78"/>
    <w:rsid w:val="00F22D0A"/>
    <w:rsid w:val="00F22D2E"/>
    <w:rsid w:val="00F22D48"/>
    <w:rsid w:val="00F22DF1"/>
    <w:rsid w:val="00F22EF0"/>
    <w:rsid w:val="00F23007"/>
    <w:rsid w:val="00F23189"/>
    <w:rsid w:val="00F231AB"/>
    <w:rsid w:val="00F23203"/>
    <w:rsid w:val="00F23292"/>
    <w:rsid w:val="00F2330B"/>
    <w:rsid w:val="00F23325"/>
    <w:rsid w:val="00F23334"/>
    <w:rsid w:val="00F233A2"/>
    <w:rsid w:val="00F23456"/>
    <w:rsid w:val="00F234A6"/>
    <w:rsid w:val="00F234E2"/>
    <w:rsid w:val="00F235EA"/>
    <w:rsid w:val="00F236B5"/>
    <w:rsid w:val="00F236C2"/>
    <w:rsid w:val="00F23821"/>
    <w:rsid w:val="00F238D9"/>
    <w:rsid w:val="00F239D6"/>
    <w:rsid w:val="00F23AD1"/>
    <w:rsid w:val="00F23D9C"/>
    <w:rsid w:val="00F23E7D"/>
    <w:rsid w:val="00F23FAA"/>
    <w:rsid w:val="00F2403A"/>
    <w:rsid w:val="00F240AC"/>
    <w:rsid w:val="00F2415C"/>
    <w:rsid w:val="00F24297"/>
    <w:rsid w:val="00F242CF"/>
    <w:rsid w:val="00F245B4"/>
    <w:rsid w:val="00F2481A"/>
    <w:rsid w:val="00F2481C"/>
    <w:rsid w:val="00F24839"/>
    <w:rsid w:val="00F24A0D"/>
    <w:rsid w:val="00F24B03"/>
    <w:rsid w:val="00F24BE8"/>
    <w:rsid w:val="00F24D75"/>
    <w:rsid w:val="00F24F85"/>
    <w:rsid w:val="00F2502D"/>
    <w:rsid w:val="00F2508A"/>
    <w:rsid w:val="00F25259"/>
    <w:rsid w:val="00F25381"/>
    <w:rsid w:val="00F253BF"/>
    <w:rsid w:val="00F25424"/>
    <w:rsid w:val="00F25439"/>
    <w:rsid w:val="00F25482"/>
    <w:rsid w:val="00F254F7"/>
    <w:rsid w:val="00F2550A"/>
    <w:rsid w:val="00F25514"/>
    <w:rsid w:val="00F2557C"/>
    <w:rsid w:val="00F256B7"/>
    <w:rsid w:val="00F257EC"/>
    <w:rsid w:val="00F2599F"/>
    <w:rsid w:val="00F25A86"/>
    <w:rsid w:val="00F25B37"/>
    <w:rsid w:val="00F25BFE"/>
    <w:rsid w:val="00F25C6A"/>
    <w:rsid w:val="00F25CC6"/>
    <w:rsid w:val="00F25D0B"/>
    <w:rsid w:val="00F25E50"/>
    <w:rsid w:val="00F25F02"/>
    <w:rsid w:val="00F25FD1"/>
    <w:rsid w:val="00F26050"/>
    <w:rsid w:val="00F26186"/>
    <w:rsid w:val="00F262D1"/>
    <w:rsid w:val="00F262D2"/>
    <w:rsid w:val="00F262EC"/>
    <w:rsid w:val="00F26347"/>
    <w:rsid w:val="00F263FE"/>
    <w:rsid w:val="00F264AB"/>
    <w:rsid w:val="00F264F2"/>
    <w:rsid w:val="00F264F5"/>
    <w:rsid w:val="00F26510"/>
    <w:rsid w:val="00F2652E"/>
    <w:rsid w:val="00F26620"/>
    <w:rsid w:val="00F266F6"/>
    <w:rsid w:val="00F26775"/>
    <w:rsid w:val="00F2689E"/>
    <w:rsid w:val="00F26AA0"/>
    <w:rsid w:val="00F26AEB"/>
    <w:rsid w:val="00F26C02"/>
    <w:rsid w:val="00F26C65"/>
    <w:rsid w:val="00F26DA4"/>
    <w:rsid w:val="00F26DC9"/>
    <w:rsid w:val="00F26DF6"/>
    <w:rsid w:val="00F27074"/>
    <w:rsid w:val="00F2709C"/>
    <w:rsid w:val="00F271B1"/>
    <w:rsid w:val="00F271C8"/>
    <w:rsid w:val="00F2731F"/>
    <w:rsid w:val="00F27390"/>
    <w:rsid w:val="00F27484"/>
    <w:rsid w:val="00F275BF"/>
    <w:rsid w:val="00F27703"/>
    <w:rsid w:val="00F27722"/>
    <w:rsid w:val="00F27779"/>
    <w:rsid w:val="00F277C0"/>
    <w:rsid w:val="00F278CA"/>
    <w:rsid w:val="00F278E6"/>
    <w:rsid w:val="00F27941"/>
    <w:rsid w:val="00F2799E"/>
    <w:rsid w:val="00F279C1"/>
    <w:rsid w:val="00F27A06"/>
    <w:rsid w:val="00F27A36"/>
    <w:rsid w:val="00F27C38"/>
    <w:rsid w:val="00F27CA5"/>
    <w:rsid w:val="00F27D43"/>
    <w:rsid w:val="00F27D59"/>
    <w:rsid w:val="00F27EB6"/>
    <w:rsid w:val="00F27F83"/>
    <w:rsid w:val="00F30031"/>
    <w:rsid w:val="00F300D6"/>
    <w:rsid w:val="00F300DA"/>
    <w:rsid w:val="00F3033D"/>
    <w:rsid w:val="00F3038E"/>
    <w:rsid w:val="00F305DA"/>
    <w:rsid w:val="00F305EF"/>
    <w:rsid w:val="00F308F8"/>
    <w:rsid w:val="00F3092D"/>
    <w:rsid w:val="00F30A2C"/>
    <w:rsid w:val="00F30A92"/>
    <w:rsid w:val="00F30C3D"/>
    <w:rsid w:val="00F30CE5"/>
    <w:rsid w:val="00F30CF6"/>
    <w:rsid w:val="00F30D86"/>
    <w:rsid w:val="00F30DA7"/>
    <w:rsid w:val="00F30E8D"/>
    <w:rsid w:val="00F30EB0"/>
    <w:rsid w:val="00F30F93"/>
    <w:rsid w:val="00F31001"/>
    <w:rsid w:val="00F31061"/>
    <w:rsid w:val="00F312A5"/>
    <w:rsid w:val="00F3130B"/>
    <w:rsid w:val="00F313C4"/>
    <w:rsid w:val="00F313E2"/>
    <w:rsid w:val="00F3140C"/>
    <w:rsid w:val="00F31427"/>
    <w:rsid w:val="00F314A0"/>
    <w:rsid w:val="00F315F9"/>
    <w:rsid w:val="00F316DD"/>
    <w:rsid w:val="00F3177A"/>
    <w:rsid w:val="00F317F7"/>
    <w:rsid w:val="00F31937"/>
    <w:rsid w:val="00F31AA9"/>
    <w:rsid w:val="00F31C74"/>
    <w:rsid w:val="00F31D84"/>
    <w:rsid w:val="00F31DDC"/>
    <w:rsid w:val="00F31E71"/>
    <w:rsid w:val="00F31FD0"/>
    <w:rsid w:val="00F31FE1"/>
    <w:rsid w:val="00F32188"/>
    <w:rsid w:val="00F321D7"/>
    <w:rsid w:val="00F32211"/>
    <w:rsid w:val="00F32389"/>
    <w:rsid w:val="00F3241A"/>
    <w:rsid w:val="00F3245B"/>
    <w:rsid w:val="00F32620"/>
    <w:rsid w:val="00F3269F"/>
    <w:rsid w:val="00F32707"/>
    <w:rsid w:val="00F32916"/>
    <w:rsid w:val="00F32971"/>
    <w:rsid w:val="00F329B4"/>
    <w:rsid w:val="00F329CE"/>
    <w:rsid w:val="00F32AC4"/>
    <w:rsid w:val="00F32AF4"/>
    <w:rsid w:val="00F32BA5"/>
    <w:rsid w:val="00F32C31"/>
    <w:rsid w:val="00F32D83"/>
    <w:rsid w:val="00F32DCA"/>
    <w:rsid w:val="00F32DE1"/>
    <w:rsid w:val="00F32DF8"/>
    <w:rsid w:val="00F32DF9"/>
    <w:rsid w:val="00F32E17"/>
    <w:rsid w:val="00F32FB6"/>
    <w:rsid w:val="00F3310C"/>
    <w:rsid w:val="00F33142"/>
    <w:rsid w:val="00F33175"/>
    <w:rsid w:val="00F331E6"/>
    <w:rsid w:val="00F33210"/>
    <w:rsid w:val="00F33315"/>
    <w:rsid w:val="00F33402"/>
    <w:rsid w:val="00F33572"/>
    <w:rsid w:val="00F3359A"/>
    <w:rsid w:val="00F335DC"/>
    <w:rsid w:val="00F33612"/>
    <w:rsid w:val="00F3368E"/>
    <w:rsid w:val="00F3369B"/>
    <w:rsid w:val="00F336AD"/>
    <w:rsid w:val="00F3378F"/>
    <w:rsid w:val="00F338D5"/>
    <w:rsid w:val="00F338EF"/>
    <w:rsid w:val="00F33924"/>
    <w:rsid w:val="00F33984"/>
    <w:rsid w:val="00F33A06"/>
    <w:rsid w:val="00F33A47"/>
    <w:rsid w:val="00F33B63"/>
    <w:rsid w:val="00F33CF7"/>
    <w:rsid w:val="00F33D26"/>
    <w:rsid w:val="00F33DEF"/>
    <w:rsid w:val="00F33DFB"/>
    <w:rsid w:val="00F33EB7"/>
    <w:rsid w:val="00F33FAE"/>
    <w:rsid w:val="00F34060"/>
    <w:rsid w:val="00F340E1"/>
    <w:rsid w:val="00F34273"/>
    <w:rsid w:val="00F3427F"/>
    <w:rsid w:val="00F3430A"/>
    <w:rsid w:val="00F3439D"/>
    <w:rsid w:val="00F343CA"/>
    <w:rsid w:val="00F3441E"/>
    <w:rsid w:val="00F34556"/>
    <w:rsid w:val="00F345AA"/>
    <w:rsid w:val="00F34615"/>
    <w:rsid w:val="00F34656"/>
    <w:rsid w:val="00F346E8"/>
    <w:rsid w:val="00F3476D"/>
    <w:rsid w:val="00F347C6"/>
    <w:rsid w:val="00F3480A"/>
    <w:rsid w:val="00F3483A"/>
    <w:rsid w:val="00F34869"/>
    <w:rsid w:val="00F34891"/>
    <w:rsid w:val="00F34967"/>
    <w:rsid w:val="00F34968"/>
    <w:rsid w:val="00F34974"/>
    <w:rsid w:val="00F349E4"/>
    <w:rsid w:val="00F349ED"/>
    <w:rsid w:val="00F34C25"/>
    <w:rsid w:val="00F34D54"/>
    <w:rsid w:val="00F34D68"/>
    <w:rsid w:val="00F34DA0"/>
    <w:rsid w:val="00F34E94"/>
    <w:rsid w:val="00F34F48"/>
    <w:rsid w:val="00F35053"/>
    <w:rsid w:val="00F350F0"/>
    <w:rsid w:val="00F35191"/>
    <w:rsid w:val="00F35244"/>
    <w:rsid w:val="00F35326"/>
    <w:rsid w:val="00F35329"/>
    <w:rsid w:val="00F353B1"/>
    <w:rsid w:val="00F3543E"/>
    <w:rsid w:val="00F35588"/>
    <w:rsid w:val="00F35678"/>
    <w:rsid w:val="00F356B1"/>
    <w:rsid w:val="00F35798"/>
    <w:rsid w:val="00F357A9"/>
    <w:rsid w:val="00F3595E"/>
    <w:rsid w:val="00F359E4"/>
    <w:rsid w:val="00F35AB7"/>
    <w:rsid w:val="00F35BD6"/>
    <w:rsid w:val="00F35E55"/>
    <w:rsid w:val="00F35EAD"/>
    <w:rsid w:val="00F35F08"/>
    <w:rsid w:val="00F35FD5"/>
    <w:rsid w:val="00F36059"/>
    <w:rsid w:val="00F361CF"/>
    <w:rsid w:val="00F361E3"/>
    <w:rsid w:val="00F36213"/>
    <w:rsid w:val="00F36286"/>
    <w:rsid w:val="00F36328"/>
    <w:rsid w:val="00F36412"/>
    <w:rsid w:val="00F36417"/>
    <w:rsid w:val="00F36495"/>
    <w:rsid w:val="00F364D2"/>
    <w:rsid w:val="00F36612"/>
    <w:rsid w:val="00F3673F"/>
    <w:rsid w:val="00F367A3"/>
    <w:rsid w:val="00F36824"/>
    <w:rsid w:val="00F3684B"/>
    <w:rsid w:val="00F36853"/>
    <w:rsid w:val="00F3687F"/>
    <w:rsid w:val="00F368D1"/>
    <w:rsid w:val="00F3693D"/>
    <w:rsid w:val="00F369CF"/>
    <w:rsid w:val="00F36A0E"/>
    <w:rsid w:val="00F36AC5"/>
    <w:rsid w:val="00F36CB2"/>
    <w:rsid w:val="00F36D58"/>
    <w:rsid w:val="00F36EDE"/>
    <w:rsid w:val="00F370C1"/>
    <w:rsid w:val="00F37150"/>
    <w:rsid w:val="00F37154"/>
    <w:rsid w:val="00F371E0"/>
    <w:rsid w:val="00F373B1"/>
    <w:rsid w:val="00F374C2"/>
    <w:rsid w:val="00F37593"/>
    <w:rsid w:val="00F375F4"/>
    <w:rsid w:val="00F37635"/>
    <w:rsid w:val="00F37699"/>
    <w:rsid w:val="00F376DB"/>
    <w:rsid w:val="00F376EE"/>
    <w:rsid w:val="00F376F9"/>
    <w:rsid w:val="00F37737"/>
    <w:rsid w:val="00F3783D"/>
    <w:rsid w:val="00F37871"/>
    <w:rsid w:val="00F379D8"/>
    <w:rsid w:val="00F379E5"/>
    <w:rsid w:val="00F37AB6"/>
    <w:rsid w:val="00F37AC6"/>
    <w:rsid w:val="00F37ACA"/>
    <w:rsid w:val="00F37B04"/>
    <w:rsid w:val="00F37C0A"/>
    <w:rsid w:val="00F37C43"/>
    <w:rsid w:val="00F37D24"/>
    <w:rsid w:val="00F37D84"/>
    <w:rsid w:val="00F37DBC"/>
    <w:rsid w:val="00F37DDC"/>
    <w:rsid w:val="00F37E00"/>
    <w:rsid w:val="00F37E37"/>
    <w:rsid w:val="00F37F4D"/>
    <w:rsid w:val="00F37FA8"/>
    <w:rsid w:val="00F40075"/>
    <w:rsid w:val="00F400A7"/>
    <w:rsid w:val="00F401B1"/>
    <w:rsid w:val="00F4024F"/>
    <w:rsid w:val="00F40466"/>
    <w:rsid w:val="00F4069C"/>
    <w:rsid w:val="00F406D1"/>
    <w:rsid w:val="00F40753"/>
    <w:rsid w:val="00F40892"/>
    <w:rsid w:val="00F40952"/>
    <w:rsid w:val="00F40A86"/>
    <w:rsid w:val="00F40AC6"/>
    <w:rsid w:val="00F40AC7"/>
    <w:rsid w:val="00F40B64"/>
    <w:rsid w:val="00F40BF9"/>
    <w:rsid w:val="00F40C95"/>
    <w:rsid w:val="00F40CE9"/>
    <w:rsid w:val="00F40D18"/>
    <w:rsid w:val="00F40E9E"/>
    <w:rsid w:val="00F40EE0"/>
    <w:rsid w:val="00F40EE7"/>
    <w:rsid w:val="00F40F1E"/>
    <w:rsid w:val="00F40FBC"/>
    <w:rsid w:val="00F41025"/>
    <w:rsid w:val="00F41152"/>
    <w:rsid w:val="00F411D5"/>
    <w:rsid w:val="00F411D8"/>
    <w:rsid w:val="00F41267"/>
    <w:rsid w:val="00F413B5"/>
    <w:rsid w:val="00F413DB"/>
    <w:rsid w:val="00F413F3"/>
    <w:rsid w:val="00F413FF"/>
    <w:rsid w:val="00F4144F"/>
    <w:rsid w:val="00F414A2"/>
    <w:rsid w:val="00F41603"/>
    <w:rsid w:val="00F41639"/>
    <w:rsid w:val="00F41712"/>
    <w:rsid w:val="00F41767"/>
    <w:rsid w:val="00F41846"/>
    <w:rsid w:val="00F41867"/>
    <w:rsid w:val="00F418EA"/>
    <w:rsid w:val="00F41920"/>
    <w:rsid w:val="00F4198D"/>
    <w:rsid w:val="00F41A19"/>
    <w:rsid w:val="00F41B14"/>
    <w:rsid w:val="00F41BAB"/>
    <w:rsid w:val="00F41E63"/>
    <w:rsid w:val="00F41EB4"/>
    <w:rsid w:val="00F41F21"/>
    <w:rsid w:val="00F4206B"/>
    <w:rsid w:val="00F42175"/>
    <w:rsid w:val="00F422C7"/>
    <w:rsid w:val="00F424A2"/>
    <w:rsid w:val="00F424BA"/>
    <w:rsid w:val="00F4274F"/>
    <w:rsid w:val="00F427BC"/>
    <w:rsid w:val="00F427F5"/>
    <w:rsid w:val="00F4280F"/>
    <w:rsid w:val="00F4283E"/>
    <w:rsid w:val="00F42850"/>
    <w:rsid w:val="00F429DA"/>
    <w:rsid w:val="00F42B07"/>
    <w:rsid w:val="00F42B61"/>
    <w:rsid w:val="00F42B76"/>
    <w:rsid w:val="00F42CA6"/>
    <w:rsid w:val="00F42D63"/>
    <w:rsid w:val="00F42E8F"/>
    <w:rsid w:val="00F42F7B"/>
    <w:rsid w:val="00F42F86"/>
    <w:rsid w:val="00F42FE6"/>
    <w:rsid w:val="00F431E5"/>
    <w:rsid w:val="00F431F7"/>
    <w:rsid w:val="00F43220"/>
    <w:rsid w:val="00F43262"/>
    <w:rsid w:val="00F43348"/>
    <w:rsid w:val="00F433B1"/>
    <w:rsid w:val="00F4340B"/>
    <w:rsid w:val="00F435BE"/>
    <w:rsid w:val="00F435DE"/>
    <w:rsid w:val="00F4363F"/>
    <w:rsid w:val="00F43681"/>
    <w:rsid w:val="00F437FA"/>
    <w:rsid w:val="00F4383A"/>
    <w:rsid w:val="00F43859"/>
    <w:rsid w:val="00F438BD"/>
    <w:rsid w:val="00F4398D"/>
    <w:rsid w:val="00F43AC8"/>
    <w:rsid w:val="00F43AD8"/>
    <w:rsid w:val="00F43B73"/>
    <w:rsid w:val="00F43C1E"/>
    <w:rsid w:val="00F43C40"/>
    <w:rsid w:val="00F43CC6"/>
    <w:rsid w:val="00F43CD2"/>
    <w:rsid w:val="00F43D46"/>
    <w:rsid w:val="00F43D7A"/>
    <w:rsid w:val="00F43D98"/>
    <w:rsid w:val="00F43E15"/>
    <w:rsid w:val="00F43E8E"/>
    <w:rsid w:val="00F43EEE"/>
    <w:rsid w:val="00F43F10"/>
    <w:rsid w:val="00F440AF"/>
    <w:rsid w:val="00F440C9"/>
    <w:rsid w:val="00F441F1"/>
    <w:rsid w:val="00F4420C"/>
    <w:rsid w:val="00F44454"/>
    <w:rsid w:val="00F444F8"/>
    <w:rsid w:val="00F445CA"/>
    <w:rsid w:val="00F4465C"/>
    <w:rsid w:val="00F44688"/>
    <w:rsid w:val="00F446A7"/>
    <w:rsid w:val="00F446AE"/>
    <w:rsid w:val="00F4474F"/>
    <w:rsid w:val="00F447AE"/>
    <w:rsid w:val="00F44847"/>
    <w:rsid w:val="00F44A36"/>
    <w:rsid w:val="00F44AD3"/>
    <w:rsid w:val="00F44B76"/>
    <w:rsid w:val="00F44B83"/>
    <w:rsid w:val="00F44C19"/>
    <w:rsid w:val="00F44C4A"/>
    <w:rsid w:val="00F44CB2"/>
    <w:rsid w:val="00F44E3F"/>
    <w:rsid w:val="00F44E9E"/>
    <w:rsid w:val="00F44EE7"/>
    <w:rsid w:val="00F44FE9"/>
    <w:rsid w:val="00F45015"/>
    <w:rsid w:val="00F45029"/>
    <w:rsid w:val="00F4506B"/>
    <w:rsid w:val="00F450E9"/>
    <w:rsid w:val="00F452A6"/>
    <w:rsid w:val="00F4530B"/>
    <w:rsid w:val="00F45484"/>
    <w:rsid w:val="00F45500"/>
    <w:rsid w:val="00F456AC"/>
    <w:rsid w:val="00F4574E"/>
    <w:rsid w:val="00F457C2"/>
    <w:rsid w:val="00F457F1"/>
    <w:rsid w:val="00F45832"/>
    <w:rsid w:val="00F4583A"/>
    <w:rsid w:val="00F45854"/>
    <w:rsid w:val="00F459D3"/>
    <w:rsid w:val="00F45A95"/>
    <w:rsid w:val="00F45B4F"/>
    <w:rsid w:val="00F45B7F"/>
    <w:rsid w:val="00F45C94"/>
    <w:rsid w:val="00F45DCC"/>
    <w:rsid w:val="00F45E3F"/>
    <w:rsid w:val="00F45ECE"/>
    <w:rsid w:val="00F45EDE"/>
    <w:rsid w:val="00F45F66"/>
    <w:rsid w:val="00F4606F"/>
    <w:rsid w:val="00F46168"/>
    <w:rsid w:val="00F46240"/>
    <w:rsid w:val="00F462E2"/>
    <w:rsid w:val="00F46363"/>
    <w:rsid w:val="00F46538"/>
    <w:rsid w:val="00F4680D"/>
    <w:rsid w:val="00F4696D"/>
    <w:rsid w:val="00F469EE"/>
    <w:rsid w:val="00F46A28"/>
    <w:rsid w:val="00F46B6D"/>
    <w:rsid w:val="00F46C04"/>
    <w:rsid w:val="00F46C82"/>
    <w:rsid w:val="00F46D6C"/>
    <w:rsid w:val="00F46D7E"/>
    <w:rsid w:val="00F46D94"/>
    <w:rsid w:val="00F46E69"/>
    <w:rsid w:val="00F46EF4"/>
    <w:rsid w:val="00F46F10"/>
    <w:rsid w:val="00F46F28"/>
    <w:rsid w:val="00F46F8A"/>
    <w:rsid w:val="00F47039"/>
    <w:rsid w:val="00F47088"/>
    <w:rsid w:val="00F471B6"/>
    <w:rsid w:val="00F471D3"/>
    <w:rsid w:val="00F47216"/>
    <w:rsid w:val="00F47226"/>
    <w:rsid w:val="00F4737B"/>
    <w:rsid w:val="00F474A8"/>
    <w:rsid w:val="00F474B9"/>
    <w:rsid w:val="00F4766C"/>
    <w:rsid w:val="00F476AC"/>
    <w:rsid w:val="00F476E6"/>
    <w:rsid w:val="00F4792A"/>
    <w:rsid w:val="00F47ABF"/>
    <w:rsid w:val="00F47B7F"/>
    <w:rsid w:val="00F47B89"/>
    <w:rsid w:val="00F47BA0"/>
    <w:rsid w:val="00F47BA2"/>
    <w:rsid w:val="00F47CC2"/>
    <w:rsid w:val="00F47DA4"/>
    <w:rsid w:val="00F47DE5"/>
    <w:rsid w:val="00F47F7C"/>
    <w:rsid w:val="00F47FD4"/>
    <w:rsid w:val="00F50182"/>
    <w:rsid w:val="00F50232"/>
    <w:rsid w:val="00F5026E"/>
    <w:rsid w:val="00F502F0"/>
    <w:rsid w:val="00F5034D"/>
    <w:rsid w:val="00F50375"/>
    <w:rsid w:val="00F50377"/>
    <w:rsid w:val="00F5037B"/>
    <w:rsid w:val="00F5039E"/>
    <w:rsid w:val="00F503D0"/>
    <w:rsid w:val="00F504AB"/>
    <w:rsid w:val="00F505AC"/>
    <w:rsid w:val="00F505B7"/>
    <w:rsid w:val="00F505F1"/>
    <w:rsid w:val="00F506D6"/>
    <w:rsid w:val="00F50721"/>
    <w:rsid w:val="00F507FC"/>
    <w:rsid w:val="00F50A45"/>
    <w:rsid w:val="00F50A8D"/>
    <w:rsid w:val="00F50AF6"/>
    <w:rsid w:val="00F50BBA"/>
    <w:rsid w:val="00F50C3B"/>
    <w:rsid w:val="00F50CC7"/>
    <w:rsid w:val="00F50CF9"/>
    <w:rsid w:val="00F50D20"/>
    <w:rsid w:val="00F50D3D"/>
    <w:rsid w:val="00F511DC"/>
    <w:rsid w:val="00F512D3"/>
    <w:rsid w:val="00F512EF"/>
    <w:rsid w:val="00F513B0"/>
    <w:rsid w:val="00F513CF"/>
    <w:rsid w:val="00F51620"/>
    <w:rsid w:val="00F5179C"/>
    <w:rsid w:val="00F51BEB"/>
    <w:rsid w:val="00F51CAD"/>
    <w:rsid w:val="00F51DEF"/>
    <w:rsid w:val="00F51E65"/>
    <w:rsid w:val="00F51EA2"/>
    <w:rsid w:val="00F51ED9"/>
    <w:rsid w:val="00F51EE4"/>
    <w:rsid w:val="00F51EFD"/>
    <w:rsid w:val="00F51F0A"/>
    <w:rsid w:val="00F51F3F"/>
    <w:rsid w:val="00F51F91"/>
    <w:rsid w:val="00F51FA3"/>
    <w:rsid w:val="00F51FDE"/>
    <w:rsid w:val="00F521BC"/>
    <w:rsid w:val="00F5233F"/>
    <w:rsid w:val="00F52362"/>
    <w:rsid w:val="00F52441"/>
    <w:rsid w:val="00F52475"/>
    <w:rsid w:val="00F52543"/>
    <w:rsid w:val="00F525B5"/>
    <w:rsid w:val="00F525C8"/>
    <w:rsid w:val="00F52645"/>
    <w:rsid w:val="00F5267B"/>
    <w:rsid w:val="00F5277F"/>
    <w:rsid w:val="00F52806"/>
    <w:rsid w:val="00F5297B"/>
    <w:rsid w:val="00F529A0"/>
    <w:rsid w:val="00F529E1"/>
    <w:rsid w:val="00F52B4C"/>
    <w:rsid w:val="00F52C07"/>
    <w:rsid w:val="00F52C78"/>
    <w:rsid w:val="00F52D56"/>
    <w:rsid w:val="00F52E4A"/>
    <w:rsid w:val="00F52E9C"/>
    <w:rsid w:val="00F52F13"/>
    <w:rsid w:val="00F52FB1"/>
    <w:rsid w:val="00F53099"/>
    <w:rsid w:val="00F5316B"/>
    <w:rsid w:val="00F532CE"/>
    <w:rsid w:val="00F53336"/>
    <w:rsid w:val="00F5342A"/>
    <w:rsid w:val="00F53531"/>
    <w:rsid w:val="00F53606"/>
    <w:rsid w:val="00F53699"/>
    <w:rsid w:val="00F536CF"/>
    <w:rsid w:val="00F536F2"/>
    <w:rsid w:val="00F538DD"/>
    <w:rsid w:val="00F53934"/>
    <w:rsid w:val="00F539DC"/>
    <w:rsid w:val="00F53ABE"/>
    <w:rsid w:val="00F53CC1"/>
    <w:rsid w:val="00F53CC3"/>
    <w:rsid w:val="00F53CF8"/>
    <w:rsid w:val="00F53D45"/>
    <w:rsid w:val="00F53EA9"/>
    <w:rsid w:val="00F53ED8"/>
    <w:rsid w:val="00F53FC0"/>
    <w:rsid w:val="00F54003"/>
    <w:rsid w:val="00F5401D"/>
    <w:rsid w:val="00F540FB"/>
    <w:rsid w:val="00F54228"/>
    <w:rsid w:val="00F542DA"/>
    <w:rsid w:val="00F542FA"/>
    <w:rsid w:val="00F544C3"/>
    <w:rsid w:val="00F54541"/>
    <w:rsid w:val="00F5465D"/>
    <w:rsid w:val="00F54730"/>
    <w:rsid w:val="00F5477E"/>
    <w:rsid w:val="00F54816"/>
    <w:rsid w:val="00F548BD"/>
    <w:rsid w:val="00F5494D"/>
    <w:rsid w:val="00F54A13"/>
    <w:rsid w:val="00F54A1C"/>
    <w:rsid w:val="00F54B68"/>
    <w:rsid w:val="00F54BB8"/>
    <w:rsid w:val="00F54CE2"/>
    <w:rsid w:val="00F54CF3"/>
    <w:rsid w:val="00F550B0"/>
    <w:rsid w:val="00F55230"/>
    <w:rsid w:val="00F55253"/>
    <w:rsid w:val="00F55284"/>
    <w:rsid w:val="00F55309"/>
    <w:rsid w:val="00F55525"/>
    <w:rsid w:val="00F55550"/>
    <w:rsid w:val="00F5557E"/>
    <w:rsid w:val="00F5558D"/>
    <w:rsid w:val="00F555EE"/>
    <w:rsid w:val="00F556CA"/>
    <w:rsid w:val="00F5585B"/>
    <w:rsid w:val="00F558D9"/>
    <w:rsid w:val="00F5595F"/>
    <w:rsid w:val="00F5599A"/>
    <w:rsid w:val="00F55A7D"/>
    <w:rsid w:val="00F55BB7"/>
    <w:rsid w:val="00F55C7B"/>
    <w:rsid w:val="00F55DE4"/>
    <w:rsid w:val="00F55DE5"/>
    <w:rsid w:val="00F55EC4"/>
    <w:rsid w:val="00F560F4"/>
    <w:rsid w:val="00F561B0"/>
    <w:rsid w:val="00F562D0"/>
    <w:rsid w:val="00F562FC"/>
    <w:rsid w:val="00F56342"/>
    <w:rsid w:val="00F563C0"/>
    <w:rsid w:val="00F56416"/>
    <w:rsid w:val="00F5641E"/>
    <w:rsid w:val="00F5648E"/>
    <w:rsid w:val="00F5649F"/>
    <w:rsid w:val="00F5653F"/>
    <w:rsid w:val="00F56602"/>
    <w:rsid w:val="00F56626"/>
    <w:rsid w:val="00F5662A"/>
    <w:rsid w:val="00F567AE"/>
    <w:rsid w:val="00F568D6"/>
    <w:rsid w:val="00F56925"/>
    <w:rsid w:val="00F569BF"/>
    <w:rsid w:val="00F569C2"/>
    <w:rsid w:val="00F569F2"/>
    <w:rsid w:val="00F56A97"/>
    <w:rsid w:val="00F56ACF"/>
    <w:rsid w:val="00F56AE9"/>
    <w:rsid w:val="00F56B5A"/>
    <w:rsid w:val="00F56CAC"/>
    <w:rsid w:val="00F56D13"/>
    <w:rsid w:val="00F56E6E"/>
    <w:rsid w:val="00F56EB7"/>
    <w:rsid w:val="00F56EB8"/>
    <w:rsid w:val="00F56F0C"/>
    <w:rsid w:val="00F56FA3"/>
    <w:rsid w:val="00F5706F"/>
    <w:rsid w:val="00F570BA"/>
    <w:rsid w:val="00F57144"/>
    <w:rsid w:val="00F5714C"/>
    <w:rsid w:val="00F5719D"/>
    <w:rsid w:val="00F571A8"/>
    <w:rsid w:val="00F57255"/>
    <w:rsid w:val="00F572EA"/>
    <w:rsid w:val="00F5733C"/>
    <w:rsid w:val="00F573D7"/>
    <w:rsid w:val="00F573F5"/>
    <w:rsid w:val="00F575BD"/>
    <w:rsid w:val="00F57671"/>
    <w:rsid w:val="00F5770A"/>
    <w:rsid w:val="00F577C8"/>
    <w:rsid w:val="00F57AAB"/>
    <w:rsid w:val="00F57D79"/>
    <w:rsid w:val="00F57D9F"/>
    <w:rsid w:val="00F57E4B"/>
    <w:rsid w:val="00F57EE1"/>
    <w:rsid w:val="00F57FC8"/>
    <w:rsid w:val="00F57FFD"/>
    <w:rsid w:val="00F60077"/>
    <w:rsid w:val="00F60085"/>
    <w:rsid w:val="00F601CC"/>
    <w:rsid w:val="00F602D0"/>
    <w:rsid w:val="00F60333"/>
    <w:rsid w:val="00F6037E"/>
    <w:rsid w:val="00F60421"/>
    <w:rsid w:val="00F60484"/>
    <w:rsid w:val="00F6054A"/>
    <w:rsid w:val="00F6066D"/>
    <w:rsid w:val="00F6073E"/>
    <w:rsid w:val="00F608D3"/>
    <w:rsid w:val="00F60966"/>
    <w:rsid w:val="00F609F3"/>
    <w:rsid w:val="00F60A1E"/>
    <w:rsid w:val="00F60A81"/>
    <w:rsid w:val="00F60AE5"/>
    <w:rsid w:val="00F60C7E"/>
    <w:rsid w:val="00F6100C"/>
    <w:rsid w:val="00F610F9"/>
    <w:rsid w:val="00F611EB"/>
    <w:rsid w:val="00F6122B"/>
    <w:rsid w:val="00F6133E"/>
    <w:rsid w:val="00F61392"/>
    <w:rsid w:val="00F6142E"/>
    <w:rsid w:val="00F61465"/>
    <w:rsid w:val="00F61700"/>
    <w:rsid w:val="00F617DE"/>
    <w:rsid w:val="00F617E2"/>
    <w:rsid w:val="00F61927"/>
    <w:rsid w:val="00F61935"/>
    <w:rsid w:val="00F619A5"/>
    <w:rsid w:val="00F61A08"/>
    <w:rsid w:val="00F61AB8"/>
    <w:rsid w:val="00F61B5C"/>
    <w:rsid w:val="00F61B8E"/>
    <w:rsid w:val="00F61C00"/>
    <w:rsid w:val="00F61C61"/>
    <w:rsid w:val="00F61DB4"/>
    <w:rsid w:val="00F61E56"/>
    <w:rsid w:val="00F61E63"/>
    <w:rsid w:val="00F61E95"/>
    <w:rsid w:val="00F6209A"/>
    <w:rsid w:val="00F621EA"/>
    <w:rsid w:val="00F6223C"/>
    <w:rsid w:val="00F622CF"/>
    <w:rsid w:val="00F622E6"/>
    <w:rsid w:val="00F6232E"/>
    <w:rsid w:val="00F62455"/>
    <w:rsid w:val="00F62555"/>
    <w:rsid w:val="00F626B2"/>
    <w:rsid w:val="00F6273B"/>
    <w:rsid w:val="00F62942"/>
    <w:rsid w:val="00F62AC9"/>
    <w:rsid w:val="00F62DA1"/>
    <w:rsid w:val="00F62E87"/>
    <w:rsid w:val="00F62EA6"/>
    <w:rsid w:val="00F62ED1"/>
    <w:rsid w:val="00F63160"/>
    <w:rsid w:val="00F63162"/>
    <w:rsid w:val="00F63255"/>
    <w:rsid w:val="00F632D0"/>
    <w:rsid w:val="00F632FB"/>
    <w:rsid w:val="00F6336E"/>
    <w:rsid w:val="00F6339A"/>
    <w:rsid w:val="00F6340A"/>
    <w:rsid w:val="00F63445"/>
    <w:rsid w:val="00F635E0"/>
    <w:rsid w:val="00F63732"/>
    <w:rsid w:val="00F637E0"/>
    <w:rsid w:val="00F6384E"/>
    <w:rsid w:val="00F638D5"/>
    <w:rsid w:val="00F63941"/>
    <w:rsid w:val="00F63A65"/>
    <w:rsid w:val="00F63A68"/>
    <w:rsid w:val="00F63A6F"/>
    <w:rsid w:val="00F63B50"/>
    <w:rsid w:val="00F63BE6"/>
    <w:rsid w:val="00F63C16"/>
    <w:rsid w:val="00F63C18"/>
    <w:rsid w:val="00F63C93"/>
    <w:rsid w:val="00F63DDC"/>
    <w:rsid w:val="00F63E1F"/>
    <w:rsid w:val="00F63E34"/>
    <w:rsid w:val="00F63EB1"/>
    <w:rsid w:val="00F63F93"/>
    <w:rsid w:val="00F63F9E"/>
    <w:rsid w:val="00F6412E"/>
    <w:rsid w:val="00F6419A"/>
    <w:rsid w:val="00F64262"/>
    <w:rsid w:val="00F642DB"/>
    <w:rsid w:val="00F643AB"/>
    <w:rsid w:val="00F643E7"/>
    <w:rsid w:val="00F645D6"/>
    <w:rsid w:val="00F646AA"/>
    <w:rsid w:val="00F646E5"/>
    <w:rsid w:val="00F64778"/>
    <w:rsid w:val="00F648A2"/>
    <w:rsid w:val="00F648D3"/>
    <w:rsid w:val="00F64AFD"/>
    <w:rsid w:val="00F64DC0"/>
    <w:rsid w:val="00F64E1A"/>
    <w:rsid w:val="00F6511F"/>
    <w:rsid w:val="00F651A6"/>
    <w:rsid w:val="00F651CB"/>
    <w:rsid w:val="00F651D7"/>
    <w:rsid w:val="00F651FB"/>
    <w:rsid w:val="00F65283"/>
    <w:rsid w:val="00F652E8"/>
    <w:rsid w:val="00F652EF"/>
    <w:rsid w:val="00F65316"/>
    <w:rsid w:val="00F6533D"/>
    <w:rsid w:val="00F653BE"/>
    <w:rsid w:val="00F6543E"/>
    <w:rsid w:val="00F655DB"/>
    <w:rsid w:val="00F65663"/>
    <w:rsid w:val="00F656E9"/>
    <w:rsid w:val="00F65886"/>
    <w:rsid w:val="00F6596C"/>
    <w:rsid w:val="00F6597C"/>
    <w:rsid w:val="00F65993"/>
    <w:rsid w:val="00F65A46"/>
    <w:rsid w:val="00F65D99"/>
    <w:rsid w:val="00F65EA6"/>
    <w:rsid w:val="00F65ED7"/>
    <w:rsid w:val="00F65EE4"/>
    <w:rsid w:val="00F65EEF"/>
    <w:rsid w:val="00F6604E"/>
    <w:rsid w:val="00F660F7"/>
    <w:rsid w:val="00F6612C"/>
    <w:rsid w:val="00F661A5"/>
    <w:rsid w:val="00F661B5"/>
    <w:rsid w:val="00F661DA"/>
    <w:rsid w:val="00F6627E"/>
    <w:rsid w:val="00F663CD"/>
    <w:rsid w:val="00F6656A"/>
    <w:rsid w:val="00F66597"/>
    <w:rsid w:val="00F665E0"/>
    <w:rsid w:val="00F665E9"/>
    <w:rsid w:val="00F66679"/>
    <w:rsid w:val="00F666AE"/>
    <w:rsid w:val="00F6678A"/>
    <w:rsid w:val="00F66881"/>
    <w:rsid w:val="00F66952"/>
    <w:rsid w:val="00F66A04"/>
    <w:rsid w:val="00F66B57"/>
    <w:rsid w:val="00F66B71"/>
    <w:rsid w:val="00F66C85"/>
    <w:rsid w:val="00F66C9B"/>
    <w:rsid w:val="00F66CAF"/>
    <w:rsid w:val="00F66DC3"/>
    <w:rsid w:val="00F66EF9"/>
    <w:rsid w:val="00F66FF6"/>
    <w:rsid w:val="00F670AD"/>
    <w:rsid w:val="00F670BE"/>
    <w:rsid w:val="00F6723A"/>
    <w:rsid w:val="00F672F5"/>
    <w:rsid w:val="00F67418"/>
    <w:rsid w:val="00F67464"/>
    <w:rsid w:val="00F675FC"/>
    <w:rsid w:val="00F67631"/>
    <w:rsid w:val="00F6786D"/>
    <w:rsid w:val="00F6794E"/>
    <w:rsid w:val="00F67A56"/>
    <w:rsid w:val="00F67B05"/>
    <w:rsid w:val="00F67B4F"/>
    <w:rsid w:val="00F67C2D"/>
    <w:rsid w:val="00F67D93"/>
    <w:rsid w:val="00F67DD0"/>
    <w:rsid w:val="00F67F33"/>
    <w:rsid w:val="00F67F6F"/>
    <w:rsid w:val="00F67F73"/>
    <w:rsid w:val="00F67FEE"/>
    <w:rsid w:val="00F70048"/>
    <w:rsid w:val="00F70083"/>
    <w:rsid w:val="00F70362"/>
    <w:rsid w:val="00F703A8"/>
    <w:rsid w:val="00F7040A"/>
    <w:rsid w:val="00F70427"/>
    <w:rsid w:val="00F70471"/>
    <w:rsid w:val="00F7057F"/>
    <w:rsid w:val="00F705AF"/>
    <w:rsid w:val="00F70623"/>
    <w:rsid w:val="00F70655"/>
    <w:rsid w:val="00F706A1"/>
    <w:rsid w:val="00F706B3"/>
    <w:rsid w:val="00F70746"/>
    <w:rsid w:val="00F70767"/>
    <w:rsid w:val="00F70806"/>
    <w:rsid w:val="00F708BD"/>
    <w:rsid w:val="00F708FE"/>
    <w:rsid w:val="00F70973"/>
    <w:rsid w:val="00F709A3"/>
    <w:rsid w:val="00F70A14"/>
    <w:rsid w:val="00F70A1C"/>
    <w:rsid w:val="00F70AC4"/>
    <w:rsid w:val="00F70AF0"/>
    <w:rsid w:val="00F70B17"/>
    <w:rsid w:val="00F70C24"/>
    <w:rsid w:val="00F70C70"/>
    <w:rsid w:val="00F70D10"/>
    <w:rsid w:val="00F70E5C"/>
    <w:rsid w:val="00F70F02"/>
    <w:rsid w:val="00F71078"/>
    <w:rsid w:val="00F7109C"/>
    <w:rsid w:val="00F7116C"/>
    <w:rsid w:val="00F71301"/>
    <w:rsid w:val="00F7133B"/>
    <w:rsid w:val="00F713E5"/>
    <w:rsid w:val="00F7156D"/>
    <w:rsid w:val="00F71623"/>
    <w:rsid w:val="00F7184E"/>
    <w:rsid w:val="00F71876"/>
    <w:rsid w:val="00F719FF"/>
    <w:rsid w:val="00F71A86"/>
    <w:rsid w:val="00F71B8B"/>
    <w:rsid w:val="00F71D4F"/>
    <w:rsid w:val="00F71E3E"/>
    <w:rsid w:val="00F71F19"/>
    <w:rsid w:val="00F71F81"/>
    <w:rsid w:val="00F720CD"/>
    <w:rsid w:val="00F7221F"/>
    <w:rsid w:val="00F72251"/>
    <w:rsid w:val="00F7245D"/>
    <w:rsid w:val="00F72478"/>
    <w:rsid w:val="00F7253A"/>
    <w:rsid w:val="00F72628"/>
    <w:rsid w:val="00F72649"/>
    <w:rsid w:val="00F726A8"/>
    <w:rsid w:val="00F7296D"/>
    <w:rsid w:val="00F729A5"/>
    <w:rsid w:val="00F72AA6"/>
    <w:rsid w:val="00F72B18"/>
    <w:rsid w:val="00F72B53"/>
    <w:rsid w:val="00F72B73"/>
    <w:rsid w:val="00F72E97"/>
    <w:rsid w:val="00F72EA2"/>
    <w:rsid w:val="00F72F06"/>
    <w:rsid w:val="00F72FA4"/>
    <w:rsid w:val="00F73036"/>
    <w:rsid w:val="00F73081"/>
    <w:rsid w:val="00F73084"/>
    <w:rsid w:val="00F730BF"/>
    <w:rsid w:val="00F73160"/>
    <w:rsid w:val="00F73239"/>
    <w:rsid w:val="00F73304"/>
    <w:rsid w:val="00F73374"/>
    <w:rsid w:val="00F733A5"/>
    <w:rsid w:val="00F73499"/>
    <w:rsid w:val="00F7349D"/>
    <w:rsid w:val="00F734B5"/>
    <w:rsid w:val="00F734CA"/>
    <w:rsid w:val="00F734D8"/>
    <w:rsid w:val="00F73515"/>
    <w:rsid w:val="00F7355A"/>
    <w:rsid w:val="00F735E9"/>
    <w:rsid w:val="00F736A4"/>
    <w:rsid w:val="00F736E8"/>
    <w:rsid w:val="00F737A7"/>
    <w:rsid w:val="00F738D0"/>
    <w:rsid w:val="00F7399D"/>
    <w:rsid w:val="00F739C3"/>
    <w:rsid w:val="00F73A56"/>
    <w:rsid w:val="00F73A6E"/>
    <w:rsid w:val="00F73AFF"/>
    <w:rsid w:val="00F73B0C"/>
    <w:rsid w:val="00F73B27"/>
    <w:rsid w:val="00F73B87"/>
    <w:rsid w:val="00F73B98"/>
    <w:rsid w:val="00F73BCC"/>
    <w:rsid w:val="00F73DEC"/>
    <w:rsid w:val="00F73E22"/>
    <w:rsid w:val="00F73FCF"/>
    <w:rsid w:val="00F74025"/>
    <w:rsid w:val="00F740C2"/>
    <w:rsid w:val="00F7426C"/>
    <w:rsid w:val="00F742CA"/>
    <w:rsid w:val="00F7432A"/>
    <w:rsid w:val="00F744B5"/>
    <w:rsid w:val="00F745CB"/>
    <w:rsid w:val="00F746C6"/>
    <w:rsid w:val="00F74A79"/>
    <w:rsid w:val="00F74B0E"/>
    <w:rsid w:val="00F74C51"/>
    <w:rsid w:val="00F74C6D"/>
    <w:rsid w:val="00F74D42"/>
    <w:rsid w:val="00F74EA4"/>
    <w:rsid w:val="00F74F71"/>
    <w:rsid w:val="00F7501F"/>
    <w:rsid w:val="00F7504A"/>
    <w:rsid w:val="00F75151"/>
    <w:rsid w:val="00F75286"/>
    <w:rsid w:val="00F753F6"/>
    <w:rsid w:val="00F75522"/>
    <w:rsid w:val="00F755DD"/>
    <w:rsid w:val="00F7569D"/>
    <w:rsid w:val="00F756AE"/>
    <w:rsid w:val="00F756EC"/>
    <w:rsid w:val="00F75863"/>
    <w:rsid w:val="00F758D5"/>
    <w:rsid w:val="00F75959"/>
    <w:rsid w:val="00F75B12"/>
    <w:rsid w:val="00F75B13"/>
    <w:rsid w:val="00F75B27"/>
    <w:rsid w:val="00F75BDA"/>
    <w:rsid w:val="00F75CB9"/>
    <w:rsid w:val="00F75CBB"/>
    <w:rsid w:val="00F75D4E"/>
    <w:rsid w:val="00F75D7C"/>
    <w:rsid w:val="00F75E37"/>
    <w:rsid w:val="00F75ED5"/>
    <w:rsid w:val="00F7604B"/>
    <w:rsid w:val="00F760DB"/>
    <w:rsid w:val="00F761CB"/>
    <w:rsid w:val="00F76323"/>
    <w:rsid w:val="00F763A1"/>
    <w:rsid w:val="00F763CB"/>
    <w:rsid w:val="00F76489"/>
    <w:rsid w:val="00F76505"/>
    <w:rsid w:val="00F76684"/>
    <w:rsid w:val="00F768CA"/>
    <w:rsid w:val="00F76949"/>
    <w:rsid w:val="00F76972"/>
    <w:rsid w:val="00F7699E"/>
    <w:rsid w:val="00F76A7F"/>
    <w:rsid w:val="00F76AA6"/>
    <w:rsid w:val="00F76B24"/>
    <w:rsid w:val="00F76B8F"/>
    <w:rsid w:val="00F76C39"/>
    <w:rsid w:val="00F76D8A"/>
    <w:rsid w:val="00F76DC3"/>
    <w:rsid w:val="00F76E0A"/>
    <w:rsid w:val="00F76E6E"/>
    <w:rsid w:val="00F76E9B"/>
    <w:rsid w:val="00F76EA3"/>
    <w:rsid w:val="00F76EFD"/>
    <w:rsid w:val="00F76F0A"/>
    <w:rsid w:val="00F76F40"/>
    <w:rsid w:val="00F76F7A"/>
    <w:rsid w:val="00F7709A"/>
    <w:rsid w:val="00F7711D"/>
    <w:rsid w:val="00F7714F"/>
    <w:rsid w:val="00F77234"/>
    <w:rsid w:val="00F7728E"/>
    <w:rsid w:val="00F7730B"/>
    <w:rsid w:val="00F7736A"/>
    <w:rsid w:val="00F7741A"/>
    <w:rsid w:val="00F77473"/>
    <w:rsid w:val="00F7747C"/>
    <w:rsid w:val="00F774B5"/>
    <w:rsid w:val="00F774B8"/>
    <w:rsid w:val="00F775D6"/>
    <w:rsid w:val="00F77619"/>
    <w:rsid w:val="00F77631"/>
    <w:rsid w:val="00F776C2"/>
    <w:rsid w:val="00F77760"/>
    <w:rsid w:val="00F77810"/>
    <w:rsid w:val="00F779D7"/>
    <w:rsid w:val="00F77AE0"/>
    <w:rsid w:val="00F77B6F"/>
    <w:rsid w:val="00F77B7B"/>
    <w:rsid w:val="00F77BF4"/>
    <w:rsid w:val="00F77C04"/>
    <w:rsid w:val="00F77D27"/>
    <w:rsid w:val="00F77EE9"/>
    <w:rsid w:val="00F8008B"/>
    <w:rsid w:val="00F800FD"/>
    <w:rsid w:val="00F8023D"/>
    <w:rsid w:val="00F802B0"/>
    <w:rsid w:val="00F802EA"/>
    <w:rsid w:val="00F8032B"/>
    <w:rsid w:val="00F803E5"/>
    <w:rsid w:val="00F80468"/>
    <w:rsid w:val="00F804CB"/>
    <w:rsid w:val="00F806E5"/>
    <w:rsid w:val="00F8072B"/>
    <w:rsid w:val="00F8072D"/>
    <w:rsid w:val="00F807A3"/>
    <w:rsid w:val="00F8081A"/>
    <w:rsid w:val="00F80937"/>
    <w:rsid w:val="00F80B09"/>
    <w:rsid w:val="00F80C22"/>
    <w:rsid w:val="00F80C3B"/>
    <w:rsid w:val="00F80CAB"/>
    <w:rsid w:val="00F80CCB"/>
    <w:rsid w:val="00F80CFD"/>
    <w:rsid w:val="00F80D3D"/>
    <w:rsid w:val="00F80DCD"/>
    <w:rsid w:val="00F80EA5"/>
    <w:rsid w:val="00F8103B"/>
    <w:rsid w:val="00F811B7"/>
    <w:rsid w:val="00F812C4"/>
    <w:rsid w:val="00F8136A"/>
    <w:rsid w:val="00F81494"/>
    <w:rsid w:val="00F814EE"/>
    <w:rsid w:val="00F815D1"/>
    <w:rsid w:val="00F81695"/>
    <w:rsid w:val="00F81757"/>
    <w:rsid w:val="00F817AA"/>
    <w:rsid w:val="00F81894"/>
    <w:rsid w:val="00F81965"/>
    <w:rsid w:val="00F8197A"/>
    <w:rsid w:val="00F81A62"/>
    <w:rsid w:val="00F81AAB"/>
    <w:rsid w:val="00F81C4D"/>
    <w:rsid w:val="00F81C56"/>
    <w:rsid w:val="00F81CA1"/>
    <w:rsid w:val="00F81CEC"/>
    <w:rsid w:val="00F81D46"/>
    <w:rsid w:val="00F81DFC"/>
    <w:rsid w:val="00F82104"/>
    <w:rsid w:val="00F82117"/>
    <w:rsid w:val="00F8212A"/>
    <w:rsid w:val="00F82193"/>
    <w:rsid w:val="00F821C1"/>
    <w:rsid w:val="00F8227A"/>
    <w:rsid w:val="00F8228F"/>
    <w:rsid w:val="00F822BB"/>
    <w:rsid w:val="00F82352"/>
    <w:rsid w:val="00F823C7"/>
    <w:rsid w:val="00F82439"/>
    <w:rsid w:val="00F8252E"/>
    <w:rsid w:val="00F825A6"/>
    <w:rsid w:val="00F825D5"/>
    <w:rsid w:val="00F8279A"/>
    <w:rsid w:val="00F82905"/>
    <w:rsid w:val="00F82A2F"/>
    <w:rsid w:val="00F82AE6"/>
    <w:rsid w:val="00F82C7B"/>
    <w:rsid w:val="00F82D84"/>
    <w:rsid w:val="00F82E38"/>
    <w:rsid w:val="00F82E84"/>
    <w:rsid w:val="00F82F46"/>
    <w:rsid w:val="00F82F95"/>
    <w:rsid w:val="00F82FA5"/>
    <w:rsid w:val="00F83027"/>
    <w:rsid w:val="00F83086"/>
    <w:rsid w:val="00F8309C"/>
    <w:rsid w:val="00F830BB"/>
    <w:rsid w:val="00F8311C"/>
    <w:rsid w:val="00F832AF"/>
    <w:rsid w:val="00F832BE"/>
    <w:rsid w:val="00F83384"/>
    <w:rsid w:val="00F8353F"/>
    <w:rsid w:val="00F83562"/>
    <w:rsid w:val="00F8356A"/>
    <w:rsid w:val="00F835F0"/>
    <w:rsid w:val="00F83687"/>
    <w:rsid w:val="00F8371C"/>
    <w:rsid w:val="00F83725"/>
    <w:rsid w:val="00F8374A"/>
    <w:rsid w:val="00F8378A"/>
    <w:rsid w:val="00F837A2"/>
    <w:rsid w:val="00F837EA"/>
    <w:rsid w:val="00F839D8"/>
    <w:rsid w:val="00F839ED"/>
    <w:rsid w:val="00F83A28"/>
    <w:rsid w:val="00F83B29"/>
    <w:rsid w:val="00F83B54"/>
    <w:rsid w:val="00F83BF3"/>
    <w:rsid w:val="00F83C1B"/>
    <w:rsid w:val="00F83CEB"/>
    <w:rsid w:val="00F83D3C"/>
    <w:rsid w:val="00F83DF5"/>
    <w:rsid w:val="00F83FCD"/>
    <w:rsid w:val="00F8423A"/>
    <w:rsid w:val="00F8423D"/>
    <w:rsid w:val="00F842A6"/>
    <w:rsid w:val="00F842EF"/>
    <w:rsid w:val="00F8435C"/>
    <w:rsid w:val="00F8437B"/>
    <w:rsid w:val="00F8440A"/>
    <w:rsid w:val="00F84557"/>
    <w:rsid w:val="00F8475F"/>
    <w:rsid w:val="00F848A4"/>
    <w:rsid w:val="00F8491A"/>
    <w:rsid w:val="00F84933"/>
    <w:rsid w:val="00F84992"/>
    <w:rsid w:val="00F849E6"/>
    <w:rsid w:val="00F84A6C"/>
    <w:rsid w:val="00F84A84"/>
    <w:rsid w:val="00F84B68"/>
    <w:rsid w:val="00F84B83"/>
    <w:rsid w:val="00F84B99"/>
    <w:rsid w:val="00F84CF3"/>
    <w:rsid w:val="00F84CF9"/>
    <w:rsid w:val="00F84F90"/>
    <w:rsid w:val="00F8503D"/>
    <w:rsid w:val="00F850A4"/>
    <w:rsid w:val="00F85130"/>
    <w:rsid w:val="00F85319"/>
    <w:rsid w:val="00F853B7"/>
    <w:rsid w:val="00F85407"/>
    <w:rsid w:val="00F854BF"/>
    <w:rsid w:val="00F854F3"/>
    <w:rsid w:val="00F856C2"/>
    <w:rsid w:val="00F856E1"/>
    <w:rsid w:val="00F8582F"/>
    <w:rsid w:val="00F85941"/>
    <w:rsid w:val="00F8598E"/>
    <w:rsid w:val="00F859E5"/>
    <w:rsid w:val="00F85C4B"/>
    <w:rsid w:val="00F85C75"/>
    <w:rsid w:val="00F85DCB"/>
    <w:rsid w:val="00F85E0D"/>
    <w:rsid w:val="00F85E3B"/>
    <w:rsid w:val="00F85E96"/>
    <w:rsid w:val="00F85EED"/>
    <w:rsid w:val="00F85F15"/>
    <w:rsid w:val="00F85F74"/>
    <w:rsid w:val="00F860D6"/>
    <w:rsid w:val="00F862FD"/>
    <w:rsid w:val="00F86361"/>
    <w:rsid w:val="00F8642C"/>
    <w:rsid w:val="00F86451"/>
    <w:rsid w:val="00F86489"/>
    <w:rsid w:val="00F86542"/>
    <w:rsid w:val="00F8655A"/>
    <w:rsid w:val="00F86735"/>
    <w:rsid w:val="00F86831"/>
    <w:rsid w:val="00F86891"/>
    <w:rsid w:val="00F86B9F"/>
    <w:rsid w:val="00F86D42"/>
    <w:rsid w:val="00F86DA0"/>
    <w:rsid w:val="00F873EA"/>
    <w:rsid w:val="00F873F7"/>
    <w:rsid w:val="00F8742E"/>
    <w:rsid w:val="00F87431"/>
    <w:rsid w:val="00F8763F"/>
    <w:rsid w:val="00F87711"/>
    <w:rsid w:val="00F877E0"/>
    <w:rsid w:val="00F878CD"/>
    <w:rsid w:val="00F87901"/>
    <w:rsid w:val="00F87978"/>
    <w:rsid w:val="00F8797C"/>
    <w:rsid w:val="00F87D4A"/>
    <w:rsid w:val="00F87D76"/>
    <w:rsid w:val="00F87DFF"/>
    <w:rsid w:val="00F87ED6"/>
    <w:rsid w:val="00F90000"/>
    <w:rsid w:val="00F90279"/>
    <w:rsid w:val="00F90375"/>
    <w:rsid w:val="00F90377"/>
    <w:rsid w:val="00F903D3"/>
    <w:rsid w:val="00F90450"/>
    <w:rsid w:val="00F904A2"/>
    <w:rsid w:val="00F904C7"/>
    <w:rsid w:val="00F90524"/>
    <w:rsid w:val="00F90525"/>
    <w:rsid w:val="00F905FF"/>
    <w:rsid w:val="00F90677"/>
    <w:rsid w:val="00F906BC"/>
    <w:rsid w:val="00F9088B"/>
    <w:rsid w:val="00F90976"/>
    <w:rsid w:val="00F90984"/>
    <w:rsid w:val="00F90B96"/>
    <w:rsid w:val="00F90B99"/>
    <w:rsid w:val="00F90C08"/>
    <w:rsid w:val="00F90CC8"/>
    <w:rsid w:val="00F90D20"/>
    <w:rsid w:val="00F90D5C"/>
    <w:rsid w:val="00F90EC4"/>
    <w:rsid w:val="00F90ECE"/>
    <w:rsid w:val="00F90F7F"/>
    <w:rsid w:val="00F91047"/>
    <w:rsid w:val="00F91064"/>
    <w:rsid w:val="00F91126"/>
    <w:rsid w:val="00F91143"/>
    <w:rsid w:val="00F9128D"/>
    <w:rsid w:val="00F913A6"/>
    <w:rsid w:val="00F915F4"/>
    <w:rsid w:val="00F91638"/>
    <w:rsid w:val="00F91699"/>
    <w:rsid w:val="00F9171C"/>
    <w:rsid w:val="00F9178D"/>
    <w:rsid w:val="00F91809"/>
    <w:rsid w:val="00F91844"/>
    <w:rsid w:val="00F918A6"/>
    <w:rsid w:val="00F918F5"/>
    <w:rsid w:val="00F91914"/>
    <w:rsid w:val="00F91915"/>
    <w:rsid w:val="00F91923"/>
    <w:rsid w:val="00F91A15"/>
    <w:rsid w:val="00F91AFC"/>
    <w:rsid w:val="00F91B7D"/>
    <w:rsid w:val="00F91C0E"/>
    <w:rsid w:val="00F91C4B"/>
    <w:rsid w:val="00F91E08"/>
    <w:rsid w:val="00F91E74"/>
    <w:rsid w:val="00F91F85"/>
    <w:rsid w:val="00F92038"/>
    <w:rsid w:val="00F92051"/>
    <w:rsid w:val="00F920A1"/>
    <w:rsid w:val="00F920B9"/>
    <w:rsid w:val="00F9216F"/>
    <w:rsid w:val="00F92193"/>
    <w:rsid w:val="00F92291"/>
    <w:rsid w:val="00F92296"/>
    <w:rsid w:val="00F923DC"/>
    <w:rsid w:val="00F9240C"/>
    <w:rsid w:val="00F92444"/>
    <w:rsid w:val="00F92474"/>
    <w:rsid w:val="00F92540"/>
    <w:rsid w:val="00F92610"/>
    <w:rsid w:val="00F9275B"/>
    <w:rsid w:val="00F927C5"/>
    <w:rsid w:val="00F928E8"/>
    <w:rsid w:val="00F92905"/>
    <w:rsid w:val="00F9293B"/>
    <w:rsid w:val="00F929AD"/>
    <w:rsid w:val="00F92E04"/>
    <w:rsid w:val="00F92E14"/>
    <w:rsid w:val="00F92F20"/>
    <w:rsid w:val="00F930E2"/>
    <w:rsid w:val="00F930ED"/>
    <w:rsid w:val="00F9314B"/>
    <w:rsid w:val="00F931FF"/>
    <w:rsid w:val="00F93255"/>
    <w:rsid w:val="00F93337"/>
    <w:rsid w:val="00F9334E"/>
    <w:rsid w:val="00F93368"/>
    <w:rsid w:val="00F933A1"/>
    <w:rsid w:val="00F93464"/>
    <w:rsid w:val="00F9346B"/>
    <w:rsid w:val="00F93564"/>
    <w:rsid w:val="00F93597"/>
    <w:rsid w:val="00F93688"/>
    <w:rsid w:val="00F936BA"/>
    <w:rsid w:val="00F936E0"/>
    <w:rsid w:val="00F93780"/>
    <w:rsid w:val="00F939B2"/>
    <w:rsid w:val="00F939C5"/>
    <w:rsid w:val="00F93A26"/>
    <w:rsid w:val="00F93A52"/>
    <w:rsid w:val="00F93A90"/>
    <w:rsid w:val="00F93AAF"/>
    <w:rsid w:val="00F93B01"/>
    <w:rsid w:val="00F93CA5"/>
    <w:rsid w:val="00F93CEF"/>
    <w:rsid w:val="00F93D72"/>
    <w:rsid w:val="00F93DF0"/>
    <w:rsid w:val="00F93E0E"/>
    <w:rsid w:val="00F94041"/>
    <w:rsid w:val="00F94084"/>
    <w:rsid w:val="00F9411C"/>
    <w:rsid w:val="00F94143"/>
    <w:rsid w:val="00F941BF"/>
    <w:rsid w:val="00F942B9"/>
    <w:rsid w:val="00F942F3"/>
    <w:rsid w:val="00F945D5"/>
    <w:rsid w:val="00F9480C"/>
    <w:rsid w:val="00F94B8C"/>
    <w:rsid w:val="00F94EDE"/>
    <w:rsid w:val="00F95087"/>
    <w:rsid w:val="00F95180"/>
    <w:rsid w:val="00F9535B"/>
    <w:rsid w:val="00F953F6"/>
    <w:rsid w:val="00F9548B"/>
    <w:rsid w:val="00F95505"/>
    <w:rsid w:val="00F95520"/>
    <w:rsid w:val="00F9557B"/>
    <w:rsid w:val="00F95836"/>
    <w:rsid w:val="00F95BEE"/>
    <w:rsid w:val="00F95CF0"/>
    <w:rsid w:val="00F95D1D"/>
    <w:rsid w:val="00F95DB4"/>
    <w:rsid w:val="00F95E6D"/>
    <w:rsid w:val="00F95E91"/>
    <w:rsid w:val="00F95F46"/>
    <w:rsid w:val="00F9607F"/>
    <w:rsid w:val="00F960F0"/>
    <w:rsid w:val="00F9611A"/>
    <w:rsid w:val="00F96196"/>
    <w:rsid w:val="00F96315"/>
    <w:rsid w:val="00F9632E"/>
    <w:rsid w:val="00F9633B"/>
    <w:rsid w:val="00F9638D"/>
    <w:rsid w:val="00F963CD"/>
    <w:rsid w:val="00F963D9"/>
    <w:rsid w:val="00F96448"/>
    <w:rsid w:val="00F96466"/>
    <w:rsid w:val="00F9658F"/>
    <w:rsid w:val="00F96690"/>
    <w:rsid w:val="00F9679F"/>
    <w:rsid w:val="00F96836"/>
    <w:rsid w:val="00F9684E"/>
    <w:rsid w:val="00F968A1"/>
    <w:rsid w:val="00F968AA"/>
    <w:rsid w:val="00F9690E"/>
    <w:rsid w:val="00F96A4B"/>
    <w:rsid w:val="00F96A93"/>
    <w:rsid w:val="00F96A9C"/>
    <w:rsid w:val="00F96B26"/>
    <w:rsid w:val="00F96C8D"/>
    <w:rsid w:val="00F96D74"/>
    <w:rsid w:val="00F96DA2"/>
    <w:rsid w:val="00F96E11"/>
    <w:rsid w:val="00F96EF5"/>
    <w:rsid w:val="00F96EF6"/>
    <w:rsid w:val="00F97007"/>
    <w:rsid w:val="00F97100"/>
    <w:rsid w:val="00F9713A"/>
    <w:rsid w:val="00F97181"/>
    <w:rsid w:val="00F9721B"/>
    <w:rsid w:val="00F972A7"/>
    <w:rsid w:val="00F972BA"/>
    <w:rsid w:val="00F9732D"/>
    <w:rsid w:val="00F973B2"/>
    <w:rsid w:val="00F97475"/>
    <w:rsid w:val="00F97498"/>
    <w:rsid w:val="00F977BD"/>
    <w:rsid w:val="00F97948"/>
    <w:rsid w:val="00F97987"/>
    <w:rsid w:val="00F979DE"/>
    <w:rsid w:val="00F97B2B"/>
    <w:rsid w:val="00F97C7E"/>
    <w:rsid w:val="00F97D85"/>
    <w:rsid w:val="00F97E00"/>
    <w:rsid w:val="00F97F39"/>
    <w:rsid w:val="00FA007A"/>
    <w:rsid w:val="00FA0097"/>
    <w:rsid w:val="00FA014C"/>
    <w:rsid w:val="00FA01C7"/>
    <w:rsid w:val="00FA01EF"/>
    <w:rsid w:val="00FA02B1"/>
    <w:rsid w:val="00FA03A0"/>
    <w:rsid w:val="00FA0457"/>
    <w:rsid w:val="00FA05B7"/>
    <w:rsid w:val="00FA06C7"/>
    <w:rsid w:val="00FA07B0"/>
    <w:rsid w:val="00FA0925"/>
    <w:rsid w:val="00FA0A6F"/>
    <w:rsid w:val="00FA0ABE"/>
    <w:rsid w:val="00FA0BA2"/>
    <w:rsid w:val="00FA0BF9"/>
    <w:rsid w:val="00FA0D54"/>
    <w:rsid w:val="00FA0DCB"/>
    <w:rsid w:val="00FA0DF7"/>
    <w:rsid w:val="00FA0E00"/>
    <w:rsid w:val="00FA0E92"/>
    <w:rsid w:val="00FA0EA8"/>
    <w:rsid w:val="00FA1012"/>
    <w:rsid w:val="00FA1050"/>
    <w:rsid w:val="00FA11D9"/>
    <w:rsid w:val="00FA122C"/>
    <w:rsid w:val="00FA1244"/>
    <w:rsid w:val="00FA12F9"/>
    <w:rsid w:val="00FA1556"/>
    <w:rsid w:val="00FA15F4"/>
    <w:rsid w:val="00FA1637"/>
    <w:rsid w:val="00FA16A9"/>
    <w:rsid w:val="00FA183A"/>
    <w:rsid w:val="00FA198F"/>
    <w:rsid w:val="00FA1C3A"/>
    <w:rsid w:val="00FA1DCD"/>
    <w:rsid w:val="00FA1E0D"/>
    <w:rsid w:val="00FA1E60"/>
    <w:rsid w:val="00FA1E6C"/>
    <w:rsid w:val="00FA1E9F"/>
    <w:rsid w:val="00FA1F81"/>
    <w:rsid w:val="00FA1FD8"/>
    <w:rsid w:val="00FA201D"/>
    <w:rsid w:val="00FA21EB"/>
    <w:rsid w:val="00FA221F"/>
    <w:rsid w:val="00FA22B4"/>
    <w:rsid w:val="00FA2391"/>
    <w:rsid w:val="00FA23A9"/>
    <w:rsid w:val="00FA23E9"/>
    <w:rsid w:val="00FA256C"/>
    <w:rsid w:val="00FA25AC"/>
    <w:rsid w:val="00FA264E"/>
    <w:rsid w:val="00FA2679"/>
    <w:rsid w:val="00FA27EF"/>
    <w:rsid w:val="00FA284F"/>
    <w:rsid w:val="00FA28B0"/>
    <w:rsid w:val="00FA28BA"/>
    <w:rsid w:val="00FA28D6"/>
    <w:rsid w:val="00FA293C"/>
    <w:rsid w:val="00FA2951"/>
    <w:rsid w:val="00FA2A5E"/>
    <w:rsid w:val="00FA2AAE"/>
    <w:rsid w:val="00FA2AB8"/>
    <w:rsid w:val="00FA2ABA"/>
    <w:rsid w:val="00FA2D99"/>
    <w:rsid w:val="00FA2E52"/>
    <w:rsid w:val="00FA2F2D"/>
    <w:rsid w:val="00FA2FFD"/>
    <w:rsid w:val="00FA3028"/>
    <w:rsid w:val="00FA31F3"/>
    <w:rsid w:val="00FA32C7"/>
    <w:rsid w:val="00FA3454"/>
    <w:rsid w:val="00FA359D"/>
    <w:rsid w:val="00FA376D"/>
    <w:rsid w:val="00FA3A82"/>
    <w:rsid w:val="00FA3AAD"/>
    <w:rsid w:val="00FA3CAB"/>
    <w:rsid w:val="00FA3D42"/>
    <w:rsid w:val="00FA3E30"/>
    <w:rsid w:val="00FA3EDE"/>
    <w:rsid w:val="00FA3FB1"/>
    <w:rsid w:val="00FA41B7"/>
    <w:rsid w:val="00FA4234"/>
    <w:rsid w:val="00FA42CF"/>
    <w:rsid w:val="00FA42FE"/>
    <w:rsid w:val="00FA4334"/>
    <w:rsid w:val="00FA43A4"/>
    <w:rsid w:val="00FA4407"/>
    <w:rsid w:val="00FA44BE"/>
    <w:rsid w:val="00FA44DF"/>
    <w:rsid w:val="00FA465D"/>
    <w:rsid w:val="00FA466F"/>
    <w:rsid w:val="00FA467B"/>
    <w:rsid w:val="00FA46C1"/>
    <w:rsid w:val="00FA47CF"/>
    <w:rsid w:val="00FA47DF"/>
    <w:rsid w:val="00FA49F5"/>
    <w:rsid w:val="00FA4AF5"/>
    <w:rsid w:val="00FA4B94"/>
    <w:rsid w:val="00FA4C68"/>
    <w:rsid w:val="00FA4CE2"/>
    <w:rsid w:val="00FA4CF6"/>
    <w:rsid w:val="00FA4E0B"/>
    <w:rsid w:val="00FA4EEE"/>
    <w:rsid w:val="00FA4F88"/>
    <w:rsid w:val="00FA505A"/>
    <w:rsid w:val="00FA508C"/>
    <w:rsid w:val="00FA511B"/>
    <w:rsid w:val="00FA518F"/>
    <w:rsid w:val="00FA51F9"/>
    <w:rsid w:val="00FA52B4"/>
    <w:rsid w:val="00FA534A"/>
    <w:rsid w:val="00FA54FF"/>
    <w:rsid w:val="00FA555F"/>
    <w:rsid w:val="00FA5569"/>
    <w:rsid w:val="00FA55CF"/>
    <w:rsid w:val="00FA55DD"/>
    <w:rsid w:val="00FA563A"/>
    <w:rsid w:val="00FA566D"/>
    <w:rsid w:val="00FA57F6"/>
    <w:rsid w:val="00FA584D"/>
    <w:rsid w:val="00FA588F"/>
    <w:rsid w:val="00FA58D3"/>
    <w:rsid w:val="00FA58F0"/>
    <w:rsid w:val="00FA593D"/>
    <w:rsid w:val="00FA594F"/>
    <w:rsid w:val="00FA5A5C"/>
    <w:rsid w:val="00FA5B14"/>
    <w:rsid w:val="00FA5B1E"/>
    <w:rsid w:val="00FA5B24"/>
    <w:rsid w:val="00FA5D1E"/>
    <w:rsid w:val="00FA5D27"/>
    <w:rsid w:val="00FA5EB8"/>
    <w:rsid w:val="00FA5EFF"/>
    <w:rsid w:val="00FA602F"/>
    <w:rsid w:val="00FA614F"/>
    <w:rsid w:val="00FA620B"/>
    <w:rsid w:val="00FA63A9"/>
    <w:rsid w:val="00FA63BB"/>
    <w:rsid w:val="00FA63C6"/>
    <w:rsid w:val="00FA6436"/>
    <w:rsid w:val="00FA6438"/>
    <w:rsid w:val="00FA6544"/>
    <w:rsid w:val="00FA65A7"/>
    <w:rsid w:val="00FA65ED"/>
    <w:rsid w:val="00FA6602"/>
    <w:rsid w:val="00FA6638"/>
    <w:rsid w:val="00FA66EB"/>
    <w:rsid w:val="00FA6715"/>
    <w:rsid w:val="00FA67D9"/>
    <w:rsid w:val="00FA67DA"/>
    <w:rsid w:val="00FA6854"/>
    <w:rsid w:val="00FA68A8"/>
    <w:rsid w:val="00FA69A7"/>
    <w:rsid w:val="00FA6B0F"/>
    <w:rsid w:val="00FA6BA8"/>
    <w:rsid w:val="00FA6D6C"/>
    <w:rsid w:val="00FA6F35"/>
    <w:rsid w:val="00FA6FBB"/>
    <w:rsid w:val="00FA7082"/>
    <w:rsid w:val="00FA70B9"/>
    <w:rsid w:val="00FA7175"/>
    <w:rsid w:val="00FA7245"/>
    <w:rsid w:val="00FA72CE"/>
    <w:rsid w:val="00FA740D"/>
    <w:rsid w:val="00FA743C"/>
    <w:rsid w:val="00FA7476"/>
    <w:rsid w:val="00FA74DE"/>
    <w:rsid w:val="00FA7565"/>
    <w:rsid w:val="00FA75A3"/>
    <w:rsid w:val="00FA7677"/>
    <w:rsid w:val="00FA7684"/>
    <w:rsid w:val="00FA7698"/>
    <w:rsid w:val="00FA76D4"/>
    <w:rsid w:val="00FA774B"/>
    <w:rsid w:val="00FA7834"/>
    <w:rsid w:val="00FA7867"/>
    <w:rsid w:val="00FA78C2"/>
    <w:rsid w:val="00FA78E8"/>
    <w:rsid w:val="00FA7B2D"/>
    <w:rsid w:val="00FA7B80"/>
    <w:rsid w:val="00FA7C49"/>
    <w:rsid w:val="00FA7D00"/>
    <w:rsid w:val="00FA7D86"/>
    <w:rsid w:val="00FA7DA0"/>
    <w:rsid w:val="00FA7DE2"/>
    <w:rsid w:val="00FA7F05"/>
    <w:rsid w:val="00FB0190"/>
    <w:rsid w:val="00FB0280"/>
    <w:rsid w:val="00FB03E1"/>
    <w:rsid w:val="00FB04EE"/>
    <w:rsid w:val="00FB0572"/>
    <w:rsid w:val="00FB066D"/>
    <w:rsid w:val="00FB06BC"/>
    <w:rsid w:val="00FB06DC"/>
    <w:rsid w:val="00FB079F"/>
    <w:rsid w:val="00FB0896"/>
    <w:rsid w:val="00FB0980"/>
    <w:rsid w:val="00FB0B15"/>
    <w:rsid w:val="00FB0BAA"/>
    <w:rsid w:val="00FB0CA7"/>
    <w:rsid w:val="00FB0D02"/>
    <w:rsid w:val="00FB0F06"/>
    <w:rsid w:val="00FB0F1D"/>
    <w:rsid w:val="00FB0F2F"/>
    <w:rsid w:val="00FB101C"/>
    <w:rsid w:val="00FB118F"/>
    <w:rsid w:val="00FB11C0"/>
    <w:rsid w:val="00FB12FB"/>
    <w:rsid w:val="00FB142A"/>
    <w:rsid w:val="00FB14DB"/>
    <w:rsid w:val="00FB1762"/>
    <w:rsid w:val="00FB1830"/>
    <w:rsid w:val="00FB1854"/>
    <w:rsid w:val="00FB189A"/>
    <w:rsid w:val="00FB19FD"/>
    <w:rsid w:val="00FB1D7B"/>
    <w:rsid w:val="00FB1DA5"/>
    <w:rsid w:val="00FB1E79"/>
    <w:rsid w:val="00FB1E9A"/>
    <w:rsid w:val="00FB1EA1"/>
    <w:rsid w:val="00FB20A9"/>
    <w:rsid w:val="00FB233D"/>
    <w:rsid w:val="00FB2396"/>
    <w:rsid w:val="00FB2454"/>
    <w:rsid w:val="00FB2460"/>
    <w:rsid w:val="00FB2547"/>
    <w:rsid w:val="00FB263E"/>
    <w:rsid w:val="00FB26D4"/>
    <w:rsid w:val="00FB2710"/>
    <w:rsid w:val="00FB27AB"/>
    <w:rsid w:val="00FB2924"/>
    <w:rsid w:val="00FB2960"/>
    <w:rsid w:val="00FB2A1F"/>
    <w:rsid w:val="00FB2AE4"/>
    <w:rsid w:val="00FB2B2B"/>
    <w:rsid w:val="00FB2B9C"/>
    <w:rsid w:val="00FB2F1E"/>
    <w:rsid w:val="00FB3000"/>
    <w:rsid w:val="00FB30CC"/>
    <w:rsid w:val="00FB318A"/>
    <w:rsid w:val="00FB3195"/>
    <w:rsid w:val="00FB3293"/>
    <w:rsid w:val="00FB32CE"/>
    <w:rsid w:val="00FB3592"/>
    <w:rsid w:val="00FB3652"/>
    <w:rsid w:val="00FB3867"/>
    <w:rsid w:val="00FB3923"/>
    <w:rsid w:val="00FB3936"/>
    <w:rsid w:val="00FB3A37"/>
    <w:rsid w:val="00FB3B41"/>
    <w:rsid w:val="00FB3D47"/>
    <w:rsid w:val="00FB3D48"/>
    <w:rsid w:val="00FB3E6C"/>
    <w:rsid w:val="00FB3ED2"/>
    <w:rsid w:val="00FB3F32"/>
    <w:rsid w:val="00FB3F72"/>
    <w:rsid w:val="00FB435C"/>
    <w:rsid w:val="00FB4363"/>
    <w:rsid w:val="00FB437F"/>
    <w:rsid w:val="00FB43A6"/>
    <w:rsid w:val="00FB4446"/>
    <w:rsid w:val="00FB461E"/>
    <w:rsid w:val="00FB4769"/>
    <w:rsid w:val="00FB476B"/>
    <w:rsid w:val="00FB4782"/>
    <w:rsid w:val="00FB486C"/>
    <w:rsid w:val="00FB488B"/>
    <w:rsid w:val="00FB48F3"/>
    <w:rsid w:val="00FB48FB"/>
    <w:rsid w:val="00FB498B"/>
    <w:rsid w:val="00FB49AC"/>
    <w:rsid w:val="00FB4A8D"/>
    <w:rsid w:val="00FB4B51"/>
    <w:rsid w:val="00FB4BC0"/>
    <w:rsid w:val="00FB4C66"/>
    <w:rsid w:val="00FB4C91"/>
    <w:rsid w:val="00FB4EB7"/>
    <w:rsid w:val="00FB4FF7"/>
    <w:rsid w:val="00FB50EA"/>
    <w:rsid w:val="00FB51E6"/>
    <w:rsid w:val="00FB5249"/>
    <w:rsid w:val="00FB5280"/>
    <w:rsid w:val="00FB5284"/>
    <w:rsid w:val="00FB52BF"/>
    <w:rsid w:val="00FB5516"/>
    <w:rsid w:val="00FB55E7"/>
    <w:rsid w:val="00FB5827"/>
    <w:rsid w:val="00FB5890"/>
    <w:rsid w:val="00FB5ABF"/>
    <w:rsid w:val="00FB5B31"/>
    <w:rsid w:val="00FB5B70"/>
    <w:rsid w:val="00FB5B83"/>
    <w:rsid w:val="00FB5BA3"/>
    <w:rsid w:val="00FB5C7E"/>
    <w:rsid w:val="00FB5D5D"/>
    <w:rsid w:val="00FB5DBB"/>
    <w:rsid w:val="00FB5F70"/>
    <w:rsid w:val="00FB60BF"/>
    <w:rsid w:val="00FB60F2"/>
    <w:rsid w:val="00FB6185"/>
    <w:rsid w:val="00FB6316"/>
    <w:rsid w:val="00FB633A"/>
    <w:rsid w:val="00FB640A"/>
    <w:rsid w:val="00FB640C"/>
    <w:rsid w:val="00FB64DD"/>
    <w:rsid w:val="00FB658D"/>
    <w:rsid w:val="00FB6646"/>
    <w:rsid w:val="00FB671A"/>
    <w:rsid w:val="00FB684E"/>
    <w:rsid w:val="00FB69AD"/>
    <w:rsid w:val="00FB69E8"/>
    <w:rsid w:val="00FB6B30"/>
    <w:rsid w:val="00FB6C57"/>
    <w:rsid w:val="00FB6CCD"/>
    <w:rsid w:val="00FB6D07"/>
    <w:rsid w:val="00FB6DDF"/>
    <w:rsid w:val="00FB6E02"/>
    <w:rsid w:val="00FB6ED9"/>
    <w:rsid w:val="00FB6FDF"/>
    <w:rsid w:val="00FB7357"/>
    <w:rsid w:val="00FB73AF"/>
    <w:rsid w:val="00FB73BE"/>
    <w:rsid w:val="00FB74AB"/>
    <w:rsid w:val="00FB74F2"/>
    <w:rsid w:val="00FB75AE"/>
    <w:rsid w:val="00FB7697"/>
    <w:rsid w:val="00FB780B"/>
    <w:rsid w:val="00FB78FB"/>
    <w:rsid w:val="00FB79DA"/>
    <w:rsid w:val="00FB79FC"/>
    <w:rsid w:val="00FB7A1E"/>
    <w:rsid w:val="00FB7A25"/>
    <w:rsid w:val="00FB7A3C"/>
    <w:rsid w:val="00FB7AAC"/>
    <w:rsid w:val="00FB7B49"/>
    <w:rsid w:val="00FB7BA1"/>
    <w:rsid w:val="00FB7CB5"/>
    <w:rsid w:val="00FB7E50"/>
    <w:rsid w:val="00FC0047"/>
    <w:rsid w:val="00FC0109"/>
    <w:rsid w:val="00FC057E"/>
    <w:rsid w:val="00FC0926"/>
    <w:rsid w:val="00FC0947"/>
    <w:rsid w:val="00FC0956"/>
    <w:rsid w:val="00FC0A4A"/>
    <w:rsid w:val="00FC0AA5"/>
    <w:rsid w:val="00FC0CC4"/>
    <w:rsid w:val="00FC0DAF"/>
    <w:rsid w:val="00FC0E60"/>
    <w:rsid w:val="00FC0EF4"/>
    <w:rsid w:val="00FC0F2F"/>
    <w:rsid w:val="00FC10D1"/>
    <w:rsid w:val="00FC10F5"/>
    <w:rsid w:val="00FC117F"/>
    <w:rsid w:val="00FC1185"/>
    <w:rsid w:val="00FC1431"/>
    <w:rsid w:val="00FC1518"/>
    <w:rsid w:val="00FC1788"/>
    <w:rsid w:val="00FC17F1"/>
    <w:rsid w:val="00FC1878"/>
    <w:rsid w:val="00FC18AC"/>
    <w:rsid w:val="00FC192D"/>
    <w:rsid w:val="00FC1944"/>
    <w:rsid w:val="00FC1A35"/>
    <w:rsid w:val="00FC1AF0"/>
    <w:rsid w:val="00FC1B70"/>
    <w:rsid w:val="00FC1C4D"/>
    <w:rsid w:val="00FC241B"/>
    <w:rsid w:val="00FC2467"/>
    <w:rsid w:val="00FC2644"/>
    <w:rsid w:val="00FC2647"/>
    <w:rsid w:val="00FC26BA"/>
    <w:rsid w:val="00FC27EB"/>
    <w:rsid w:val="00FC28C2"/>
    <w:rsid w:val="00FC2955"/>
    <w:rsid w:val="00FC2979"/>
    <w:rsid w:val="00FC2983"/>
    <w:rsid w:val="00FC29AE"/>
    <w:rsid w:val="00FC2C0D"/>
    <w:rsid w:val="00FC2C35"/>
    <w:rsid w:val="00FC2C61"/>
    <w:rsid w:val="00FC2D2E"/>
    <w:rsid w:val="00FC2D99"/>
    <w:rsid w:val="00FC2DD1"/>
    <w:rsid w:val="00FC2EA5"/>
    <w:rsid w:val="00FC2EC2"/>
    <w:rsid w:val="00FC2F82"/>
    <w:rsid w:val="00FC2F8C"/>
    <w:rsid w:val="00FC3069"/>
    <w:rsid w:val="00FC312C"/>
    <w:rsid w:val="00FC3184"/>
    <w:rsid w:val="00FC3226"/>
    <w:rsid w:val="00FC329D"/>
    <w:rsid w:val="00FC3335"/>
    <w:rsid w:val="00FC3377"/>
    <w:rsid w:val="00FC3549"/>
    <w:rsid w:val="00FC359C"/>
    <w:rsid w:val="00FC3698"/>
    <w:rsid w:val="00FC36FA"/>
    <w:rsid w:val="00FC39D0"/>
    <w:rsid w:val="00FC3ACC"/>
    <w:rsid w:val="00FC3B32"/>
    <w:rsid w:val="00FC3B60"/>
    <w:rsid w:val="00FC3BF8"/>
    <w:rsid w:val="00FC3C75"/>
    <w:rsid w:val="00FC3CFC"/>
    <w:rsid w:val="00FC402E"/>
    <w:rsid w:val="00FC414E"/>
    <w:rsid w:val="00FC4291"/>
    <w:rsid w:val="00FC42DB"/>
    <w:rsid w:val="00FC42FC"/>
    <w:rsid w:val="00FC4421"/>
    <w:rsid w:val="00FC4497"/>
    <w:rsid w:val="00FC44D6"/>
    <w:rsid w:val="00FC4508"/>
    <w:rsid w:val="00FC4894"/>
    <w:rsid w:val="00FC4953"/>
    <w:rsid w:val="00FC4986"/>
    <w:rsid w:val="00FC49FC"/>
    <w:rsid w:val="00FC4A4A"/>
    <w:rsid w:val="00FC4B0B"/>
    <w:rsid w:val="00FC4C31"/>
    <w:rsid w:val="00FC4C3F"/>
    <w:rsid w:val="00FC4C63"/>
    <w:rsid w:val="00FC4C70"/>
    <w:rsid w:val="00FC4D9A"/>
    <w:rsid w:val="00FC4DFA"/>
    <w:rsid w:val="00FC4E49"/>
    <w:rsid w:val="00FC4EB5"/>
    <w:rsid w:val="00FC50A1"/>
    <w:rsid w:val="00FC5136"/>
    <w:rsid w:val="00FC52FC"/>
    <w:rsid w:val="00FC5302"/>
    <w:rsid w:val="00FC5345"/>
    <w:rsid w:val="00FC5526"/>
    <w:rsid w:val="00FC55E0"/>
    <w:rsid w:val="00FC560B"/>
    <w:rsid w:val="00FC5682"/>
    <w:rsid w:val="00FC576B"/>
    <w:rsid w:val="00FC576E"/>
    <w:rsid w:val="00FC5799"/>
    <w:rsid w:val="00FC5861"/>
    <w:rsid w:val="00FC58B4"/>
    <w:rsid w:val="00FC5A5F"/>
    <w:rsid w:val="00FC5AE2"/>
    <w:rsid w:val="00FC5B55"/>
    <w:rsid w:val="00FC5B76"/>
    <w:rsid w:val="00FC5B7D"/>
    <w:rsid w:val="00FC5C47"/>
    <w:rsid w:val="00FC5D3E"/>
    <w:rsid w:val="00FC5E6A"/>
    <w:rsid w:val="00FC5EC7"/>
    <w:rsid w:val="00FC5F6D"/>
    <w:rsid w:val="00FC5FB7"/>
    <w:rsid w:val="00FC603A"/>
    <w:rsid w:val="00FC604B"/>
    <w:rsid w:val="00FC6073"/>
    <w:rsid w:val="00FC608D"/>
    <w:rsid w:val="00FC6175"/>
    <w:rsid w:val="00FC617D"/>
    <w:rsid w:val="00FC61EB"/>
    <w:rsid w:val="00FC6355"/>
    <w:rsid w:val="00FC637F"/>
    <w:rsid w:val="00FC6486"/>
    <w:rsid w:val="00FC64A4"/>
    <w:rsid w:val="00FC6544"/>
    <w:rsid w:val="00FC660B"/>
    <w:rsid w:val="00FC673B"/>
    <w:rsid w:val="00FC6747"/>
    <w:rsid w:val="00FC674B"/>
    <w:rsid w:val="00FC67FA"/>
    <w:rsid w:val="00FC6B1A"/>
    <w:rsid w:val="00FC6C85"/>
    <w:rsid w:val="00FC6CA8"/>
    <w:rsid w:val="00FC6CC0"/>
    <w:rsid w:val="00FC6CCE"/>
    <w:rsid w:val="00FC6DB2"/>
    <w:rsid w:val="00FC6E0F"/>
    <w:rsid w:val="00FC6E70"/>
    <w:rsid w:val="00FC6EC1"/>
    <w:rsid w:val="00FC6EF9"/>
    <w:rsid w:val="00FC6FC8"/>
    <w:rsid w:val="00FC726D"/>
    <w:rsid w:val="00FC733F"/>
    <w:rsid w:val="00FC740F"/>
    <w:rsid w:val="00FC744F"/>
    <w:rsid w:val="00FC74CA"/>
    <w:rsid w:val="00FC7688"/>
    <w:rsid w:val="00FC76D5"/>
    <w:rsid w:val="00FC7716"/>
    <w:rsid w:val="00FC7761"/>
    <w:rsid w:val="00FC777B"/>
    <w:rsid w:val="00FC7853"/>
    <w:rsid w:val="00FC7901"/>
    <w:rsid w:val="00FC794D"/>
    <w:rsid w:val="00FC795C"/>
    <w:rsid w:val="00FC7A8E"/>
    <w:rsid w:val="00FC7A93"/>
    <w:rsid w:val="00FC7AC9"/>
    <w:rsid w:val="00FC7B2D"/>
    <w:rsid w:val="00FC7E68"/>
    <w:rsid w:val="00FC7F00"/>
    <w:rsid w:val="00FC7F23"/>
    <w:rsid w:val="00FD001C"/>
    <w:rsid w:val="00FD0037"/>
    <w:rsid w:val="00FD0073"/>
    <w:rsid w:val="00FD00D4"/>
    <w:rsid w:val="00FD0164"/>
    <w:rsid w:val="00FD016C"/>
    <w:rsid w:val="00FD022E"/>
    <w:rsid w:val="00FD025C"/>
    <w:rsid w:val="00FD03B4"/>
    <w:rsid w:val="00FD0416"/>
    <w:rsid w:val="00FD0495"/>
    <w:rsid w:val="00FD0513"/>
    <w:rsid w:val="00FD0604"/>
    <w:rsid w:val="00FD06A1"/>
    <w:rsid w:val="00FD087C"/>
    <w:rsid w:val="00FD0880"/>
    <w:rsid w:val="00FD089E"/>
    <w:rsid w:val="00FD0C57"/>
    <w:rsid w:val="00FD0DD5"/>
    <w:rsid w:val="00FD0E09"/>
    <w:rsid w:val="00FD0EC0"/>
    <w:rsid w:val="00FD0EDF"/>
    <w:rsid w:val="00FD0FAE"/>
    <w:rsid w:val="00FD0FD7"/>
    <w:rsid w:val="00FD1001"/>
    <w:rsid w:val="00FD10A7"/>
    <w:rsid w:val="00FD1110"/>
    <w:rsid w:val="00FD11B6"/>
    <w:rsid w:val="00FD120B"/>
    <w:rsid w:val="00FD12DC"/>
    <w:rsid w:val="00FD12EB"/>
    <w:rsid w:val="00FD1336"/>
    <w:rsid w:val="00FD13AD"/>
    <w:rsid w:val="00FD1446"/>
    <w:rsid w:val="00FD14AF"/>
    <w:rsid w:val="00FD1514"/>
    <w:rsid w:val="00FD1516"/>
    <w:rsid w:val="00FD155D"/>
    <w:rsid w:val="00FD1582"/>
    <w:rsid w:val="00FD15B5"/>
    <w:rsid w:val="00FD165D"/>
    <w:rsid w:val="00FD1679"/>
    <w:rsid w:val="00FD16F4"/>
    <w:rsid w:val="00FD1748"/>
    <w:rsid w:val="00FD17A9"/>
    <w:rsid w:val="00FD17BB"/>
    <w:rsid w:val="00FD1870"/>
    <w:rsid w:val="00FD18BA"/>
    <w:rsid w:val="00FD194A"/>
    <w:rsid w:val="00FD19A8"/>
    <w:rsid w:val="00FD1A88"/>
    <w:rsid w:val="00FD1AB7"/>
    <w:rsid w:val="00FD1ABC"/>
    <w:rsid w:val="00FD1ADA"/>
    <w:rsid w:val="00FD1B50"/>
    <w:rsid w:val="00FD1C18"/>
    <w:rsid w:val="00FD1C3C"/>
    <w:rsid w:val="00FD1CE7"/>
    <w:rsid w:val="00FD1D83"/>
    <w:rsid w:val="00FD1EB3"/>
    <w:rsid w:val="00FD1F82"/>
    <w:rsid w:val="00FD1F98"/>
    <w:rsid w:val="00FD1FE0"/>
    <w:rsid w:val="00FD2065"/>
    <w:rsid w:val="00FD20F6"/>
    <w:rsid w:val="00FD21E5"/>
    <w:rsid w:val="00FD22BF"/>
    <w:rsid w:val="00FD22FC"/>
    <w:rsid w:val="00FD2325"/>
    <w:rsid w:val="00FD2373"/>
    <w:rsid w:val="00FD25FE"/>
    <w:rsid w:val="00FD2616"/>
    <w:rsid w:val="00FD26A2"/>
    <w:rsid w:val="00FD270C"/>
    <w:rsid w:val="00FD277A"/>
    <w:rsid w:val="00FD284A"/>
    <w:rsid w:val="00FD2929"/>
    <w:rsid w:val="00FD2B98"/>
    <w:rsid w:val="00FD2C29"/>
    <w:rsid w:val="00FD2D44"/>
    <w:rsid w:val="00FD2DA4"/>
    <w:rsid w:val="00FD2E53"/>
    <w:rsid w:val="00FD2F63"/>
    <w:rsid w:val="00FD306B"/>
    <w:rsid w:val="00FD331E"/>
    <w:rsid w:val="00FD339E"/>
    <w:rsid w:val="00FD33D9"/>
    <w:rsid w:val="00FD33EE"/>
    <w:rsid w:val="00FD3457"/>
    <w:rsid w:val="00FD34C2"/>
    <w:rsid w:val="00FD35B9"/>
    <w:rsid w:val="00FD3781"/>
    <w:rsid w:val="00FD38D8"/>
    <w:rsid w:val="00FD3974"/>
    <w:rsid w:val="00FD3980"/>
    <w:rsid w:val="00FD3A1D"/>
    <w:rsid w:val="00FD3C27"/>
    <w:rsid w:val="00FD3DB4"/>
    <w:rsid w:val="00FD3DE3"/>
    <w:rsid w:val="00FD3E01"/>
    <w:rsid w:val="00FD3E5C"/>
    <w:rsid w:val="00FD3F26"/>
    <w:rsid w:val="00FD3F95"/>
    <w:rsid w:val="00FD402F"/>
    <w:rsid w:val="00FD4091"/>
    <w:rsid w:val="00FD4248"/>
    <w:rsid w:val="00FD425D"/>
    <w:rsid w:val="00FD4378"/>
    <w:rsid w:val="00FD441D"/>
    <w:rsid w:val="00FD45D4"/>
    <w:rsid w:val="00FD4675"/>
    <w:rsid w:val="00FD4A2A"/>
    <w:rsid w:val="00FD4B4C"/>
    <w:rsid w:val="00FD4D52"/>
    <w:rsid w:val="00FD4DEA"/>
    <w:rsid w:val="00FD4EF4"/>
    <w:rsid w:val="00FD4F34"/>
    <w:rsid w:val="00FD5122"/>
    <w:rsid w:val="00FD51ED"/>
    <w:rsid w:val="00FD5245"/>
    <w:rsid w:val="00FD528F"/>
    <w:rsid w:val="00FD5435"/>
    <w:rsid w:val="00FD5479"/>
    <w:rsid w:val="00FD54C8"/>
    <w:rsid w:val="00FD54D4"/>
    <w:rsid w:val="00FD54DC"/>
    <w:rsid w:val="00FD56D5"/>
    <w:rsid w:val="00FD572B"/>
    <w:rsid w:val="00FD58B8"/>
    <w:rsid w:val="00FD5988"/>
    <w:rsid w:val="00FD5A1C"/>
    <w:rsid w:val="00FD5A32"/>
    <w:rsid w:val="00FD5B0E"/>
    <w:rsid w:val="00FD5BE9"/>
    <w:rsid w:val="00FD5C11"/>
    <w:rsid w:val="00FD5CC9"/>
    <w:rsid w:val="00FD5E31"/>
    <w:rsid w:val="00FD61D5"/>
    <w:rsid w:val="00FD6232"/>
    <w:rsid w:val="00FD6255"/>
    <w:rsid w:val="00FD626E"/>
    <w:rsid w:val="00FD6282"/>
    <w:rsid w:val="00FD63D1"/>
    <w:rsid w:val="00FD6412"/>
    <w:rsid w:val="00FD657A"/>
    <w:rsid w:val="00FD65A2"/>
    <w:rsid w:val="00FD65C4"/>
    <w:rsid w:val="00FD66B0"/>
    <w:rsid w:val="00FD66B3"/>
    <w:rsid w:val="00FD677F"/>
    <w:rsid w:val="00FD694E"/>
    <w:rsid w:val="00FD69F3"/>
    <w:rsid w:val="00FD6A8D"/>
    <w:rsid w:val="00FD6AC4"/>
    <w:rsid w:val="00FD6B4B"/>
    <w:rsid w:val="00FD6BB1"/>
    <w:rsid w:val="00FD6C70"/>
    <w:rsid w:val="00FD6D63"/>
    <w:rsid w:val="00FD6D85"/>
    <w:rsid w:val="00FD6E29"/>
    <w:rsid w:val="00FD6FA2"/>
    <w:rsid w:val="00FD6FB3"/>
    <w:rsid w:val="00FD6FD4"/>
    <w:rsid w:val="00FD711C"/>
    <w:rsid w:val="00FD71DE"/>
    <w:rsid w:val="00FD7235"/>
    <w:rsid w:val="00FD72CA"/>
    <w:rsid w:val="00FD7337"/>
    <w:rsid w:val="00FD734C"/>
    <w:rsid w:val="00FD7466"/>
    <w:rsid w:val="00FD74A3"/>
    <w:rsid w:val="00FD764A"/>
    <w:rsid w:val="00FD76AC"/>
    <w:rsid w:val="00FD77EB"/>
    <w:rsid w:val="00FD7954"/>
    <w:rsid w:val="00FD79D0"/>
    <w:rsid w:val="00FD7A5A"/>
    <w:rsid w:val="00FD7BDA"/>
    <w:rsid w:val="00FD7C92"/>
    <w:rsid w:val="00FD7CDF"/>
    <w:rsid w:val="00FD7E18"/>
    <w:rsid w:val="00FD7E27"/>
    <w:rsid w:val="00FD7EF0"/>
    <w:rsid w:val="00FD7EFF"/>
    <w:rsid w:val="00FD7FE5"/>
    <w:rsid w:val="00FE002C"/>
    <w:rsid w:val="00FE0084"/>
    <w:rsid w:val="00FE00D2"/>
    <w:rsid w:val="00FE02CE"/>
    <w:rsid w:val="00FE03FF"/>
    <w:rsid w:val="00FE04E8"/>
    <w:rsid w:val="00FE0544"/>
    <w:rsid w:val="00FE0591"/>
    <w:rsid w:val="00FE068A"/>
    <w:rsid w:val="00FE06CC"/>
    <w:rsid w:val="00FE073C"/>
    <w:rsid w:val="00FE0833"/>
    <w:rsid w:val="00FE0A7F"/>
    <w:rsid w:val="00FE0BD0"/>
    <w:rsid w:val="00FE0C79"/>
    <w:rsid w:val="00FE0DCB"/>
    <w:rsid w:val="00FE0DD5"/>
    <w:rsid w:val="00FE105D"/>
    <w:rsid w:val="00FE105E"/>
    <w:rsid w:val="00FE10B8"/>
    <w:rsid w:val="00FE10DE"/>
    <w:rsid w:val="00FE10F0"/>
    <w:rsid w:val="00FE117C"/>
    <w:rsid w:val="00FE1214"/>
    <w:rsid w:val="00FE1215"/>
    <w:rsid w:val="00FE135A"/>
    <w:rsid w:val="00FE13EC"/>
    <w:rsid w:val="00FE14B8"/>
    <w:rsid w:val="00FE159A"/>
    <w:rsid w:val="00FE15A5"/>
    <w:rsid w:val="00FE160A"/>
    <w:rsid w:val="00FE168F"/>
    <w:rsid w:val="00FE16B9"/>
    <w:rsid w:val="00FE1819"/>
    <w:rsid w:val="00FE181D"/>
    <w:rsid w:val="00FE1876"/>
    <w:rsid w:val="00FE18CB"/>
    <w:rsid w:val="00FE1A62"/>
    <w:rsid w:val="00FE1A65"/>
    <w:rsid w:val="00FE1A85"/>
    <w:rsid w:val="00FE1ABD"/>
    <w:rsid w:val="00FE1ACA"/>
    <w:rsid w:val="00FE1B3F"/>
    <w:rsid w:val="00FE1B77"/>
    <w:rsid w:val="00FE1DE3"/>
    <w:rsid w:val="00FE1EFD"/>
    <w:rsid w:val="00FE1F22"/>
    <w:rsid w:val="00FE1FAE"/>
    <w:rsid w:val="00FE1FF7"/>
    <w:rsid w:val="00FE20F7"/>
    <w:rsid w:val="00FE210B"/>
    <w:rsid w:val="00FE232C"/>
    <w:rsid w:val="00FE2348"/>
    <w:rsid w:val="00FE237A"/>
    <w:rsid w:val="00FE2444"/>
    <w:rsid w:val="00FE2544"/>
    <w:rsid w:val="00FE257F"/>
    <w:rsid w:val="00FE2584"/>
    <w:rsid w:val="00FE25AD"/>
    <w:rsid w:val="00FE2639"/>
    <w:rsid w:val="00FE26BA"/>
    <w:rsid w:val="00FE26CF"/>
    <w:rsid w:val="00FE279C"/>
    <w:rsid w:val="00FE281D"/>
    <w:rsid w:val="00FE2953"/>
    <w:rsid w:val="00FE2B28"/>
    <w:rsid w:val="00FE2BC7"/>
    <w:rsid w:val="00FE2D92"/>
    <w:rsid w:val="00FE2D95"/>
    <w:rsid w:val="00FE2FAB"/>
    <w:rsid w:val="00FE3095"/>
    <w:rsid w:val="00FE3103"/>
    <w:rsid w:val="00FE311F"/>
    <w:rsid w:val="00FE3236"/>
    <w:rsid w:val="00FE323B"/>
    <w:rsid w:val="00FE339D"/>
    <w:rsid w:val="00FE3925"/>
    <w:rsid w:val="00FE3AD4"/>
    <w:rsid w:val="00FE3AD6"/>
    <w:rsid w:val="00FE3C17"/>
    <w:rsid w:val="00FE3C1A"/>
    <w:rsid w:val="00FE3CB0"/>
    <w:rsid w:val="00FE3CE6"/>
    <w:rsid w:val="00FE3DEC"/>
    <w:rsid w:val="00FE3E59"/>
    <w:rsid w:val="00FE3E78"/>
    <w:rsid w:val="00FE3E7E"/>
    <w:rsid w:val="00FE3EF5"/>
    <w:rsid w:val="00FE3F07"/>
    <w:rsid w:val="00FE3F58"/>
    <w:rsid w:val="00FE3F60"/>
    <w:rsid w:val="00FE41D0"/>
    <w:rsid w:val="00FE41E9"/>
    <w:rsid w:val="00FE4378"/>
    <w:rsid w:val="00FE4712"/>
    <w:rsid w:val="00FE49A9"/>
    <w:rsid w:val="00FE49E8"/>
    <w:rsid w:val="00FE4A48"/>
    <w:rsid w:val="00FE4D0A"/>
    <w:rsid w:val="00FE4E5E"/>
    <w:rsid w:val="00FE4E74"/>
    <w:rsid w:val="00FE4F0B"/>
    <w:rsid w:val="00FE4F81"/>
    <w:rsid w:val="00FE4F9C"/>
    <w:rsid w:val="00FE501F"/>
    <w:rsid w:val="00FE5033"/>
    <w:rsid w:val="00FE507B"/>
    <w:rsid w:val="00FE509B"/>
    <w:rsid w:val="00FE509D"/>
    <w:rsid w:val="00FE50BF"/>
    <w:rsid w:val="00FE5117"/>
    <w:rsid w:val="00FE5248"/>
    <w:rsid w:val="00FE5297"/>
    <w:rsid w:val="00FE52D8"/>
    <w:rsid w:val="00FE5399"/>
    <w:rsid w:val="00FE5405"/>
    <w:rsid w:val="00FE543D"/>
    <w:rsid w:val="00FE5442"/>
    <w:rsid w:val="00FE548A"/>
    <w:rsid w:val="00FE5627"/>
    <w:rsid w:val="00FE5640"/>
    <w:rsid w:val="00FE580C"/>
    <w:rsid w:val="00FE5936"/>
    <w:rsid w:val="00FE5970"/>
    <w:rsid w:val="00FE5973"/>
    <w:rsid w:val="00FE5AD3"/>
    <w:rsid w:val="00FE5B54"/>
    <w:rsid w:val="00FE5C1E"/>
    <w:rsid w:val="00FE5DE9"/>
    <w:rsid w:val="00FE5F2E"/>
    <w:rsid w:val="00FE5F3D"/>
    <w:rsid w:val="00FE5F92"/>
    <w:rsid w:val="00FE6080"/>
    <w:rsid w:val="00FE62FE"/>
    <w:rsid w:val="00FE6541"/>
    <w:rsid w:val="00FE6566"/>
    <w:rsid w:val="00FE65A4"/>
    <w:rsid w:val="00FE65DE"/>
    <w:rsid w:val="00FE65FA"/>
    <w:rsid w:val="00FE6663"/>
    <w:rsid w:val="00FE6684"/>
    <w:rsid w:val="00FE6710"/>
    <w:rsid w:val="00FE6828"/>
    <w:rsid w:val="00FE683B"/>
    <w:rsid w:val="00FE6856"/>
    <w:rsid w:val="00FE69DC"/>
    <w:rsid w:val="00FE6ADD"/>
    <w:rsid w:val="00FE6B89"/>
    <w:rsid w:val="00FE6CE7"/>
    <w:rsid w:val="00FE7003"/>
    <w:rsid w:val="00FE707C"/>
    <w:rsid w:val="00FE7160"/>
    <w:rsid w:val="00FE7200"/>
    <w:rsid w:val="00FE73A9"/>
    <w:rsid w:val="00FE73BB"/>
    <w:rsid w:val="00FE767E"/>
    <w:rsid w:val="00FE76B5"/>
    <w:rsid w:val="00FE76CD"/>
    <w:rsid w:val="00FE79B5"/>
    <w:rsid w:val="00FE7A5C"/>
    <w:rsid w:val="00FE7B3C"/>
    <w:rsid w:val="00FE7C3C"/>
    <w:rsid w:val="00FE7D01"/>
    <w:rsid w:val="00FE7D96"/>
    <w:rsid w:val="00FE7FA2"/>
    <w:rsid w:val="00FF00F0"/>
    <w:rsid w:val="00FF0101"/>
    <w:rsid w:val="00FF012A"/>
    <w:rsid w:val="00FF02EC"/>
    <w:rsid w:val="00FF030A"/>
    <w:rsid w:val="00FF0360"/>
    <w:rsid w:val="00FF038E"/>
    <w:rsid w:val="00FF0399"/>
    <w:rsid w:val="00FF03CD"/>
    <w:rsid w:val="00FF03F5"/>
    <w:rsid w:val="00FF0446"/>
    <w:rsid w:val="00FF0454"/>
    <w:rsid w:val="00FF0639"/>
    <w:rsid w:val="00FF0647"/>
    <w:rsid w:val="00FF06F0"/>
    <w:rsid w:val="00FF088F"/>
    <w:rsid w:val="00FF0890"/>
    <w:rsid w:val="00FF08B6"/>
    <w:rsid w:val="00FF09DC"/>
    <w:rsid w:val="00FF0A7B"/>
    <w:rsid w:val="00FF0CEA"/>
    <w:rsid w:val="00FF0CF5"/>
    <w:rsid w:val="00FF0D51"/>
    <w:rsid w:val="00FF0DF0"/>
    <w:rsid w:val="00FF0EC3"/>
    <w:rsid w:val="00FF0EE2"/>
    <w:rsid w:val="00FF0FB4"/>
    <w:rsid w:val="00FF1068"/>
    <w:rsid w:val="00FF10CC"/>
    <w:rsid w:val="00FF10F9"/>
    <w:rsid w:val="00FF1109"/>
    <w:rsid w:val="00FF1206"/>
    <w:rsid w:val="00FF12E0"/>
    <w:rsid w:val="00FF1467"/>
    <w:rsid w:val="00FF1598"/>
    <w:rsid w:val="00FF1863"/>
    <w:rsid w:val="00FF187A"/>
    <w:rsid w:val="00FF190F"/>
    <w:rsid w:val="00FF19AC"/>
    <w:rsid w:val="00FF19D8"/>
    <w:rsid w:val="00FF19F9"/>
    <w:rsid w:val="00FF1A72"/>
    <w:rsid w:val="00FF1B5F"/>
    <w:rsid w:val="00FF1BEB"/>
    <w:rsid w:val="00FF1C83"/>
    <w:rsid w:val="00FF1D53"/>
    <w:rsid w:val="00FF1D85"/>
    <w:rsid w:val="00FF1E0A"/>
    <w:rsid w:val="00FF1E72"/>
    <w:rsid w:val="00FF1FEA"/>
    <w:rsid w:val="00FF21C7"/>
    <w:rsid w:val="00FF2323"/>
    <w:rsid w:val="00FF242B"/>
    <w:rsid w:val="00FF254B"/>
    <w:rsid w:val="00FF2690"/>
    <w:rsid w:val="00FF26F7"/>
    <w:rsid w:val="00FF2956"/>
    <w:rsid w:val="00FF2978"/>
    <w:rsid w:val="00FF29AD"/>
    <w:rsid w:val="00FF2AD2"/>
    <w:rsid w:val="00FF2ADC"/>
    <w:rsid w:val="00FF2AF6"/>
    <w:rsid w:val="00FF2B0A"/>
    <w:rsid w:val="00FF2BEF"/>
    <w:rsid w:val="00FF2D41"/>
    <w:rsid w:val="00FF2ECF"/>
    <w:rsid w:val="00FF2EE7"/>
    <w:rsid w:val="00FF2FE2"/>
    <w:rsid w:val="00FF3169"/>
    <w:rsid w:val="00FF3261"/>
    <w:rsid w:val="00FF328A"/>
    <w:rsid w:val="00FF344E"/>
    <w:rsid w:val="00FF3450"/>
    <w:rsid w:val="00FF3564"/>
    <w:rsid w:val="00FF368B"/>
    <w:rsid w:val="00FF368E"/>
    <w:rsid w:val="00FF3739"/>
    <w:rsid w:val="00FF381B"/>
    <w:rsid w:val="00FF3933"/>
    <w:rsid w:val="00FF3959"/>
    <w:rsid w:val="00FF3989"/>
    <w:rsid w:val="00FF39F7"/>
    <w:rsid w:val="00FF3B7F"/>
    <w:rsid w:val="00FF3C67"/>
    <w:rsid w:val="00FF3C79"/>
    <w:rsid w:val="00FF3E24"/>
    <w:rsid w:val="00FF3E36"/>
    <w:rsid w:val="00FF4010"/>
    <w:rsid w:val="00FF4048"/>
    <w:rsid w:val="00FF40AF"/>
    <w:rsid w:val="00FF40D8"/>
    <w:rsid w:val="00FF419D"/>
    <w:rsid w:val="00FF4214"/>
    <w:rsid w:val="00FF4279"/>
    <w:rsid w:val="00FF4296"/>
    <w:rsid w:val="00FF446B"/>
    <w:rsid w:val="00FF4519"/>
    <w:rsid w:val="00FF45A0"/>
    <w:rsid w:val="00FF461B"/>
    <w:rsid w:val="00FF4725"/>
    <w:rsid w:val="00FF479D"/>
    <w:rsid w:val="00FF4850"/>
    <w:rsid w:val="00FF4898"/>
    <w:rsid w:val="00FF48AB"/>
    <w:rsid w:val="00FF4A49"/>
    <w:rsid w:val="00FF4A52"/>
    <w:rsid w:val="00FF4B6E"/>
    <w:rsid w:val="00FF4F1B"/>
    <w:rsid w:val="00FF5064"/>
    <w:rsid w:val="00FF5145"/>
    <w:rsid w:val="00FF515D"/>
    <w:rsid w:val="00FF515F"/>
    <w:rsid w:val="00FF525F"/>
    <w:rsid w:val="00FF52E8"/>
    <w:rsid w:val="00FF532B"/>
    <w:rsid w:val="00FF5387"/>
    <w:rsid w:val="00FF53B0"/>
    <w:rsid w:val="00FF543C"/>
    <w:rsid w:val="00FF54F9"/>
    <w:rsid w:val="00FF5518"/>
    <w:rsid w:val="00FF56A7"/>
    <w:rsid w:val="00FF5704"/>
    <w:rsid w:val="00FF57F3"/>
    <w:rsid w:val="00FF5892"/>
    <w:rsid w:val="00FF59FF"/>
    <w:rsid w:val="00FF5AAE"/>
    <w:rsid w:val="00FF5ABB"/>
    <w:rsid w:val="00FF5C68"/>
    <w:rsid w:val="00FF5D52"/>
    <w:rsid w:val="00FF5EEC"/>
    <w:rsid w:val="00FF608D"/>
    <w:rsid w:val="00FF60EC"/>
    <w:rsid w:val="00FF6264"/>
    <w:rsid w:val="00FF6301"/>
    <w:rsid w:val="00FF63AC"/>
    <w:rsid w:val="00FF63E2"/>
    <w:rsid w:val="00FF63FA"/>
    <w:rsid w:val="00FF644E"/>
    <w:rsid w:val="00FF64E6"/>
    <w:rsid w:val="00FF64FD"/>
    <w:rsid w:val="00FF650E"/>
    <w:rsid w:val="00FF66C9"/>
    <w:rsid w:val="00FF67E0"/>
    <w:rsid w:val="00FF682E"/>
    <w:rsid w:val="00FF695F"/>
    <w:rsid w:val="00FF69C8"/>
    <w:rsid w:val="00FF6B1B"/>
    <w:rsid w:val="00FF6C2B"/>
    <w:rsid w:val="00FF6CB6"/>
    <w:rsid w:val="00FF6F55"/>
    <w:rsid w:val="00FF7195"/>
    <w:rsid w:val="00FF72CD"/>
    <w:rsid w:val="00FF7383"/>
    <w:rsid w:val="00FF73A5"/>
    <w:rsid w:val="00FF74D7"/>
    <w:rsid w:val="00FF7565"/>
    <w:rsid w:val="00FF771A"/>
    <w:rsid w:val="00FF771E"/>
    <w:rsid w:val="00FF776B"/>
    <w:rsid w:val="00FF77A6"/>
    <w:rsid w:val="00FF7859"/>
    <w:rsid w:val="00FF7898"/>
    <w:rsid w:val="00FF789D"/>
    <w:rsid w:val="00FF791D"/>
    <w:rsid w:val="00FF7A0C"/>
    <w:rsid w:val="00FF7A44"/>
    <w:rsid w:val="00FF7A45"/>
    <w:rsid w:val="00FF7C50"/>
    <w:rsid w:val="00FF7D5B"/>
    <w:rsid w:val="00FF7D90"/>
    <w:rsid w:val="011413BF"/>
    <w:rsid w:val="01617A3F"/>
    <w:rsid w:val="0175448A"/>
    <w:rsid w:val="01790337"/>
    <w:rsid w:val="01BE19E1"/>
    <w:rsid w:val="01E41949"/>
    <w:rsid w:val="021B5E96"/>
    <w:rsid w:val="0221636B"/>
    <w:rsid w:val="02375C7C"/>
    <w:rsid w:val="023E5276"/>
    <w:rsid w:val="027123D6"/>
    <w:rsid w:val="02734732"/>
    <w:rsid w:val="02AA0ACB"/>
    <w:rsid w:val="02AB6608"/>
    <w:rsid w:val="02D62211"/>
    <w:rsid w:val="02F27F47"/>
    <w:rsid w:val="032338C8"/>
    <w:rsid w:val="03433F84"/>
    <w:rsid w:val="03B749DA"/>
    <w:rsid w:val="040710EB"/>
    <w:rsid w:val="043B3C52"/>
    <w:rsid w:val="045D2E23"/>
    <w:rsid w:val="048A4730"/>
    <w:rsid w:val="04DD7648"/>
    <w:rsid w:val="04F72997"/>
    <w:rsid w:val="04F76DD4"/>
    <w:rsid w:val="05024A06"/>
    <w:rsid w:val="054151D7"/>
    <w:rsid w:val="055931ED"/>
    <w:rsid w:val="055B010D"/>
    <w:rsid w:val="05663C3E"/>
    <w:rsid w:val="05703906"/>
    <w:rsid w:val="057B5EBF"/>
    <w:rsid w:val="059735C2"/>
    <w:rsid w:val="05D00691"/>
    <w:rsid w:val="061C7051"/>
    <w:rsid w:val="063C10B1"/>
    <w:rsid w:val="0643190E"/>
    <w:rsid w:val="065F6C85"/>
    <w:rsid w:val="06767A22"/>
    <w:rsid w:val="068900D8"/>
    <w:rsid w:val="069526C8"/>
    <w:rsid w:val="06B37A9F"/>
    <w:rsid w:val="06C204C3"/>
    <w:rsid w:val="06F15B36"/>
    <w:rsid w:val="072E39E1"/>
    <w:rsid w:val="07551017"/>
    <w:rsid w:val="07771DE0"/>
    <w:rsid w:val="079E5D91"/>
    <w:rsid w:val="07F709B4"/>
    <w:rsid w:val="081029AD"/>
    <w:rsid w:val="08442B07"/>
    <w:rsid w:val="085225AB"/>
    <w:rsid w:val="086337AE"/>
    <w:rsid w:val="08E41BFF"/>
    <w:rsid w:val="08E76C90"/>
    <w:rsid w:val="08F5760F"/>
    <w:rsid w:val="0910446D"/>
    <w:rsid w:val="09151B89"/>
    <w:rsid w:val="09223D97"/>
    <w:rsid w:val="094824B3"/>
    <w:rsid w:val="09594CED"/>
    <w:rsid w:val="09634B62"/>
    <w:rsid w:val="096C0307"/>
    <w:rsid w:val="097818E3"/>
    <w:rsid w:val="097B7CE4"/>
    <w:rsid w:val="09846B73"/>
    <w:rsid w:val="09926857"/>
    <w:rsid w:val="099A28D4"/>
    <w:rsid w:val="09B16B12"/>
    <w:rsid w:val="09B46C47"/>
    <w:rsid w:val="09C736FA"/>
    <w:rsid w:val="09E32A78"/>
    <w:rsid w:val="0A0501E5"/>
    <w:rsid w:val="0A596D8E"/>
    <w:rsid w:val="0ABF2DAD"/>
    <w:rsid w:val="0ABF42E9"/>
    <w:rsid w:val="0AD14E33"/>
    <w:rsid w:val="0AF15164"/>
    <w:rsid w:val="0B104DA4"/>
    <w:rsid w:val="0B195D48"/>
    <w:rsid w:val="0B1D2B62"/>
    <w:rsid w:val="0B250C26"/>
    <w:rsid w:val="0B4F7677"/>
    <w:rsid w:val="0B81544F"/>
    <w:rsid w:val="0B951C57"/>
    <w:rsid w:val="0BAF665A"/>
    <w:rsid w:val="0BBB4D38"/>
    <w:rsid w:val="0BD460C1"/>
    <w:rsid w:val="0BE03407"/>
    <w:rsid w:val="0C1A4101"/>
    <w:rsid w:val="0C1C7199"/>
    <w:rsid w:val="0C5E65F5"/>
    <w:rsid w:val="0C9E62E6"/>
    <w:rsid w:val="0CB91D68"/>
    <w:rsid w:val="0CD503C7"/>
    <w:rsid w:val="0D0B3D64"/>
    <w:rsid w:val="0D161F3F"/>
    <w:rsid w:val="0D433EE4"/>
    <w:rsid w:val="0D541053"/>
    <w:rsid w:val="0D554552"/>
    <w:rsid w:val="0D636DA7"/>
    <w:rsid w:val="0D643455"/>
    <w:rsid w:val="0D887FCD"/>
    <w:rsid w:val="0D893657"/>
    <w:rsid w:val="0DBD35FB"/>
    <w:rsid w:val="0DC67C8B"/>
    <w:rsid w:val="0E0831FE"/>
    <w:rsid w:val="0E4F0837"/>
    <w:rsid w:val="0E555A4F"/>
    <w:rsid w:val="0EC344DB"/>
    <w:rsid w:val="0EDB19CF"/>
    <w:rsid w:val="0F1113DA"/>
    <w:rsid w:val="0FB83FC5"/>
    <w:rsid w:val="0FB957EC"/>
    <w:rsid w:val="0FD05F55"/>
    <w:rsid w:val="0FDC5544"/>
    <w:rsid w:val="10484987"/>
    <w:rsid w:val="107D139C"/>
    <w:rsid w:val="10932F37"/>
    <w:rsid w:val="111F4200"/>
    <w:rsid w:val="111F6419"/>
    <w:rsid w:val="118F65E6"/>
    <w:rsid w:val="11C024E9"/>
    <w:rsid w:val="11D84431"/>
    <w:rsid w:val="11DF5B8B"/>
    <w:rsid w:val="11E879B1"/>
    <w:rsid w:val="12087F96"/>
    <w:rsid w:val="120B0362"/>
    <w:rsid w:val="121E50BC"/>
    <w:rsid w:val="123B41BD"/>
    <w:rsid w:val="126B237E"/>
    <w:rsid w:val="129E67FF"/>
    <w:rsid w:val="12F348E1"/>
    <w:rsid w:val="13005AAE"/>
    <w:rsid w:val="130B7BEF"/>
    <w:rsid w:val="132A072D"/>
    <w:rsid w:val="135A4EF2"/>
    <w:rsid w:val="136E2054"/>
    <w:rsid w:val="137138F2"/>
    <w:rsid w:val="137A33A8"/>
    <w:rsid w:val="13BC64B5"/>
    <w:rsid w:val="14013F42"/>
    <w:rsid w:val="140C3128"/>
    <w:rsid w:val="143B0E98"/>
    <w:rsid w:val="14411A74"/>
    <w:rsid w:val="14564440"/>
    <w:rsid w:val="146678B6"/>
    <w:rsid w:val="146F7121"/>
    <w:rsid w:val="147541B9"/>
    <w:rsid w:val="148D68DF"/>
    <w:rsid w:val="14AD0CC9"/>
    <w:rsid w:val="14B94CE7"/>
    <w:rsid w:val="14BE2ABC"/>
    <w:rsid w:val="14D22610"/>
    <w:rsid w:val="14D405DC"/>
    <w:rsid w:val="150F764C"/>
    <w:rsid w:val="15232DC2"/>
    <w:rsid w:val="153656F6"/>
    <w:rsid w:val="1554222F"/>
    <w:rsid w:val="156F058F"/>
    <w:rsid w:val="1596280C"/>
    <w:rsid w:val="1599563C"/>
    <w:rsid w:val="160C2061"/>
    <w:rsid w:val="162936C8"/>
    <w:rsid w:val="165D2A04"/>
    <w:rsid w:val="16852D45"/>
    <w:rsid w:val="16976668"/>
    <w:rsid w:val="16F1128B"/>
    <w:rsid w:val="16FA2F44"/>
    <w:rsid w:val="17012C29"/>
    <w:rsid w:val="171D71FB"/>
    <w:rsid w:val="175517D3"/>
    <w:rsid w:val="176D4D7A"/>
    <w:rsid w:val="1775595C"/>
    <w:rsid w:val="17FC541C"/>
    <w:rsid w:val="181C39F7"/>
    <w:rsid w:val="185D09A5"/>
    <w:rsid w:val="188C6C29"/>
    <w:rsid w:val="18BC6513"/>
    <w:rsid w:val="18C65F7C"/>
    <w:rsid w:val="18C83A9F"/>
    <w:rsid w:val="18E41F63"/>
    <w:rsid w:val="194D1207"/>
    <w:rsid w:val="19724304"/>
    <w:rsid w:val="19762565"/>
    <w:rsid w:val="19792055"/>
    <w:rsid w:val="19824AF4"/>
    <w:rsid w:val="19BC09AA"/>
    <w:rsid w:val="19CE460A"/>
    <w:rsid w:val="19CF49D0"/>
    <w:rsid w:val="1A3A3F52"/>
    <w:rsid w:val="1A4623F6"/>
    <w:rsid w:val="1A55296C"/>
    <w:rsid w:val="1A882E64"/>
    <w:rsid w:val="1A8D6B46"/>
    <w:rsid w:val="1A9E6FD5"/>
    <w:rsid w:val="1AAF57CE"/>
    <w:rsid w:val="1AB82D17"/>
    <w:rsid w:val="1AE962DC"/>
    <w:rsid w:val="1AF80DC9"/>
    <w:rsid w:val="1AF95743"/>
    <w:rsid w:val="1AFC2F3E"/>
    <w:rsid w:val="1B352187"/>
    <w:rsid w:val="1B3B4209"/>
    <w:rsid w:val="1B541DD4"/>
    <w:rsid w:val="1B7018D4"/>
    <w:rsid w:val="1B853E26"/>
    <w:rsid w:val="1B8F5A77"/>
    <w:rsid w:val="1B950F4F"/>
    <w:rsid w:val="1BAF5C5B"/>
    <w:rsid w:val="1BC8128B"/>
    <w:rsid w:val="1BC902E1"/>
    <w:rsid w:val="1BF0749E"/>
    <w:rsid w:val="1BF87F78"/>
    <w:rsid w:val="1C047E77"/>
    <w:rsid w:val="1C973E48"/>
    <w:rsid w:val="1C9E3764"/>
    <w:rsid w:val="1CD62D3A"/>
    <w:rsid w:val="1CF45604"/>
    <w:rsid w:val="1D3C5874"/>
    <w:rsid w:val="1D7E2EF6"/>
    <w:rsid w:val="1DFB5305"/>
    <w:rsid w:val="1E081BFA"/>
    <w:rsid w:val="1E26580C"/>
    <w:rsid w:val="1E2745B3"/>
    <w:rsid w:val="1E3E59D0"/>
    <w:rsid w:val="1EE628D1"/>
    <w:rsid w:val="1F161790"/>
    <w:rsid w:val="1F1D1B63"/>
    <w:rsid w:val="1F1D2AFC"/>
    <w:rsid w:val="1F457669"/>
    <w:rsid w:val="1F5F2C02"/>
    <w:rsid w:val="1F6512DB"/>
    <w:rsid w:val="1F6A4B7F"/>
    <w:rsid w:val="1F797D47"/>
    <w:rsid w:val="1FAE657C"/>
    <w:rsid w:val="1FE63E8A"/>
    <w:rsid w:val="20220479"/>
    <w:rsid w:val="205445D1"/>
    <w:rsid w:val="2062239E"/>
    <w:rsid w:val="206709FA"/>
    <w:rsid w:val="20706397"/>
    <w:rsid w:val="20886270"/>
    <w:rsid w:val="20C44850"/>
    <w:rsid w:val="20D508B9"/>
    <w:rsid w:val="20EE44F3"/>
    <w:rsid w:val="20F048BF"/>
    <w:rsid w:val="20F24A4E"/>
    <w:rsid w:val="21057DBC"/>
    <w:rsid w:val="21081056"/>
    <w:rsid w:val="210A2348"/>
    <w:rsid w:val="21524D63"/>
    <w:rsid w:val="21925631"/>
    <w:rsid w:val="220579BD"/>
    <w:rsid w:val="22133054"/>
    <w:rsid w:val="2220294F"/>
    <w:rsid w:val="2255506F"/>
    <w:rsid w:val="22594F53"/>
    <w:rsid w:val="226F1EC3"/>
    <w:rsid w:val="227930C6"/>
    <w:rsid w:val="228E2886"/>
    <w:rsid w:val="22B056D5"/>
    <w:rsid w:val="22DC5459"/>
    <w:rsid w:val="23113A17"/>
    <w:rsid w:val="23594BDC"/>
    <w:rsid w:val="23721F9F"/>
    <w:rsid w:val="237D6BE6"/>
    <w:rsid w:val="23A14C50"/>
    <w:rsid w:val="23A40832"/>
    <w:rsid w:val="23A75530"/>
    <w:rsid w:val="23C0790C"/>
    <w:rsid w:val="23E427C1"/>
    <w:rsid w:val="23FA3243"/>
    <w:rsid w:val="242016BF"/>
    <w:rsid w:val="24250A6A"/>
    <w:rsid w:val="24621761"/>
    <w:rsid w:val="24655E72"/>
    <w:rsid w:val="246D0E3D"/>
    <w:rsid w:val="24AE6635"/>
    <w:rsid w:val="251E436C"/>
    <w:rsid w:val="25205A7B"/>
    <w:rsid w:val="258D021E"/>
    <w:rsid w:val="259F567E"/>
    <w:rsid w:val="25AC730F"/>
    <w:rsid w:val="25B6018D"/>
    <w:rsid w:val="25C166F2"/>
    <w:rsid w:val="25D25042"/>
    <w:rsid w:val="264627A8"/>
    <w:rsid w:val="267D37F7"/>
    <w:rsid w:val="26927290"/>
    <w:rsid w:val="26960FFA"/>
    <w:rsid w:val="26B9213F"/>
    <w:rsid w:val="26D6031D"/>
    <w:rsid w:val="26E52AD8"/>
    <w:rsid w:val="2711073C"/>
    <w:rsid w:val="273278C0"/>
    <w:rsid w:val="278B4150"/>
    <w:rsid w:val="27934C2A"/>
    <w:rsid w:val="27A134E1"/>
    <w:rsid w:val="27D70D25"/>
    <w:rsid w:val="281D21FE"/>
    <w:rsid w:val="2841114C"/>
    <w:rsid w:val="28483128"/>
    <w:rsid w:val="28610884"/>
    <w:rsid w:val="289E3534"/>
    <w:rsid w:val="28A11C70"/>
    <w:rsid w:val="28A76BA9"/>
    <w:rsid w:val="28BA7D27"/>
    <w:rsid w:val="28C369F3"/>
    <w:rsid w:val="28D006BA"/>
    <w:rsid w:val="28D4732E"/>
    <w:rsid w:val="29047469"/>
    <w:rsid w:val="291A16B6"/>
    <w:rsid w:val="293E50CC"/>
    <w:rsid w:val="298A3E0B"/>
    <w:rsid w:val="2993151F"/>
    <w:rsid w:val="29E83EED"/>
    <w:rsid w:val="2A091DFC"/>
    <w:rsid w:val="2A0D0CC4"/>
    <w:rsid w:val="2A4055DE"/>
    <w:rsid w:val="2A9736ED"/>
    <w:rsid w:val="2AC7608B"/>
    <w:rsid w:val="2ADB491E"/>
    <w:rsid w:val="2AE4371C"/>
    <w:rsid w:val="2B273657"/>
    <w:rsid w:val="2B3D035C"/>
    <w:rsid w:val="2B9B7558"/>
    <w:rsid w:val="2BDE3DB7"/>
    <w:rsid w:val="2C687EF4"/>
    <w:rsid w:val="2C7F1847"/>
    <w:rsid w:val="2C926DA7"/>
    <w:rsid w:val="2C9424B9"/>
    <w:rsid w:val="2CA03C9A"/>
    <w:rsid w:val="2CC825FC"/>
    <w:rsid w:val="2CDB116C"/>
    <w:rsid w:val="2CF9057D"/>
    <w:rsid w:val="2D067403"/>
    <w:rsid w:val="2D3D7CA3"/>
    <w:rsid w:val="2D4E0688"/>
    <w:rsid w:val="2D8A4108"/>
    <w:rsid w:val="2D9466A0"/>
    <w:rsid w:val="2DBB4A99"/>
    <w:rsid w:val="2DCF4ABA"/>
    <w:rsid w:val="2DD24D42"/>
    <w:rsid w:val="2ECA0B16"/>
    <w:rsid w:val="2EEF1974"/>
    <w:rsid w:val="2EF43A25"/>
    <w:rsid w:val="2F312621"/>
    <w:rsid w:val="2F354756"/>
    <w:rsid w:val="2F3F2F15"/>
    <w:rsid w:val="2F4666AF"/>
    <w:rsid w:val="2F685B71"/>
    <w:rsid w:val="2F79053B"/>
    <w:rsid w:val="2FD03CE8"/>
    <w:rsid w:val="2FD64FAC"/>
    <w:rsid w:val="2FED3F70"/>
    <w:rsid w:val="30534F57"/>
    <w:rsid w:val="307F5A9B"/>
    <w:rsid w:val="30A43A04"/>
    <w:rsid w:val="30A57819"/>
    <w:rsid w:val="30A6328B"/>
    <w:rsid w:val="310F4447"/>
    <w:rsid w:val="31434DFB"/>
    <w:rsid w:val="316C673B"/>
    <w:rsid w:val="31781329"/>
    <w:rsid w:val="31A87E60"/>
    <w:rsid w:val="31B07504"/>
    <w:rsid w:val="31B13A19"/>
    <w:rsid w:val="31B2093A"/>
    <w:rsid w:val="31DD4ADB"/>
    <w:rsid w:val="31F06C8B"/>
    <w:rsid w:val="31F40BD6"/>
    <w:rsid w:val="32307D8F"/>
    <w:rsid w:val="3233692D"/>
    <w:rsid w:val="3269661A"/>
    <w:rsid w:val="3285157D"/>
    <w:rsid w:val="32AC470D"/>
    <w:rsid w:val="32AD004B"/>
    <w:rsid w:val="32CE2325"/>
    <w:rsid w:val="32FF0075"/>
    <w:rsid w:val="32FF49F7"/>
    <w:rsid w:val="33150590"/>
    <w:rsid w:val="332A494A"/>
    <w:rsid w:val="33417C8F"/>
    <w:rsid w:val="33571136"/>
    <w:rsid w:val="33661FAC"/>
    <w:rsid w:val="337A73F2"/>
    <w:rsid w:val="339A5A99"/>
    <w:rsid w:val="33BB2B55"/>
    <w:rsid w:val="33D461DB"/>
    <w:rsid w:val="34095BD9"/>
    <w:rsid w:val="34503376"/>
    <w:rsid w:val="3476779E"/>
    <w:rsid w:val="3490626C"/>
    <w:rsid w:val="34DD39FE"/>
    <w:rsid w:val="350327B4"/>
    <w:rsid w:val="352B0250"/>
    <w:rsid w:val="355B27B5"/>
    <w:rsid w:val="35707FD8"/>
    <w:rsid w:val="35814314"/>
    <w:rsid w:val="35947AF5"/>
    <w:rsid w:val="35A95619"/>
    <w:rsid w:val="35C538FD"/>
    <w:rsid w:val="35D546C2"/>
    <w:rsid w:val="35D97D7C"/>
    <w:rsid w:val="36534FBA"/>
    <w:rsid w:val="365C4654"/>
    <w:rsid w:val="367B0EA7"/>
    <w:rsid w:val="369E6565"/>
    <w:rsid w:val="36B267C5"/>
    <w:rsid w:val="36D30B9F"/>
    <w:rsid w:val="36D978FA"/>
    <w:rsid w:val="36D9797F"/>
    <w:rsid w:val="36DE3886"/>
    <w:rsid w:val="36E36539"/>
    <w:rsid w:val="37215F3A"/>
    <w:rsid w:val="37842BD6"/>
    <w:rsid w:val="37B45984"/>
    <w:rsid w:val="37D75607"/>
    <w:rsid w:val="37D8215B"/>
    <w:rsid w:val="37EA46A3"/>
    <w:rsid w:val="38083C36"/>
    <w:rsid w:val="383B24AE"/>
    <w:rsid w:val="384A4F07"/>
    <w:rsid w:val="384D21E9"/>
    <w:rsid w:val="385530EC"/>
    <w:rsid w:val="385A2A23"/>
    <w:rsid w:val="38701131"/>
    <w:rsid w:val="38750AA3"/>
    <w:rsid w:val="389528EF"/>
    <w:rsid w:val="38A21AD9"/>
    <w:rsid w:val="38AE2389"/>
    <w:rsid w:val="38CA7457"/>
    <w:rsid w:val="38D72F05"/>
    <w:rsid w:val="38EC14D6"/>
    <w:rsid w:val="38F82811"/>
    <w:rsid w:val="38F83FEA"/>
    <w:rsid w:val="3927004C"/>
    <w:rsid w:val="394B2381"/>
    <w:rsid w:val="397F5D55"/>
    <w:rsid w:val="399C33A5"/>
    <w:rsid w:val="39CD2122"/>
    <w:rsid w:val="39D00C02"/>
    <w:rsid w:val="39E52EC7"/>
    <w:rsid w:val="39F261DE"/>
    <w:rsid w:val="3A0D54F5"/>
    <w:rsid w:val="3A5A0EB4"/>
    <w:rsid w:val="3A9777F5"/>
    <w:rsid w:val="3A9F014C"/>
    <w:rsid w:val="3AB71744"/>
    <w:rsid w:val="3AC139F7"/>
    <w:rsid w:val="3AC25E90"/>
    <w:rsid w:val="3AEA295B"/>
    <w:rsid w:val="3AF857B6"/>
    <w:rsid w:val="3B8632FC"/>
    <w:rsid w:val="3BCC3D3B"/>
    <w:rsid w:val="3BD2084F"/>
    <w:rsid w:val="3BE64ED1"/>
    <w:rsid w:val="3BF575ED"/>
    <w:rsid w:val="3BFB251E"/>
    <w:rsid w:val="3BFD1BC7"/>
    <w:rsid w:val="3C2B322B"/>
    <w:rsid w:val="3C374086"/>
    <w:rsid w:val="3C577784"/>
    <w:rsid w:val="3C595008"/>
    <w:rsid w:val="3C7B5EFE"/>
    <w:rsid w:val="3C8C2FD4"/>
    <w:rsid w:val="3C976E92"/>
    <w:rsid w:val="3C9C1CA2"/>
    <w:rsid w:val="3CE04D42"/>
    <w:rsid w:val="3CE14793"/>
    <w:rsid w:val="3D0C2B94"/>
    <w:rsid w:val="3D1F58C4"/>
    <w:rsid w:val="3D222ADE"/>
    <w:rsid w:val="3D255522"/>
    <w:rsid w:val="3D37266C"/>
    <w:rsid w:val="3D5175F6"/>
    <w:rsid w:val="3DA836BC"/>
    <w:rsid w:val="3DBF3C2B"/>
    <w:rsid w:val="3DF50567"/>
    <w:rsid w:val="3E3130C7"/>
    <w:rsid w:val="3E374CD8"/>
    <w:rsid w:val="3E6A1A97"/>
    <w:rsid w:val="3E90612B"/>
    <w:rsid w:val="3EA63718"/>
    <w:rsid w:val="3EE74BD8"/>
    <w:rsid w:val="3EF142B8"/>
    <w:rsid w:val="3EF31720"/>
    <w:rsid w:val="3EF96844"/>
    <w:rsid w:val="3F092266"/>
    <w:rsid w:val="3F214990"/>
    <w:rsid w:val="3F367706"/>
    <w:rsid w:val="3F421A0C"/>
    <w:rsid w:val="3F4666D8"/>
    <w:rsid w:val="3F5F5370"/>
    <w:rsid w:val="3F751D74"/>
    <w:rsid w:val="3F7C1DFB"/>
    <w:rsid w:val="3F7F5797"/>
    <w:rsid w:val="3F8F7E0B"/>
    <w:rsid w:val="3FE86FFC"/>
    <w:rsid w:val="40027493"/>
    <w:rsid w:val="400304D1"/>
    <w:rsid w:val="402A4067"/>
    <w:rsid w:val="40410578"/>
    <w:rsid w:val="40A7674E"/>
    <w:rsid w:val="40BA6BD0"/>
    <w:rsid w:val="40BF391F"/>
    <w:rsid w:val="40E7528E"/>
    <w:rsid w:val="411A59C2"/>
    <w:rsid w:val="412B145B"/>
    <w:rsid w:val="416D60AE"/>
    <w:rsid w:val="416F2DD1"/>
    <w:rsid w:val="417C185B"/>
    <w:rsid w:val="417E5BAB"/>
    <w:rsid w:val="41982A5B"/>
    <w:rsid w:val="41E24252"/>
    <w:rsid w:val="422A32E6"/>
    <w:rsid w:val="422D3D58"/>
    <w:rsid w:val="422E5823"/>
    <w:rsid w:val="42365529"/>
    <w:rsid w:val="428A6930"/>
    <w:rsid w:val="42A9411F"/>
    <w:rsid w:val="42D43A02"/>
    <w:rsid w:val="42D44D64"/>
    <w:rsid w:val="42D5711F"/>
    <w:rsid w:val="42F4340F"/>
    <w:rsid w:val="433E065C"/>
    <w:rsid w:val="43657023"/>
    <w:rsid w:val="43674989"/>
    <w:rsid w:val="436A4639"/>
    <w:rsid w:val="43972F54"/>
    <w:rsid w:val="43D843AB"/>
    <w:rsid w:val="43E029A9"/>
    <w:rsid w:val="43EC6B6E"/>
    <w:rsid w:val="44084B48"/>
    <w:rsid w:val="442A29B6"/>
    <w:rsid w:val="44393EB4"/>
    <w:rsid w:val="443A3685"/>
    <w:rsid w:val="44450DF0"/>
    <w:rsid w:val="447A6E2D"/>
    <w:rsid w:val="44FD33A2"/>
    <w:rsid w:val="453413AE"/>
    <w:rsid w:val="45616C45"/>
    <w:rsid w:val="457C57B8"/>
    <w:rsid w:val="45B63D3C"/>
    <w:rsid w:val="45D079C5"/>
    <w:rsid w:val="45EB38EC"/>
    <w:rsid w:val="461B60BF"/>
    <w:rsid w:val="464420DE"/>
    <w:rsid w:val="465D581E"/>
    <w:rsid w:val="4669643F"/>
    <w:rsid w:val="467C5F62"/>
    <w:rsid w:val="469837B1"/>
    <w:rsid w:val="46E666CD"/>
    <w:rsid w:val="470D1EAB"/>
    <w:rsid w:val="472F3B65"/>
    <w:rsid w:val="47317437"/>
    <w:rsid w:val="473E1472"/>
    <w:rsid w:val="473E2065"/>
    <w:rsid w:val="47547C8B"/>
    <w:rsid w:val="47A02CEF"/>
    <w:rsid w:val="47B46143"/>
    <w:rsid w:val="47C007BB"/>
    <w:rsid w:val="48066FE5"/>
    <w:rsid w:val="480F4B8B"/>
    <w:rsid w:val="483A64A1"/>
    <w:rsid w:val="48736E1E"/>
    <w:rsid w:val="488C6F20"/>
    <w:rsid w:val="48963F4D"/>
    <w:rsid w:val="48FA5198"/>
    <w:rsid w:val="49082A74"/>
    <w:rsid w:val="491B6B3B"/>
    <w:rsid w:val="49265732"/>
    <w:rsid w:val="494B75D4"/>
    <w:rsid w:val="49553696"/>
    <w:rsid w:val="49817313"/>
    <w:rsid w:val="49944DB5"/>
    <w:rsid w:val="49957229"/>
    <w:rsid w:val="49A6407A"/>
    <w:rsid w:val="49CB3B73"/>
    <w:rsid w:val="49EB4171"/>
    <w:rsid w:val="4A304360"/>
    <w:rsid w:val="4A445977"/>
    <w:rsid w:val="4A905130"/>
    <w:rsid w:val="4AA735F8"/>
    <w:rsid w:val="4AB23DF0"/>
    <w:rsid w:val="4ABF38B7"/>
    <w:rsid w:val="4ACE2990"/>
    <w:rsid w:val="4AE9151A"/>
    <w:rsid w:val="4AF07416"/>
    <w:rsid w:val="4AF5753F"/>
    <w:rsid w:val="4B107843"/>
    <w:rsid w:val="4B233D6B"/>
    <w:rsid w:val="4B4B0E45"/>
    <w:rsid w:val="4B516CF0"/>
    <w:rsid w:val="4B5E5B51"/>
    <w:rsid w:val="4B8D0A6C"/>
    <w:rsid w:val="4B91327F"/>
    <w:rsid w:val="4B9365A7"/>
    <w:rsid w:val="4B9E7ACA"/>
    <w:rsid w:val="4BBC63E0"/>
    <w:rsid w:val="4BBD1A3E"/>
    <w:rsid w:val="4BCC36FF"/>
    <w:rsid w:val="4BDB4E20"/>
    <w:rsid w:val="4BF85645"/>
    <w:rsid w:val="4C0B4B09"/>
    <w:rsid w:val="4C353756"/>
    <w:rsid w:val="4C4E2F68"/>
    <w:rsid w:val="4C4F4481"/>
    <w:rsid w:val="4C5514B1"/>
    <w:rsid w:val="4C6E798E"/>
    <w:rsid w:val="4C7C6999"/>
    <w:rsid w:val="4C8711B0"/>
    <w:rsid w:val="4C91428A"/>
    <w:rsid w:val="4CC626B4"/>
    <w:rsid w:val="4CF91D36"/>
    <w:rsid w:val="4D152B72"/>
    <w:rsid w:val="4D717F8A"/>
    <w:rsid w:val="4D9D3DA1"/>
    <w:rsid w:val="4DAD5E19"/>
    <w:rsid w:val="4DB7401C"/>
    <w:rsid w:val="4DBE4A08"/>
    <w:rsid w:val="4E1759E7"/>
    <w:rsid w:val="4E2F7C63"/>
    <w:rsid w:val="4E3E0172"/>
    <w:rsid w:val="4E6911A0"/>
    <w:rsid w:val="4E990509"/>
    <w:rsid w:val="4EB41A99"/>
    <w:rsid w:val="4ECB11B2"/>
    <w:rsid w:val="4ED72FA8"/>
    <w:rsid w:val="4F3C6E5B"/>
    <w:rsid w:val="4FE633C5"/>
    <w:rsid w:val="50061DA9"/>
    <w:rsid w:val="505553D2"/>
    <w:rsid w:val="50603B10"/>
    <w:rsid w:val="50743CE2"/>
    <w:rsid w:val="507C1E50"/>
    <w:rsid w:val="50831708"/>
    <w:rsid w:val="50852AB2"/>
    <w:rsid w:val="50A836EB"/>
    <w:rsid w:val="50B00F8F"/>
    <w:rsid w:val="50B03FF3"/>
    <w:rsid w:val="50F23D0D"/>
    <w:rsid w:val="51160711"/>
    <w:rsid w:val="515008D8"/>
    <w:rsid w:val="516E2F31"/>
    <w:rsid w:val="51724D37"/>
    <w:rsid w:val="51927398"/>
    <w:rsid w:val="519871F7"/>
    <w:rsid w:val="51A84B98"/>
    <w:rsid w:val="51C270E2"/>
    <w:rsid w:val="51D66921"/>
    <w:rsid w:val="51FF36C9"/>
    <w:rsid w:val="52312B32"/>
    <w:rsid w:val="52643326"/>
    <w:rsid w:val="5266150F"/>
    <w:rsid w:val="527669B3"/>
    <w:rsid w:val="52CB14BF"/>
    <w:rsid w:val="52EA67B0"/>
    <w:rsid w:val="53025947"/>
    <w:rsid w:val="530D4FE1"/>
    <w:rsid w:val="531C1D61"/>
    <w:rsid w:val="532531DF"/>
    <w:rsid w:val="532E2C8F"/>
    <w:rsid w:val="533B0238"/>
    <w:rsid w:val="53437A87"/>
    <w:rsid w:val="535E23F3"/>
    <w:rsid w:val="539C7BA4"/>
    <w:rsid w:val="53A37CA6"/>
    <w:rsid w:val="53B019ED"/>
    <w:rsid w:val="53B45FC0"/>
    <w:rsid w:val="53C55803"/>
    <w:rsid w:val="53FC1151"/>
    <w:rsid w:val="54297423"/>
    <w:rsid w:val="5433389F"/>
    <w:rsid w:val="546A5B06"/>
    <w:rsid w:val="54A322BC"/>
    <w:rsid w:val="54A97E62"/>
    <w:rsid w:val="54B03FEB"/>
    <w:rsid w:val="54B3659F"/>
    <w:rsid w:val="54B92A6D"/>
    <w:rsid w:val="54DB3A85"/>
    <w:rsid w:val="54ED6C41"/>
    <w:rsid w:val="550910FC"/>
    <w:rsid w:val="550A289C"/>
    <w:rsid w:val="55171E5A"/>
    <w:rsid w:val="55225414"/>
    <w:rsid w:val="552D514F"/>
    <w:rsid w:val="55902646"/>
    <w:rsid w:val="55962E03"/>
    <w:rsid w:val="55AE4859"/>
    <w:rsid w:val="55DA3AE3"/>
    <w:rsid w:val="55FF74C4"/>
    <w:rsid w:val="562B2040"/>
    <w:rsid w:val="564F7583"/>
    <w:rsid w:val="56567A04"/>
    <w:rsid w:val="56931D60"/>
    <w:rsid w:val="56AC560C"/>
    <w:rsid w:val="5749111B"/>
    <w:rsid w:val="57C055E8"/>
    <w:rsid w:val="58090B34"/>
    <w:rsid w:val="580B697B"/>
    <w:rsid w:val="58347A39"/>
    <w:rsid w:val="585264B0"/>
    <w:rsid w:val="58AE0BCF"/>
    <w:rsid w:val="58B179AE"/>
    <w:rsid w:val="58B34FA1"/>
    <w:rsid w:val="58D376D4"/>
    <w:rsid w:val="58D47B9F"/>
    <w:rsid w:val="58E06119"/>
    <w:rsid w:val="58FC6B3F"/>
    <w:rsid w:val="59135ED5"/>
    <w:rsid w:val="591A2310"/>
    <w:rsid w:val="5933590A"/>
    <w:rsid w:val="59674EBE"/>
    <w:rsid w:val="596C48D5"/>
    <w:rsid w:val="596E1FD1"/>
    <w:rsid w:val="596E38D3"/>
    <w:rsid w:val="59871BF3"/>
    <w:rsid w:val="598768AF"/>
    <w:rsid w:val="59BC20A7"/>
    <w:rsid w:val="59ED0971"/>
    <w:rsid w:val="59FB0FDC"/>
    <w:rsid w:val="5A4613C3"/>
    <w:rsid w:val="5A6534C1"/>
    <w:rsid w:val="5B422B69"/>
    <w:rsid w:val="5B566BC4"/>
    <w:rsid w:val="5B71765A"/>
    <w:rsid w:val="5B744A33"/>
    <w:rsid w:val="5B7C71A8"/>
    <w:rsid w:val="5B821E22"/>
    <w:rsid w:val="5BAB4624"/>
    <w:rsid w:val="5BDE1E2C"/>
    <w:rsid w:val="5C054082"/>
    <w:rsid w:val="5C441A74"/>
    <w:rsid w:val="5C6F056A"/>
    <w:rsid w:val="5C9C41B7"/>
    <w:rsid w:val="5CD3064D"/>
    <w:rsid w:val="5CD54DC2"/>
    <w:rsid w:val="5CDF34EB"/>
    <w:rsid w:val="5CEE0EED"/>
    <w:rsid w:val="5CF27E96"/>
    <w:rsid w:val="5D2F5C03"/>
    <w:rsid w:val="5D3B520E"/>
    <w:rsid w:val="5D3E2967"/>
    <w:rsid w:val="5D6746BB"/>
    <w:rsid w:val="5D705D4E"/>
    <w:rsid w:val="5D72103A"/>
    <w:rsid w:val="5DC43CE1"/>
    <w:rsid w:val="5DF85974"/>
    <w:rsid w:val="5E5A7AE4"/>
    <w:rsid w:val="5E751F0A"/>
    <w:rsid w:val="5E8E3969"/>
    <w:rsid w:val="5EB43F0D"/>
    <w:rsid w:val="5ED44EE9"/>
    <w:rsid w:val="5F122BB6"/>
    <w:rsid w:val="5F542F59"/>
    <w:rsid w:val="5F5A2D57"/>
    <w:rsid w:val="5F692A47"/>
    <w:rsid w:val="5F693971"/>
    <w:rsid w:val="5FA50178"/>
    <w:rsid w:val="5FA70CFD"/>
    <w:rsid w:val="5FAA17E7"/>
    <w:rsid w:val="5FB74E6E"/>
    <w:rsid w:val="5FD3114B"/>
    <w:rsid w:val="5FD8487C"/>
    <w:rsid w:val="5FE33D76"/>
    <w:rsid w:val="5FF42065"/>
    <w:rsid w:val="600E7DDB"/>
    <w:rsid w:val="60175A8B"/>
    <w:rsid w:val="603066CA"/>
    <w:rsid w:val="604432D3"/>
    <w:rsid w:val="60A45E85"/>
    <w:rsid w:val="60C8715E"/>
    <w:rsid w:val="60E56B01"/>
    <w:rsid w:val="610B2F63"/>
    <w:rsid w:val="614E1514"/>
    <w:rsid w:val="61532662"/>
    <w:rsid w:val="61840A19"/>
    <w:rsid w:val="61996F41"/>
    <w:rsid w:val="61D455D1"/>
    <w:rsid w:val="62761BA0"/>
    <w:rsid w:val="62785CC8"/>
    <w:rsid w:val="627D13FE"/>
    <w:rsid w:val="628A1CB2"/>
    <w:rsid w:val="62A65EAC"/>
    <w:rsid w:val="62B115B7"/>
    <w:rsid w:val="62D91D9A"/>
    <w:rsid w:val="62F27912"/>
    <w:rsid w:val="63040203"/>
    <w:rsid w:val="631143F2"/>
    <w:rsid w:val="63251ED3"/>
    <w:rsid w:val="63270409"/>
    <w:rsid w:val="63302D52"/>
    <w:rsid w:val="633E73F7"/>
    <w:rsid w:val="63713068"/>
    <w:rsid w:val="637A1CDB"/>
    <w:rsid w:val="637F40DE"/>
    <w:rsid w:val="639D71D4"/>
    <w:rsid w:val="639F49DD"/>
    <w:rsid w:val="63A65877"/>
    <w:rsid w:val="63D7571D"/>
    <w:rsid w:val="64123BD9"/>
    <w:rsid w:val="64423AFB"/>
    <w:rsid w:val="644840CB"/>
    <w:rsid w:val="649E2F0C"/>
    <w:rsid w:val="64A269E1"/>
    <w:rsid w:val="64C2044E"/>
    <w:rsid w:val="64C770BA"/>
    <w:rsid w:val="64C9283B"/>
    <w:rsid w:val="64F11540"/>
    <w:rsid w:val="650E608A"/>
    <w:rsid w:val="651C63F3"/>
    <w:rsid w:val="652C7E0C"/>
    <w:rsid w:val="653F2E52"/>
    <w:rsid w:val="65456983"/>
    <w:rsid w:val="654C63BF"/>
    <w:rsid w:val="65A10FEF"/>
    <w:rsid w:val="65A6787F"/>
    <w:rsid w:val="65D35269"/>
    <w:rsid w:val="65D47FBC"/>
    <w:rsid w:val="66181D27"/>
    <w:rsid w:val="66750F06"/>
    <w:rsid w:val="66772DB0"/>
    <w:rsid w:val="668819AA"/>
    <w:rsid w:val="668D1764"/>
    <w:rsid w:val="66AC6D71"/>
    <w:rsid w:val="66D45B5D"/>
    <w:rsid w:val="67172231"/>
    <w:rsid w:val="67221766"/>
    <w:rsid w:val="675E54C9"/>
    <w:rsid w:val="679A1169"/>
    <w:rsid w:val="67BF1805"/>
    <w:rsid w:val="67E759A9"/>
    <w:rsid w:val="67F93B99"/>
    <w:rsid w:val="680C3563"/>
    <w:rsid w:val="68337E05"/>
    <w:rsid w:val="68630FDF"/>
    <w:rsid w:val="687050DF"/>
    <w:rsid w:val="68760937"/>
    <w:rsid w:val="68C336AF"/>
    <w:rsid w:val="68F66848"/>
    <w:rsid w:val="69472522"/>
    <w:rsid w:val="694B6EB8"/>
    <w:rsid w:val="6954303F"/>
    <w:rsid w:val="698410F0"/>
    <w:rsid w:val="698E088D"/>
    <w:rsid w:val="69D27D80"/>
    <w:rsid w:val="6A007B19"/>
    <w:rsid w:val="6A410F0B"/>
    <w:rsid w:val="6A5F21D6"/>
    <w:rsid w:val="6A6B3761"/>
    <w:rsid w:val="6A7E7587"/>
    <w:rsid w:val="6A803338"/>
    <w:rsid w:val="6A872937"/>
    <w:rsid w:val="6A977375"/>
    <w:rsid w:val="6AB3326B"/>
    <w:rsid w:val="6AB722A4"/>
    <w:rsid w:val="6ABA1CCE"/>
    <w:rsid w:val="6B2F11C0"/>
    <w:rsid w:val="6B405BC0"/>
    <w:rsid w:val="6B4A7157"/>
    <w:rsid w:val="6B61122A"/>
    <w:rsid w:val="6B69435D"/>
    <w:rsid w:val="6BFD579B"/>
    <w:rsid w:val="6C040D59"/>
    <w:rsid w:val="6C3933DC"/>
    <w:rsid w:val="6C5D1AD3"/>
    <w:rsid w:val="6C74741D"/>
    <w:rsid w:val="6C8F2FF0"/>
    <w:rsid w:val="6CCF550C"/>
    <w:rsid w:val="6CDF2799"/>
    <w:rsid w:val="6CE95D1F"/>
    <w:rsid w:val="6CF47764"/>
    <w:rsid w:val="6D0B25F0"/>
    <w:rsid w:val="6D1A534D"/>
    <w:rsid w:val="6D6D2244"/>
    <w:rsid w:val="6DB315D7"/>
    <w:rsid w:val="6E3521B3"/>
    <w:rsid w:val="6E373F1B"/>
    <w:rsid w:val="6E522E61"/>
    <w:rsid w:val="6E656D12"/>
    <w:rsid w:val="6E6A2D24"/>
    <w:rsid w:val="6E71120D"/>
    <w:rsid w:val="6EDF26B9"/>
    <w:rsid w:val="6EF82DDB"/>
    <w:rsid w:val="6F191CC2"/>
    <w:rsid w:val="6F213339"/>
    <w:rsid w:val="6F3959FB"/>
    <w:rsid w:val="6F45311A"/>
    <w:rsid w:val="6F775864"/>
    <w:rsid w:val="6F97270A"/>
    <w:rsid w:val="6FA352F1"/>
    <w:rsid w:val="6FA825A8"/>
    <w:rsid w:val="6FB6638D"/>
    <w:rsid w:val="6FB865A9"/>
    <w:rsid w:val="6FB90A0C"/>
    <w:rsid w:val="6FC34F4E"/>
    <w:rsid w:val="6FD77364"/>
    <w:rsid w:val="7003020E"/>
    <w:rsid w:val="700B799B"/>
    <w:rsid w:val="70417A49"/>
    <w:rsid w:val="7095024A"/>
    <w:rsid w:val="70B57495"/>
    <w:rsid w:val="71027333"/>
    <w:rsid w:val="71477544"/>
    <w:rsid w:val="715E1B7E"/>
    <w:rsid w:val="718E681F"/>
    <w:rsid w:val="71A111EF"/>
    <w:rsid w:val="71AF1703"/>
    <w:rsid w:val="71D23226"/>
    <w:rsid w:val="720C2AB9"/>
    <w:rsid w:val="721C1498"/>
    <w:rsid w:val="722833D6"/>
    <w:rsid w:val="72393AFD"/>
    <w:rsid w:val="725B6D95"/>
    <w:rsid w:val="72BC2C8E"/>
    <w:rsid w:val="72EA6EB0"/>
    <w:rsid w:val="72F36AEB"/>
    <w:rsid w:val="72F677A5"/>
    <w:rsid w:val="73353FCA"/>
    <w:rsid w:val="7358522F"/>
    <w:rsid w:val="73725823"/>
    <w:rsid w:val="73BC6873"/>
    <w:rsid w:val="73BE2C19"/>
    <w:rsid w:val="73E97CBC"/>
    <w:rsid w:val="74175C2F"/>
    <w:rsid w:val="742559E9"/>
    <w:rsid w:val="742B623F"/>
    <w:rsid w:val="74367077"/>
    <w:rsid w:val="74A52253"/>
    <w:rsid w:val="74B828AC"/>
    <w:rsid w:val="74BD01BD"/>
    <w:rsid w:val="75265360"/>
    <w:rsid w:val="75425E46"/>
    <w:rsid w:val="75811C9D"/>
    <w:rsid w:val="759C7BBC"/>
    <w:rsid w:val="75A23A72"/>
    <w:rsid w:val="75AA5E02"/>
    <w:rsid w:val="75AB3E1A"/>
    <w:rsid w:val="75DC0489"/>
    <w:rsid w:val="75DC28C5"/>
    <w:rsid w:val="76082A27"/>
    <w:rsid w:val="765B2CE0"/>
    <w:rsid w:val="76C842AC"/>
    <w:rsid w:val="76E330CB"/>
    <w:rsid w:val="76F679B7"/>
    <w:rsid w:val="76FF4ABD"/>
    <w:rsid w:val="771478CB"/>
    <w:rsid w:val="773C4A9A"/>
    <w:rsid w:val="776F37EE"/>
    <w:rsid w:val="777A596B"/>
    <w:rsid w:val="77967F8E"/>
    <w:rsid w:val="77AC6C03"/>
    <w:rsid w:val="78407667"/>
    <w:rsid w:val="78527AAB"/>
    <w:rsid w:val="786077DD"/>
    <w:rsid w:val="78672B4D"/>
    <w:rsid w:val="786E25A7"/>
    <w:rsid w:val="78702A0E"/>
    <w:rsid w:val="788923F6"/>
    <w:rsid w:val="78CB63A3"/>
    <w:rsid w:val="791A3E30"/>
    <w:rsid w:val="79443BB1"/>
    <w:rsid w:val="79D244E1"/>
    <w:rsid w:val="79D815F5"/>
    <w:rsid w:val="79FA1DBD"/>
    <w:rsid w:val="7A095FF1"/>
    <w:rsid w:val="7A0A1B65"/>
    <w:rsid w:val="7A4E49A6"/>
    <w:rsid w:val="7A865883"/>
    <w:rsid w:val="7A8772A3"/>
    <w:rsid w:val="7A962DC2"/>
    <w:rsid w:val="7A981A62"/>
    <w:rsid w:val="7A9A7AC7"/>
    <w:rsid w:val="7AC45E1B"/>
    <w:rsid w:val="7AD34CFE"/>
    <w:rsid w:val="7B0C1081"/>
    <w:rsid w:val="7B3D705F"/>
    <w:rsid w:val="7B5D0F17"/>
    <w:rsid w:val="7B677FF8"/>
    <w:rsid w:val="7B846629"/>
    <w:rsid w:val="7BAB6AFA"/>
    <w:rsid w:val="7BB5537C"/>
    <w:rsid w:val="7C227EC9"/>
    <w:rsid w:val="7C321491"/>
    <w:rsid w:val="7C4368F7"/>
    <w:rsid w:val="7C55677F"/>
    <w:rsid w:val="7C720A78"/>
    <w:rsid w:val="7C7318C4"/>
    <w:rsid w:val="7CDC40DB"/>
    <w:rsid w:val="7CEF313D"/>
    <w:rsid w:val="7D2F58E8"/>
    <w:rsid w:val="7D511A83"/>
    <w:rsid w:val="7DAD04F5"/>
    <w:rsid w:val="7DC96D4B"/>
    <w:rsid w:val="7DE572E9"/>
    <w:rsid w:val="7DFA7312"/>
    <w:rsid w:val="7E526B3F"/>
    <w:rsid w:val="7E5457E7"/>
    <w:rsid w:val="7E596D16"/>
    <w:rsid w:val="7E721F5E"/>
    <w:rsid w:val="7E7B47EF"/>
    <w:rsid w:val="7E7E6795"/>
    <w:rsid w:val="7E857D9D"/>
    <w:rsid w:val="7EB75C7D"/>
    <w:rsid w:val="7EDB0A1A"/>
    <w:rsid w:val="7F2C7391"/>
    <w:rsid w:val="7F881044"/>
    <w:rsid w:val="7FA3301E"/>
    <w:rsid w:val="7FA65F3A"/>
    <w:rsid w:val="7FB96C5A"/>
    <w:rsid w:val="7FC8456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qFormat="1" w:unhideWhenUsed="0" w:uiPriority="0" w:name="index 2"/>
    <w:lsdException w:qFormat="1" w:unhideWhenUsed="0" w:uiPriority="0" w:name="index 3"/>
    <w:lsdException w:qFormat="1" w:unhideWhenUsed="0" w:uiPriority="0" w:name="index 4"/>
    <w:lsdException w:qFormat="1" w:unhideWhenUsed="0" w:uiPriority="0" w:name="index 5"/>
    <w:lsdException w:qFormat="1" w:unhideWhenUsed="0" w:uiPriority="0" w:name="index 6"/>
    <w:lsdException w:qFormat="1" w:unhideWhenUsed="0" w:uiPriority="0" w:name="index 7"/>
    <w:lsdException w:qFormat="1" w:unhideWhenUsed="0" w:uiPriority="0" w:name="index 8"/>
    <w:lsdException w:qFormat="1" w:unhideWhenUsed="0"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name="index heading"/>
    <w:lsdException w:qFormat="1" w:unhideWhenUsed="0" w:uiPriority="0" w:semiHidden="0" w:name="caption"/>
    <w:lsdException w:qFormat="1" w:unhideWhenUsed="0" w:uiPriority="0" w:name="table of figures"/>
    <w:lsdException w:qFormat="1" w:unhideWhenUsed="0" w:uiPriority="0" w:name="envelope address"/>
    <w:lsdException w:qFormat="1" w:unhideWhenUsed="0" w:uiPriority="0" w:name="envelope return"/>
    <w:lsdException w:unhideWhenUsed="0" w:uiPriority="0" w:semiHidden="0" w:name="footnote reference"/>
    <w:lsdException w:qFormat="1" w:unhideWhenUsed="0" w:uiPriority="0" w:semiHidden="0" w:name="annotation reference"/>
    <w:lsdException w:qFormat="1" w:unhideWhenUsed="0" w:uiPriority="0" w:name="line number"/>
    <w:lsdException w:qFormat="1" w:unhideWhenUsed="0" w:uiPriority="0" w:semiHidden="0" w:name="page number"/>
    <w:lsdException w:unhideWhenUsed="0" w:uiPriority="0" w:semiHidden="0" w:name="endnote reference"/>
    <w:lsdException w:qFormat="1" w:unhideWhenUsed="0" w:uiPriority="0" w:name="endnote text"/>
    <w:lsdException w:qFormat="1" w:unhideWhenUsed="0" w:uiPriority="0" w:name="table of authorities"/>
    <w:lsdException w:qFormat="1" w:unhideWhenUsed="0" w:uiPriority="0" w:name="macro"/>
    <w:lsdException w:qFormat="1" w:unhideWhenUsed="0" w:uiPriority="0" w:name="toa heading"/>
    <w:lsdException w:qFormat="1" w:unhideWhenUsed="0" w:uiPriority="0" w:semiHidden="0" w:name="List"/>
    <w:lsdException w:qFormat="1" w:unhideWhenUsed="0" w:uiPriority="0" w:name="List Bullet"/>
    <w:lsdException w:qFormat="1" w:unhideWhenUsed="0" w:uiPriority="0" w:name="List Number"/>
    <w:lsdException w:qFormat="1" w:unhideWhenUsed="0" w:uiPriority="0" w:name="List 2"/>
    <w:lsdException w:qFormat="1" w:unhideWhenUsed="0" w:uiPriority="0" w:name="List 3"/>
    <w:lsdException w:qFormat="1" w:unhideWhenUsed="0" w:uiPriority="0" w:name="List 4"/>
    <w:lsdException w:qFormat="1" w:unhideWhenUsed="0" w:uiPriority="0" w:name="List 5"/>
    <w:lsdException w:qFormat="1" w:unhideWhenUsed="0" w:uiPriority="0" w:name="List Bullet 2"/>
    <w:lsdException w:qFormat="1" w:unhideWhenUsed="0" w:uiPriority="0" w:name="List Bullet 3"/>
    <w:lsdException w:qFormat="1" w:unhideWhenUsed="0" w:uiPriority="0" w:name="List Bullet 4"/>
    <w:lsdException w:qFormat="1" w:unhideWhenUsed="0" w:uiPriority="0" w:name="List Bullet 5"/>
    <w:lsdException w:qFormat="1" w:unhideWhenUsed="0" w:uiPriority="0" w:name="List Number 2"/>
    <w:lsdException w:qFormat="1" w:unhideWhenUsed="0" w:uiPriority="0" w:name="List Number 3"/>
    <w:lsdException w:qFormat="1" w:unhideWhenUsed="0" w:uiPriority="0" w:name="List Number 4"/>
    <w:lsdException w:qFormat="1" w:unhideWhenUsed="0" w:uiPriority="0" w:name="List Number 5"/>
    <w:lsdException w:qFormat="1" w:unhideWhenUsed="0" w:uiPriority="0" w:semiHidden="0" w:name="Title"/>
    <w:lsdException w:qFormat="1" w:unhideWhenUsed="0" w:uiPriority="0" w:name="Closing"/>
    <w:lsdException w:qFormat="1" w:unhideWhenUsed="0" w:uiPriority="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name="List Continue"/>
    <w:lsdException w:qFormat="1" w:unhideWhenUsed="0" w:uiPriority="0" w:name="List Continue 2"/>
    <w:lsdException w:qFormat="1" w:unhideWhenUsed="0" w:uiPriority="0" w:name="List Continue 3"/>
    <w:lsdException w:qFormat="1" w:unhideWhenUsed="0" w:uiPriority="0" w:name="List Continue 4"/>
    <w:lsdException w:qFormat="1" w:unhideWhenUsed="0" w:uiPriority="0" w:name="List Continue 5"/>
    <w:lsdException w:qFormat="1" w:unhideWhenUsed="0" w:uiPriority="0" w:name="Message Header"/>
    <w:lsdException w:qFormat="1" w:unhideWhenUsed="0" w:uiPriority="0" w:semiHidden="0" w:name="Subtitle"/>
    <w:lsdException w:qFormat="1" w:unhideWhenUsed="0" w:uiPriority="0" w:name="Salutation"/>
    <w:lsdException w:qFormat="1" w:unhideWhenUsed="0" w:uiPriority="0" w:semiHidden="0" w:name="Date"/>
    <w:lsdException w:qFormat="1" w:unhideWhenUsed="0" w:uiPriority="0" w:name="Body Text First Indent"/>
    <w:lsdException w:qFormat="1" w:unhideWhenUsed="0" w:uiPriority="0" w:semiHidden="0" w:name="Body Text First Indent 2"/>
    <w:lsdException w:qFormat="1" w:unhideWhenUsed="0"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qFormat="1" w:unhideWhenUsed="0" w:uiPriority="0" w:name="E-mail Signature"/>
    <w:lsdException w:qFormat="1" w:unhideWhenUsed="0" w:uiPriority="0" w:semiHidden="0" w:name="Normal (Web)"/>
    <w:lsdException w:qFormat="1" w:unhideWhenUsed="0" w:uiPriority="0" w:name="HTML Acronym"/>
    <w:lsdException w:qFormat="1" w:unhideWhenUsed="0" w:uiPriority="0" w:name="HTML Address"/>
    <w:lsdException w:qFormat="1" w:unhideWhenUsed="0" w:uiPriority="0" w:name="HTML Cite"/>
    <w:lsdException w:qFormat="1" w:unhideWhenUsed="0" w:uiPriority="0" w:name="HTML Code"/>
    <w:lsdException w:qFormat="1" w:unhideWhenUsed="0" w:uiPriority="0" w:name="HTML Definition"/>
    <w:lsdException w:qFormat="1" w:unhideWhenUsed="0" w:uiPriority="0" w:name="HTML Keyboard"/>
    <w:lsdException w:qFormat="1" w:unhideWhenUsed="0" w:uiPriority="0" w:name="HTML Preformatted"/>
    <w:lsdException w:qFormat="1" w:unhideWhenUsed="0" w:uiPriority="0" w:name="HTML Sample"/>
    <w:lsdException w:qFormat="1" w:unhideWhenUsed="0" w:uiPriority="0" w:name="HTML Typewriter"/>
    <w:lsdException w:qFormat="1" w:unhideWhenUsed="0" w:uiPriority="0" w:name="HTML Variable"/>
    <w:lsdException w:qFormat="1" w:uiPriority="99" w:semiHidden="0" w:name="Normal Table"/>
    <w:lsdException w:qFormat="1" w:unhideWhenUsed="0" w:uiPriority="0" w:name="annotation subject"/>
    <w:lsdException w:qFormat="1" w:unhideWhenUsed="0" w:uiPriority="0" w:name="Table Simple 1"/>
    <w:lsdException w:qFormat="1" w:unhideWhenUsed="0" w:uiPriority="0" w:name="Table Simple 2"/>
    <w:lsdException w:qFormat="1" w:unhideWhenUsed="0" w:uiPriority="0" w:name="Table Simple 3"/>
    <w:lsdException w:qFormat="1" w:unhideWhenUsed="0" w:uiPriority="0" w:name="Table Classic 1"/>
    <w:lsdException w:qFormat="1" w:unhideWhenUsed="0" w:uiPriority="0" w:name="Table Classic 2"/>
    <w:lsdException w:qFormat="1" w:unhideWhenUsed="0" w:uiPriority="0" w:name="Table Classic 3"/>
    <w:lsdException w:qFormat="1" w:unhideWhenUsed="0" w:uiPriority="0" w:name="Table Classic 4"/>
    <w:lsdException w:qFormat="1" w:unhideWhenUsed="0" w:uiPriority="0" w:name="Table Colorful 1"/>
    <w:lsdException w:qFormat="1" w:unhideWhenUsed="0" w:uiPriority="0" w:name="Table Colorful 2"/>
    <w:lsdException w:qFormat="1" w:unhideWhenUsed="0" w:uiPriority="0" w:name="Table Colorful 3"/>
    <w:lsdException w:qFormat="1" w:unhideWhenUsed="0" w:uiPriority="0" w:name="Table Columns 1"/>
    <w:lsdException w:qFormat="1" w:unhideWhenUsed="0" w:uiPriority="0" w:name="Table Columns 2"/>
    <w:lsdException w:qFormat="1" w:unhideWhenUsed="0" w:uiPriority="0" w:name="Table Columns 3"/>
    <w:lsdException w:qFormat="1" w:unhideWhenUsed="0" w:uiPriority="0" w:name="Table Columns 4"/>
    <w:lsdException w:qFormat="1" w:unhideWhenUsed="0" w:uiPriority="0" w:name="Table Columns 5"/>
    <w:lsdException w:qFormat="1" w:unhideWhenUsed="0" w:uiPriority="0" w:name="Table Grid 1"/>
    <w:lsdException w:qFormat="1" w:unhideWhenUsed="0" w:uiPriority="0" w:semiHidden="0" w:name="Table Grid 2"/>
    <w:lsdException w:qFormat="1" w:unhideWhenUsed="0" w:uiPriority="0" w:name="Table Grid 3"/>
    <w:lsdException w:qFormat="1" w:unhideWhenUsed="0" w:uiPriority="0" w:name="Table Grid 4"/>
    <w:lsdException w:qFormat="1" w:unhideWhenUsed="0" w:uiPriority="0" w:name="Table Grid 5"/>
    <w:lsdException w:qFormat="1" w:unhideWhenUsed="0" w:uiPriority="0" w:name="Table Grid 6"/>
    <w:lsdException w:qFormat="1" w:unhideWhenUsed="0" w:uiPriority="0" w:name="Table Grid 7"/>
    <w:lsdException w:qFormat="1" w:unhideWhenUsed="0" w:uiPriority="0" w:name="Table Grid 8"/>
    <w:lsdException w:qFormat="1" w:unhideWhenUsed="0" w:uiPriority="0" w:name="Table List 1"/>
    <w:lsdException w:qFormat="1" w:unhideWhenUsed="0" w:uiPriority="0" w:name="Table List 2"/>
    <w:lsdException w:qFormat="1" w:unhideWhenUsed="0" w:uiPriority="0" w:name="Table List 3"/>
    <w:lsdException w:qFormat="1" w:unhideWhenUsed="0" w:uiPriority="0" w:name="Table List 4"/>
    <w:lsdException w:qFormat="1" w:unhideWhenUsed="0" w:uiPriority="0" w:name="Table List 5"/>
    <w:lsdException w:qFormat="1" w:unhideWhenUsed="0" w:uiPriority="0" w:name="Table List 6"/>
    <w:lsdException w:qFormat="1" w:unhideWhenUsed="0" w:uiPriority="0" w:name="Table List 7"/>
    <w:lsdException w:qFormat="1" w:unhideWhenUsed="0" w:uiPriority="0" w:name="Table List 8"/>
    <w:lsdException w:qFormat="1" w:unhideWhenUsed="0" w:uiPriority="0" w:name="Table 3D effects 1"/>
    <w:lsdException w:qFormat="1" w:unhideWhenUsed="0" w:uiPriority="0" w:name="Table 3D effects 2"/>
    <w:lsdException w:qFormat="1" w:unhideWhenUsed="0" w:uiPriority="0" w:name="Table 3D effects 3"/>
    <w:lsdException w:qFormat="1" w:unhideWhenUsed="0" w:uiPriority="0" w:name="Table Contemporary"/>
    <w:lsdException w:qFormat="1" w:unhideWhenUsed="0" w:uiPriority="0" w:name="Table Elegant"/>
    <w:lsdException w:qFormat="1" w:unhideWhenUsed="0" w:uiPriority="0" w:name="Table Professional"/>
    <w:lsdException w:qFormat="1" w:unhideWhenUsed="0" w:uiPriority="0" w:name="Table Subtle 1"/>
    <w:lsdException w:qFormat="1" w:unhideWhenUsed="0" w:uiPriority="0" w:name="Table Subtle 2"/>
    <w:lsdException w:qFormat="1" w:unhideWhenUsed="0" w:uiPriority="0" w:name="Table Web 1"/>
    <w:lsdException w:qFormat="1" w:unhideWhenUsed="0" w:uiPriority="0" w:name="Table Web 2"/>
    <w:lsdException w:qFormat="1" w:unhideWhenUsed="0" w:uiPriority="0" w:name="Table Web 3"/>
    <w:lsdException w:qFormat="1" w:unhideWhenUsed="0" w:uiPriority="0" w:name="Balloon Text"/>
    <w:lsdException w:qFormat="1" w:unhideWhenUsed="0" w:uiPriority="0" w:semiHidden="0" w:name="Table Grid"/>
    <w:lsdException w:qFormat="1"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154"/>
    <w:qFormat/>
    <w:uiPriority w:val="0"/>
    <w:pPr>
      <w:keepNext/>
      <w:keepLines/>
      <w:spacing w:line="360" w:lineRule="auto"/>
      <w:outlineLvl w:val="0"/>
    </w:pPr>
    <w:rPr>
      <w:rFonts w:ascii="Times New Roman" w:hAnsi="Times New Roman" w:eastAsia="仿宋_GB2312"/>
      <w:b/>
      <w:bCs/>
      <w:kern w:val="44"/>
      <w:sz w:val="30"/>
      <w:szCs w:val="32"/>
    </w:rPr>
  </w:style>
  <w:style w:type="paragraph" w:styleId="5">
    <w:name w:val="heading 2"/>
    <w:basedOn w:val="1"/>
    <w:next w:val="1"/>
    <w:link w:val="149"/>
    <w:qFormat/>
    <w:uiPriority w:val="0"/>
    <w:pPr>
      <w:keepNext/>
      <w:keepLines/>
      <w:tabs>
        <w:tab w:val="left" w:pos="0"/>
      </w:tabs>
      <w:autoSpaceDE w:val="0"/>
      <w:autoSpaceDN w:val="0"/>
      <w:spacing w:line="360" w:lineRule="auto"/>
      <w:ind w:left="0" w:firstLine="0"/>
      <w:jc w:val="both"/>
      <w:textAlignment w:val="bottom"/>
      <w:outlineLvl w:val="1"/>
    </w:pPr>
    <w:rPr>
      <w:rFonts w:ascii="黑体" w:hAnsi="黑体" w:eastAsia="仿宋_GB2312" w:cs="Arial"/>
      <w:b/>
      <w:bCs/>
      <w:kern w:val="0"/>
      <w:sz w:val="28"/>
      <w:szCs w:val="20"/>
    </w:rPr>
  </w:style>
  <w:style w:type="paragraph" w:styleId="6">
    <w:name w:val="heading 3"/>
    <w:basedOn w:val="1"/>
    <w:next w:val="7"/>
    <w:link w:val="150"/>
    <w:qFormat/>
    <w:uiPriority w:val="0"/>
    <w:pPr>
      <w:keepNext/>
      <w:keepLines/>
      <w:tabs>
        <w:tab w:val="left" w:pos="0"/>
      </w:tabs>
      <w:spacing w:line="360" w:lineRule="auto"/>
      <w:ind w:left="0" w:firstLine="0"/>
      <w:outlineLvl w:val="2"/>
    </w:pPr>
    <w:rPr>
      <w:rFonts w:ascii="Times New Roman" w:hAnsi="Times New Roman" w:eastAsia="仿宋_GB2312"/>
      <w:b/>
      <w:bCs/>
      <w:sz w:val="24"/>
      <w:szCs w:val="28"/>
    </w:rPr>
  </w:style>
  <w:style w:type="paragraph" w:styleId="8">
    <w:name w:val="heading 4"/>
    <w:basedOn w:val="1"/>
    <w:next w:val="1"/>
    <w:link w:val="156"/>
    <w:qFormat/>
    <w:uiPriority w:val="0"/>
    <w:pPr>
      <w:keepNext/>
      <w:keepLines/>
      <w:numPr>
        <w:ilvl w:val="3"/>
        <w:numId w:val="1"/>
      </w:numPr>
      <w:adjustRightInd w:val="0"/>
      <w:spacing w:line="500" w:lineRule="exact"/>
      <w:jc w:val="left"/>
      <w:textAlignment w:val="baseline"/>
      <w:outlineLvl w:val="3"/>
    </w:pPr>
    <w:rPr>
      <w:rFonts w:ascii="Arial" w:hAnsi="Arial"/>
      <w:kern w:val="0"/>
      <w:sz w:val="26"/>
      <w:szCs w:val="20"/>
    </w:rPr>
  </w:style>
  <w:style w:type="paragraph" w:styleId="9">
    <w:name w:val="heading 5"/>
    <w:basedOn w:val="1"/>
    <w:next w:val="1"/>
    <w:qFormat/>
    <w:uiPriority w:val="0"/>
    <w:pPr>
      <w:keepNext/>
      <w:spacing w:line="360" w:lineRule="auto"/>
      <w:ind w:left="1008" w:hanging="1008"/>
      <w:jc w:val="left"/>
      <w:outlineLvl w:val="4"/>
    </w:pPr>
    <w:rPr>
      <w:rFonts w:ascii="Arial" w:hAnsi="Arial" w:cs="Arial"/>
      <w:b/>
      <w:bCs/>
      <w:sz w:val="24"/>
    </w:rPr>
  </w:style>
  <w:style w:type="paragraph" w:styleId="10">
    <w:name w:val="heading 6"/>
    <w:basedOn w:val="1"/>
    <w:next w:val="1"/>
    <w:qFormat/>
    <w:uiPriority w:val="0"/>
    <w:pPr>
      <w:keepNext/>
      <w:keepLines/>
      <w:adjustRightInd w:val="0"/>
      <w:spacing w:before="240" w:after="64" w:line="320" w:lineRule="atLeast"/>
      <w:ind w:left="1152" w:hanging="1152"/>
      <w:jc w:val="left"/>
      <w:textAlignment w:val="baseline"/>
      <w:outlineLvl w:val="5"/>
    </w:pPr>
    <w:rPr>
      <w:rFonts w:ascii="Arial" w:hAnsi="Arial" w:eastAsia="黑体"/>
      <w:b/>
      <w:kern w:val="0"/>
      <w:sz w:val="24"/>
      <w:szCs w:val="20"/>
    </w:rPr>
  </w:style>
  <w:style w:type="paragraph" w:styleId="11">
    <w:name w:val="heading 7"/>
    <w:basedOn w:val="1"/>
    <w:next w:val="1"/>
    <w:qFormat/>
    <w:uiPriority w:val="0"/>
    <w:pPr>
      <w:keepNext/>
      <w:keepLines/>
      <w:adjustRightInd w:val="0"/>
      <w:spacing w:before="240" w:after="64" w:line="320" w:lineRule="atLeast"/>
      <w:ind w:left="1296" w:hanging="1296"/>
      <w:jc w:val="left"/>
      <w:textAlignment w:val="baseline"/>
      <w:outlineLvl w:val="6"/>
    </w:pPr>
    <w:rPr>
      <w:rFonts w:ascii="宋体"/>
      <w:b/>
      <w:kern w:val="0"/>
      <w:sz w:val="24"/>
      <w:szCs w:val="20"/>
    </w:rPr>
  </w:style>
  <w:style w:type="paragraph" w:styleId="12">
    <w:name w:val="heading 8"/>
    <w:basedOn w:val="1"/>
    <w:next w:val="1"/>
    <w:qFormat/>
    <w:uiPriority w:val="0"/>
    <w:pPr>
      <w:keepNext/>
      <w:keepLines/>
      <w:adjustRightInd w:val="0"/>
      <w:spacing w:before="240" w:after="64" w:line="320" w:lineRule="atLeast"/>
      <w:ind w:left="1440" w:hanging="1440"/>
      <w:jc w:val="left"/>
      <w:textAlignment w:val="baseline"/>
      <w:outlineLvl w:val="7"/>
    </w:pPr>
    <w:rPr>
      <w:rFonts w:ascii="Arial" w:hAnsi="Arial" w:eastAsia="黑体"/>
      <w:kern w:val="0"/>
      <w:sz w:val="24"/>
      <w:szCs w:val="20"/>
    </w:rPr>
  </w:style>
  <w:style w:type="paragraph" w:styleId="13">
    <w:name w:val="heading 9"/>
    <w:basedOn w:val="1"/>
    <w:next w:val="1"/>
    <w:qFormat/>
    <w:uiPriority w:val="0"/>
    <w:pPr>
      <w:keepNext/>
      <w:keepLines/>
      <w:adjustRightInd w:val="0"/>
      <w:spacing w:before="240" w:after="64" w:line="320" w:lineRule="atLeast"/>
      <w:ind w:left="1584" w:hanging="1584"/>
      <w:jc w:val="left"/>
      <w:textAlignment w:val="baseline"/>
      <w:outlineLvl w:val="8"/>
    </w:pPr>
    <w:rPr>
      <w:rFonts w:ascii="Arial" w:hAnsi="Arial" w:eastAsia="黑体"/>
      <w:kern w:val="0"/>
      <w:szCs w:val="20"/>
    </w:rPr>
  </w:style>
  <w:style w:type="character" w:default="1" w:styleId="133">
    <w:name w:val="Default Paragraph Font"/>
    <w:unhideWhenUsed/>
    <w:qFormat/>
    <w:uiPriority w:val="1"/>
  </w:style>
  <w:style w:type="table" w:default="1" w:styleId="88">
    <w:name w:val="Normal Table"/>
    <w:unhideWhenUsed/>
    <w:qFormat/>
    <w:uiPriority w:val="99"/>
    <w:tblPr>
      <w:tblCellMar>
        <w:top w:w="0" w:type="dxa"/>
        <w:left w:w="108" w:type="dxa"/>
        <w:bottom w:w="0" w:type="dxa"/>
        <w:right w:w="108" w:type="dxa"/>
      </w:tblCellMar>
    </w:tblPr>
  </w:style>
  <w:style w:type="paragraph" w:styleId="2">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24"/>
    </w:rPr>
  </w:style>
  <w:style w:type="paragraph" w:styleId="3">
    <w:name w:val="macro"/>
    <w:semiHidden/>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textAlignment w:val="baseline"/>
    </w:pPr>
    <w:rPr>
      <w:rFonts w:ascii="Courier New" w:hAnsi="Courier New" w:eastAsia="宋体" w:cs="Courier New"/>
      <w:kern w:val="2"/>
      <w:sz w:val="24"/>
      <w:szCs w:val="24"/>
      <w:lang w:val="en-US" w:eastAsia="zh-CN" w:bidi="ar-SA"/>
    </w:rPr>
  </w:style>
  <w:style w:type="paragraph" w:styleId="7">
    <w:name w:val="Normal Indent"/>
    <w:basedOn w:val="1"/>
    <w:link w:val="155"/>
    <w:qFormat/>
    <w:uiPriority w:val="0"/>
    <w:pPr>
      <w:ind w:firstLine="420" w:firstLineChars="200"/>
    </w:pPr>
  </w:style>
  <w:style w:type="paragraph" w:styleId="14">
    <w:name w:val="List 3"/>
    <w:basedOn w:val="1"/>
    <w:semiHidden/>
    <w:qFormat/>
    <w:uiPriority w:val="0"/>
    <w:pPr>
      <w:widowControl/>
      <w:spacing w:line="520" w:lineRule="exact"/>
      <w:ind w:left="100" w:leftChars="400" w:hanging="200" w:hangingChars="200"/>
    </w:pPr>
    <w:rPr>
      <w:rFonts w:ascii="宋体" w:hAnsi="宋体" w:cs="宋体"/>
      <w:bCs/>
      <w:kern w:val="0"/>
      <w:sz w:val="28"/>
      <w:szCs w:val="32"/>
    </w:rPr>
  </w:style>
  <w:style w:type="paragraph" w:styleId="15">
    <w:name w:val="toc 7"/>
    <w:basedOn w:val="1"/>
    <w:next w:val="1"/>
    <w:qFormat/>
    <w:uiPriority w:val="39"/>
    <w:pPr>
      <w:ind w:left="1260"/>
      <w:jc w:val="left"/>
    </w:pPr>
    <w:rPr>
      <w:szCs w:val="21"/>
    </w:rPr>
  </w:style>
  <w:style w:type="paragraph" w:styleId="16">
    <w:name w:val="List Number 2"/>
    <w:basedOn w:val="1"/>
    <w:semiHidden/>
    <w:qFormat/>
    <w:uiPriority w:val="0"/>
    <w:pPr>
      <w:widowControl/>
      <w:tabs>
        <w:tab w:val="left" w:pos="780"/>
      </w:tabs>
      <w:spacing w:line="520" w:lineRule="exact"/>
      <w:ind w:left="780" w:leftChars="200" w:hanging="360" w:hangingChars="200"/>
    </w:pPr>
    <w:rPr>
      <w:rFonts w:ascii="宋体" w:hAnsi="宋体" w:cs="宋体"/>
      <w:bCs/>
      <w:kern w:val="0"/>
      <w:sz w:val="28"/>
      <w:szCs w:val="32"/>
    </w:rPr>
  </w:style>
  <w:style w:type="paragraph" w:styleId="17">
    <w:name w:val="table of authorities"/>
    <w:basedOn w:val="1"/>
    <w:next w:val="1"/>
    <w:semiHidden/>
    <w:qFormat/>
    <w:uiPriority w:val="0"/>
    <w:pPr>
      <w:adjustRightInd w:val="0"/>
      <w:spacing w:line="360" w:lineRule="atLeast"/>
      <w:ind w:left="420" w:leftChars="200"/>
      <w:textAlignment w:val="baseline"/>
    </w:pPr>
    <w:rPr>
      <w:szCs w:val="21"/>
    </w:rPr>
  </w:style>
  <w:style w:type="paragraph" w:styleId="18">
    <w:name w:val="Note Heading"/>
    <w:basedOn w:val="1"/>
    <w:next w:val="1"/>
    <w:semiHidden/>
    <w:qFormat/>
    <w:uiPriority w:val="0"/>
    <w:pPr>
      <w:widowControl/>
      <w:spacing w:line="520" w:lineRule="exact"/>
      <w:ind w:firstLine="700" w:firstLineChars="250"/>
      <w:jc w:val="center"/>
    </w:pPr>
    <w:rPr>
      <w:rFonts w:ascii="宋体" w:hAnsi="宋体" w:cs="宋体"/>
      <w:bCs/>
      <w:kern w:val="0"/>
      <w:sz w:val="28"/>
      <w:szCs w:val="32"/>
    </w:rPr>
  </w:style>
  <w:style w:type="paragraph" w:styleId="19">
    <w:name w:val="List Bullet 4"/>
    <w:basedOn w:val="1"/>
    <w:semiHidden/>
    <w:qFormat/>
    <w:uiPriority w:val="0"/>
    <w:pPr>
      <w:widowControl/>
      <w:tabs>
        <w:tab w:val="left" w:pos="1620"/>
      </w:tabs>
      <w:spacing w:line="520" w:lineRule="exact"/>
      <w:ind w:left="1620" w:leftChars="600" w:hanging="360" w:hangingChars="200"/>
    </w:pPr>
    <w:rPr>
      <w:rFonts w:ascii="宋体" w:hAnsi="宋体" w:cs="宋体"/>
      <w:bCs/>
      <w:kern w:val="0"/>
      <w:sz w:val="28"/>
      <w:szCs w:val="32"/>
    </w:rPr>
  </w:style>
  <w:style w:type="paragraph" w:styleId="20">
    <w:name w:val="index 8"/>
    <w:basedOn w:val="1"/>
    <w:next w:val="1"/>
    <w:semiHidden/>
    <w:qFormat/>
    <w:uiPriority w:val="0"/>
    <w:pPr>
      <w:adjustRightInd w:val="0"/>
      <w:spacing w:line="360" w:lineRule="atLeast"/>
      <w:ind w:left="1400" w:leftChars="1400"/>
      <w:textAlignment w:val="baseline"/>
    </w:pPr>
    <w:rPr>
      <w:szCs w:val="21"/>
    </w:rPr>
  </w:style>
  <w:style w:type="paragraph" w:styleId="21">
    <w:name w:val="E-mail Signature"/>
    <w:basedOn w:val="1"/>
    <w:semiHidden/>
    <w:qFormat/>
    <w:uiPriority w:val="0"/>
    <w:pPr>
      <w:widowControl/>
      <w:spacing w:line="520" w:lineRule="exact"/>
      <w:ind w:firstLine="700" w:firstLineChars="250"/>
    </w:pPr>
    <w:rPr>
      <w:rFonts w:ascii="宋体" w:hAnsi="宋体" w:cs="宋体"/>
      <w:bCs/>
      <w:kern w:val="0"/>
      <w:sz w:val="28"/>
      <w:szCs w:val="32"/>
    </w:rPr>
  </w:style>
  <w:style w:type="paragraph" w:styleId="22">
    <w:name w:val="List Number"/>
    <w:basedOn w:val="1"/>
    <w:semiHidden/>
    <w:qFormat/>
    <w:uiPriority w:val="0"/>
    <w:pPr>
      <w:widowControl/>
      <w:tabs>
        <w:tab w:val="left" w:pos="720"/>
      </w:tabs>
      <w:spacing w:line="520" w:lineRule="exact"/>
      <w:ind w:left="360" w:hanging="360" w:firstLineChars="250"/>
    </w:pPr>
    <w:rPr>
      <w:rFonts w:ascii="宋体" w:hAnsi="宋体" w:cs="宋体"/>
      <w:bCs/>
      <w:kern w:val="0"/>
      <w:sz w:val="28"/>
      <w:szCs w:val="32"/>
    </w:rPr>
  </w:style>
  <w:style w:type="paragraph" w:styleId="23">
    <w:name w:val="caption"/>
    <w:basedOn w:val="1"/>
    <w:next w:val="1"/>
    <w:qFormat/>
    <w:uiPriority w:val="0"/>
    <w:rPr>
      <w:rFonts w:ascii="Arial" w:hAnsi="Arial" w:eastAsia="黑体" w:cs="Arial"/>
      <w:sz w:val="20"/>
      <w:szCs w:val="20"/>
    </w:rPr>
  </w:style>
  <w:style w:type="paragraph" w:styleId="24">
    <w:name w:val="index 5"/>
    <w:basedOn w:val="1"/>
    <w:next w:val="1"/>
    <w:semiHidden/>
    <w:qFormat/>
    <w:uiPriority w:val="0"/>
    <w:pPr>
      <w:adjustRightInd w:val="0"/>
      <w:spacing w:line="360" w:lineRule="atLeast"/>
      <w:ind w:left="800" w:leftChars="800"/>
      <w:textAlignment w:val="baseline"/>
    </w:pPr>
    <w:rPr>
      <w:szCs w:val="21"/>
    </w:rPr>
  </w:style>
  <w:style w:type="paragraph" w:styleId="25">
    <w:name w:val="List Bullet"/>
    <w:basedOn w:val="1"/>
    <w:semiHidden/>
    <w:qFormat/>
    <w:uiPriority w:val="0"/>
    <w:pPr>
      <w:widowControl/>
      <w:tabs>
        <w:tab w:val="left" w:pos="360"/>
      </w:tabs>
      <w:spacing w:line="520" w:lineRule="exact"/>
      <w:ind w:left="360" w:hanging="360" w:hangingChars="200"/>
    </w:pPr>
    <w:rPr>
      <w:rFonts w:ascii="宋体" w:hAnsi="宋体" w:cs="宋体"/>
      <w:bCs/>
      <w:kern w:val="0"/>
      <w:sz w:val="28"/>
      <w:szCs w:val="32"/>
    </w:rPr>
  </w:style>
  <w:style w:type="paragraph" w:styleId="26">
    <w:name w:val="envelope address"/>
    <w:basedOn w:val="1"/>
    <w:semiHidden/>
    <w:qFormat/>
    <w:uiPriority w:val="0"/>
    <w:pPr>
      <w:framePr w:w="7920" w:h="1980" w:hRule="exact" w:hSpace="180" w:wrap="around" w:vAnchor="margin" w:hAnchor="page" w:xAlign="center" w:yAlign="bottom"/>
      <w:widowControl/>
      <w:snapToGrid w:val="0"/>
      <w:spacing w:line="520" w:lineRule="exact"/>
      <w:ind w:left="100" w:leftChars="1400" w:firstLine="700" w:firstLineChars="250"/>
    </w:pPr>
    <w:rPr>
      <w:rFonts w:ascii="Arial" w:hAnsi="Arial" w:cs="Arial"/>
      <w:bCs/>
      <w:kern w:val="0"/>
      <w:sz w:val="24"/>
    </w:rPr>
  </w:style>
  <w:style w:type="paragraph" w:styleId="27">
    <w:name w:val="Document Map"/>
    <w:basedOn w:val="1"/>
    <w:semiHidden/>
    <w:qFormat/>
    <w:uiPriority w:val="0"/>
    <w:pPr>
      <w:shd w:val="clear" w:color="auto" w:fill="000080"/>
    </w:pPr>
  </w:style>
  <w:style w:type="paragraph" w:styleId="28">
    <w:name w:val="toa heading"/>
    <w:basedOn w:val="1"/>
    <w:next w:val="1"/>
    <w:semiHidden/>
    <w:qFormat/>
    <w:uiPriority w:val="0"/>
    <w:pPr>
      <w:adjustRightInd w:val="0"/>
      <w:spacing w:before="120" w:line="360" w:lineRule="atLeast"/>
      <w:textAlignment w:val="baseline"/>
    </w:pPr>
    <w:rPr>
      <w:rFonts w:ascii="Arial" w:hAnsi="Arial" w:cs="Arial"/>
      <w:sz w:val="24"/>
    </w:rPr>
  </w:style>
  <w:style w:type="paragraph" w:styleId="29">
    <w:name w:val="annotation text"/>
    <w:basedOn w:val="1"/>
    <w:link w:val="157"/>
    <w:qFormat/>
    <w:uiPriority w:val="0"/>
    <w:pPr>
      <w:jc w:val="left"/>
    </w:pPr>
    <w:rPr>
      <w:sz w:val="28"/>
    </w:rPr>
  </w:style>
  <w:style w:type="paragraph" w:styleId="30">
    <w:name w:val="index 6"/>
    <w:basedOn w:val="1"/>
    <w:next w:val="1"/>
    <w:semiHidden/>
    <w:qFormat/>
    <w:uiPriority w:val="0"/>
    <w:pPr>
      <w:adjustRightInd w:val="0"/>
      <w:spacing w:line="360" w:lineRule="atLeast"/>
      <w:ind w:left="1000" w:leftChars="1000"/>
      <w:textAlignment w:val="baseline"/>
    </w:pPr>
    <w:rPr>
      <w:szCs w:val="21"/>
    </w:rPr>
  </w:style>
  <w:style w:type="paragraph" w:styleId="31">
    <w:name w:val="Salutation"/>
    <w:basedOn w:val="1"/>
    <w:next w:val="1"/>
    <w:semiHidden/>
    <w:qFormat/>
    <w:uiPriority w:val="0"/>
    <w:pPr>
      <w:widowControl/>
      <w:spacing w:line="520" w:lineRule="exact"/>
      <w:ind w:firstLine="700" w:firstLineChars="250"/>
    </w:pPr>
    <w:rPr>
      <w:rFonts w:ascii="宋体" w:hAnsi="宋体" w:cs="宋体"/>
      <w:bCs/>
      <w:kern w:val="0"/>
      <w:sz w:val="28"/>
      <w:szCs w:val="32"/>
    </w:rPr>
  </w:style>
  <w:style w:type="paragraph" w:styleId="32">
    <w:name w:val="Body Text 3"/>
    <w:basedOn w:val="1"/>
    <w:qFormat/>
    <w:uiPriority w:val="0"/>
    <w:pPr>
      <w:spacing w:line="480" w:lineRule="exact"/>
    </w:pPr>
    <w:rPr>
      <w:rFonts w:ascii="宋体" w:hAnsi="宋体"/>
      <w:color w:val="008000"/>
      <w:sz w:val="24"/>
      <w:szCs w:val="28"/>
    </w:rPr>
  </w:style>
  <w:style w:type="paragraph" w:styleId="33">
    <w:name w:val="Closing"/>
    <w:basedOn w:val="1"/>
    <w:semiHidden/>
    <w:qFormat/>
    <w:uiPriority w:val="0"/>
    <w:pPr>
      <w:widowControl/>
      <w:spacing w:line="520" w:lineRule="exact"/>
      <w:ind w:left="100" w:leftChars="2100" w:firstLine="700" w:firstLineChars="250"/>
    </w:pPr>
    <w:rPr>
      <w:rFonts w:ascii="宋体" w:hAnsi="宋体" w:cs="宋体"/>
      <w:bCs/>
      <w:kern w:val="0"/>
      <w:sz w:val="28"/>
      <w:szCs w:val="32"/>
    </w:rPr>
  </w:style>
  <w:style w:type="paragraph" w:styleId="34">
    <w:name w:val="List Bullet 3"/>
    <w:basedOn w:val="1"/>
    <w:semiHidden/>
    <w:qFormat/>
    <w:uiPriority w:val="0"/>
    <w:pPr>
      <w:widowControl/>
      <w:tabs>
        <w:tab w:val="left" w:pos="1200"/>
      </w:tabs>
      <w:spacing w:line="520" w:lineRule="exact"/>
      <w:ind w:left="1200" w:leftChars="400" w:hanging="360" w:hangingChars="200"/>
    </w:pPr>
    <w:rPr>
      <w:rFonts w:ascii="宋体" w:hAnsi="宋体" w:cs="宋体"/>
      <w:bCs/>
      <w:kern w:val="0"/>
      <w:sz w:val="28"/>
      <w:szCs w:val="32"/>
    </w:rPr>
  </w:style>
  <w:style w:type="paragraph" w:styleId="35">
    <w:name w:val="Body Text"/>
    <w:basedOn w:val="1"/>
    <w:next w:val="36"/>
    <w:link w:val="158"/>
    <w:qFormat/>
    <w:uiPriority w:val="0"/>
    <w:pPr>
      <w:spacing w:line="400" w:lineRule="atLeast"/>
    </w:pPr>
    <w:rPr>
      <w:sz w:val="24"/>
      <w:szCs w:val="20"/>
    </w:rPr>
  </w:style>
  <w:style w:type="paragraph" w:styleId="36">
    <w:name w:val="Body Text 2"/>
    <w:basedOn w:val="1"/>
    <w:qFormat/>
    <w:uiPriority w:val="0"/>
    <w:pPr>
      <w:spacing w:line="480" w:lineRule="exact"/>
    </w:pPr>
    <w:rPr>
      <w:color w:val="FF00FF"/>
      <w:sz w:val="26"/>
    </w:rPr>
  </w:style>
  <w:style w:type="paragraph" w:styleId="37">
    <w:name w:val="Body Text Indent"/>
    <w:basedOn w:val="1"/>
    <w:next w:val="1"/>
    <w:qFormat/>
    <w:uiPriority w:val="0"/>
    <w:pPr>
      <w:spacing w:line="500" w:lineRule="exact"/>
      <w:ind w:firstLine="520" w:firstLineChars="200"/>
    </w:pPr>
    <w:rPr>
      <w:sz w:val="26"/>
    </w:rPr>
  </w:style>
  <w:style w:type="paragraph" w:styleId="38">
    <w:name w:val="List Number 3"/>
    <w:basedOn w:val="1"/>
    <w:semiHidden/>
    <w:qFormat/>
    <w:uiPriority w:val="0"/>
    <w:pPr>
      <w:widowControl/>
      <w:tabs>
        <w:tab w:val="left" w:pos="1200"/>
      </w:tabs>
      <w:spacing w:line="520" w:lineRule="exact"/>
      <w:ind w:left="1200" w:leftChars="400" w:hanging="360" w:hangingChars="200"/>
    </w:pPr>
    <w:rPr>
      <w:rFonts w:ascii="宋体" w:hAnsi="宋体" w:cs="宋体"/>
      <w:bCs/>
      <w:kern w:val="0"/>
      <w:sz w:val="28"/>
      <w:szCs w:val="32"/>
    </w:rPr>
  </w:style>
  <w:style w:type="paragraph" w:styleId="39">
    <w:name w:val="List 2"/>
    <w:basedOn w:val="1"/>
    <w:semiHidden/>
    <w:qFormat/>
    <w:uiPriority w:val="0"/>
    <w:pPr>
      <w:widowControl/>
      <w:spacing w:line="520" w:lineRule="exact"/>
      <w:ind w:left="100" w:leftChars="200" w:hanging="200" w:hangingChars="200"/>
    </w:pPr>
    <w:rPr>
      <w:rFonts w:ascii="宋体" w:hAnsi="宋体" w:cs="宋体"/>
      <w:bCs/>
      <w:kern w:val="0"/>
      <w:sz w:val="28"/>
      <w:szCs w:val="32"/>
    </w:rPr>
  </w:style>
  <w:style w:type="paragraph" w:styleId="40">
    <w:name w:val="List Continue"/>
    <w:basedOn w:val="1"/>
    <w:semiHidden/>
    <w:qFormat/>
    <w:uiPriority w:val="0"/>
    <w:pPr>
      <w:widowControl/>
      <w:spacing w:after="120" w:line="520" w:lineRule="exact"/>
      <w:ind w:left="420" w:leftChars="200" w:firstLine="700" w:firstLineChars="250"/>
    </w:pPr>
    <w:rPr>
      <w:rFonts w:ascii="宋体" w:hAnsi="宋体" w:cs="宋体"/>
      <w:bCs/>
      <w:kern w:val="0"/>
      <w:sz w:val="28"/>
      <w:szCs w:val="32"/>
    </w:rPr>
  </w:style>
  <w:style w:type="paragraph" w:styleId="41">
    <w:name w:val="Block Text"/>
    <w:basedOn w:val="1"/>
    <w:semiHidden/>
    <w:qFormat/>
    <w:uiPriority w:val="0"/>
    <w:pPr>
      <w:widowControl/>
      <w:spacing w:after="120" w:line="520" w:lineRule="exact"/>
      <w:ind w:left="1440" w:leftChars="700" w:right="1440" w:rightChars="700" w:firstLine="700" w:firstLineChars="250"/>
    </w:pPr>
    <w:rPr>
      <w:rFonts w:ascii="宋体" w:hAnsi="宋体" w:cs="宋体"/>
      <w:bCs/>
      <w:kern w:val="0"/>
      <w:sz w:val="28"/>
      <w:szCs w:val="32"/>
    </w:rPr>
  </w:style>
  <w:style w:type="paragraph" w:styleId="42">
    <w:name w:val="List Bullet 2"/>
    <w:basedOn w:val="1"/>
    <w:semiHidden/>
    <w:qFormat/>
    <w:uiPriority w:val="0"/>
    <w:pPr>
      <w:widowControl/>
      <w:tabs>
        <w:tab w:val="left" w:pos="780"/>
      </w:tabs>
      <w:spacing w:line="520" w:lineRule="exact"/>
      <w:ind w:left="780" w:leftChars="200" w:hanging="360" w:hangingChars="200"/>
    </w:pPr>
    <w:rPr>
      <w:rFonts w:ascii="宋体" w:hAnsi="宋体" w:cs="宋体"/>
      <w:bCs/>
      <w:kern w:val="0"/>
      <w:sz w:val="28"/>
      <w:szCs w:val="32"/>
    </w:rPr>
  </w:style>
  <w:style w:type="paragraph" w:styleId="43">
    <w:name w:val="HTML Address"/>
    <w:basedOn w:val="1"/>
    <w:semiHidden/>
    <w:qFormat/>
    <w:uiPriority w:val="0"/>
    <w:pPr>
      <w:widowControl/>
      <w:spacing w:line="520" w:lineRule="exact"/>
      <w:ind w:firstLine="700" w:firstLineChars="250"/>
    </w:pPr>
    <w:rPr>
      <w:rFonts w:ascii="宋体" w:hAnsi="宋体" w:cs="宋体"/>
      <w:bCs/>
      <w:i/>
      <w:iCs/>
      <w:kern w:val="0"/>
      <w:sz w:val="28"/>
      <w:szCs w:val="32"/>
    </w:rPr>
  </w:style>
  <w:style w:type="paragraph" w:styleId="44">
    <w:name w:val="index 4"/>
    <w:basedOn w:val="1"/>
    <w:next w:val="1"/>
    <w:semiHidden/>
    <w:qFormat/>
    <w:uiPriority w:val="0"/>
    <w:pPr>
      <w:adjustRightInd w:val="0"/>
      <w:spacing w:line="360" w:lineRule="atLeast"/>
      <w:ind w:left="600" w:leftChars="600"/>
      <w:textAlignment w:val="baseline"/>
    </w:pPr>
    <w:rPr>
      <w:szCs w:val="21"/>
    </w:rPr>
  </w:style>
  <w:style w:type="paragraph" w:styleId="45">
    <w:name w:val="toc 5"/>
    <w:basedOn w:val="1"/>
    <w:next w:val="1"/>
    <w:qFormat/>
    <w:uiPriority w:val="39"/>
    <w:pPr>
      <w:ind w:left="840"/>
      <w:jc w:val="left"/>
    </w:pPr>
    <w:rPr>
      <w:szCs w:val="21"/>
    </w:rPr>
  </w:style>
  <w:style w:type="paragraph" w:styleId="46">
    <w:name w:val="toc 3"/>
    <w:basedOn w:val="1"/>
    <w:next w:val="1"/>
    <w:qFormat/>
    <w:uiPriority w:val="39"/>
    <w:pPr>
      <w:ind w:left="420"/>
      <w:jc w:val="left"/>
    </w:pPr>
    <w:rPr>
      <w:i/>
      <w:iCs/>
    </w:rPr>
  </w:style>
  <w:style w:type="paragraph" w:styleId="47">
    <w:name w:val="Plain Text"/>
    <w:basedOn w:val="1"/>
    <w:next w:val="1"/>
    <w:link w:val="159"/>
    <w:qFormat/>
    <w:uiPriority w:val="0"/>
    <w:rPr>
      <w:rFonts w:ascii="宋体" w:hAnsi="Courier New" w:cs="Courier New"/>
      <w:szCs w:val="21"/>
    </w:rPr>
  </w:style>
  <w:style w:type="paragraph" w:styleId="48">
    <w:name w:val="List Bullet 5"/>
    <w:basedOn w:val="1"/>
    <w:semiHidden/>
    <w:qFormat/>
    <w:uiPriority w:val="0"/>
    <w:pPr>
      <w:widowControl/>
      <w:tabs>
        <w:tab w:val="left" w:pos="2040"/>
      </w:tabs>
      <w:spacing w:line="520" w:lineRule="exact"/>
      <w:ind w:left="2040" w:leftChars="800" w:hanging="360" w:hangingChars="200"/>
    </w:pPr>
    <w:rPr>
      <w:rFonts w:ascii="宋体" w:hAnsi="宋体" w:cs="宋体"/>
      <w:bCs/>
      <w:kern w:val="0"/>
      <w:sz w:val="28"/>
      <w:szCs w:val="32"/>
    </w:rPr>
  </w:style>
  <w:style w:type="paragraph" w:styleId="49">
    <w:name w:val="List Number 4"/>
    <w:basedOn w:val="1"/>
    <w:semiHidden/>
    <w:qFormat/>
    <w:uiPriority w:val="0"/>
    <w:pPr>
      <w:widowControl/>
      <w:tabs>
        <w:tab w:val="left" w:pos="1620"/>
      </w:tabs>
      <w:spacing w:line="520" w:lineRule="exact"/>
      <w:ind w:left="1620" w:leftChars="600" w:hanging="360" w:hangingChars="200"/>
    </w:pPr>
    <w:rPr>
      <w:rFonts w:ascii="宋体" w:hAnsi="宋体" w:cs="宋体"/>
      <w:bCs/>
      <w:kern w:val="0"/>
      <w:sz w:val="28"/>
      <w:szCs w:val="32"/>
    </w:rPr>
  </w:style>
  <w:style w:type="paragraph" w:styleId="50">
    <w:name w:val="toc 8"/>
    <w:basedOn w:val="1"/>
    <w:next w:val="1"/>
    <w:qFormat/>
    <w:uiPriority w:val="39"/>
    <w:pPr>
      <w:widowControl/>
      <w:spacing w:line="360" w:lineRule="auto"/>
      <w:jc w:val="center"/>
    </w:pPr>
    <w:rPr>
      <w:szCs w:val="21"/>
    </w:rPr>
  </w:style>
  <w:style w:type="paragraph" w:styleId="51">
    <w:name w:val="index 3"/>
    <w:basedOn w:val="1"/>
    <w:next w:val="1"/>
    <w:semiHidden/>
    <w:qFormat/>
    <w:uiPriority w:val="0"/>
    <w:pPr>
      <w:adjustRightInd w:val="0"/>
      <w:spacing w:line="360" w:lineRule="atLeast"/>
      <w:ind w:left="400" w:leftChars="400"/>
      <w:textAlignment w:val="baseline"/>
    </w:pPr>
    <w:rPr>
      <w:szCs w:val="21"/>
    </w:rPr>
  </w:style>
  <w:style w:type="paragraph" w:styleId="52">
    <w:name w:val="Date"/>
    <w:basedOn w:val="1"/>
    <w:next w:val="1"/>
    <w:qFormat/>
    <w:uiPriority w:val="0"/>
    <w:pPr>
      <w:ind w:left="100" w:leftChars="2500"/>
    </w:pPr>
    <w:rPr>
      <w:rFonts w:ascii="宋体" w:hAnsi="Courier New" w:cs="Courier New"/>
      <w:b/>
      <w:bCs/>
      <w:sz w:val="32"/>
      <w:szCs w:val="21"/>
    </w:rPr>
  </w:style>
  <w:style w:type="paragraph" w:styleId="53">
    <w:name w:val="Body Text Indent 2"/>
    <w:basedOn w:val="1"/>
    <w:qFormat/>
    <w:uiPriority w:val="0"/>
    <w:pPr>
      <w:widowControl/>
      <w:ind w:firstLine="520" w:firstLineChars="200"/>
      <w:jc w:val="left"/>
    </w:pPr>
    <w:rPr>
      <w:rFonts w:ascii="楷体_GB2312"/>
      <w:sz w:val="26"/>
      <w:szCs w:val="36"/>
    </w:rPr>
  </w:style>
  <w:style w:type="paragraph" w:styleId="54">
    <w:name w:val="endnote text"/>
    <w:basedOn w:val="1"/>
    <w:semiHidden/>
    <w:qFormat/>
    <w:uiPriority w:val="0"/>
    <w:pPr>
      <w:adjustRightInd w:val="0"/>
      <w:snapToGrid w:val="0"/>
      <w:spacing w:line="360" w:lineRule="atLeast"/>
      <w:jc w:val="left"/>
      <w:textAlignment w:val="baseline"/>
    </w:pPr>
    <w:rPr>
      <w:szCs w:val="21"/>
    </w:rPr>
  </w:style>
  <w:style w:type="paragraph" w:styleId="55">
    <w:name w:val="List Continue 5"/>
    <w:basedOn w:val="1"/>
    <w:semiHidden/>
    <w:qFormat/>
    <w:uiPriority w:val="0"/>
    <w:pPr>
      <w:widowControl/>
      <w:spacing w:after="120" w:line="520" w:lineRule="exact"/>
      <w:ind w:left="2100" w:leftChars="1000" w:firstLine="700" w:firstLineChars="250"/>
    </w:pPr>
    <w:rPr>
      <w:rFonts w:ascii="宋体" w:hAnsi="宋体" w:cs="宋体"/>
      <w:bCs/>
      <w:kern w:val="0"/>
      <w:sz w:val="28"/>
      <w:szCs w:val="32"/>
    </w:rPr>
  </w:style>
  <w:style w:type="paragraph" w:styleId="56">
    <w:name w:val="Balloon Text"/>
    <w:basedOn w:val="1"/>
    <w:semiHidden/>
    <w:qFormat/>
    <w:uiPriority w:val="0"/>
    <w:rPr>
      <w:sz w:val="18"/>
      <w:szCs w:val="18"/>
    </w:rPr>
  </w:style>
  <w:style w:type="paragraph" w:styleId="57">
    <w:name w:val="footer"/>
    <w:basedOn w:val="1"/>
    <w:link w:val="160"/>
    <w:qFormat/>
    <w:uiPriority w:val="99"/>
    <w:pPr>
      <w:tabs>
        <w:tab w:val="center" w:pos="4153"/>
        <w:tab w:val="right" w:pos="8306"/>
      </w:tabs>
      <w:snapToGrid w:val="0"/>
      <w:jc w:val="left"/>
    </w:pPr>
    <w:rPr>
      <w:sz w:val="18"/>
      <w:szCs w:val="18"/>
    </w:rPr>
  </w:style>
  <w:style w:type="paragraph" w:styleId="58">
    <w:name w:val="envelope return"/>
    <w:basedOn w:val="1"/>
    <w:semiHidden/>
    <w:qFormat/>
    <w:uiPriority w:val="0"/>
    <w:pPr>
      <w:widowControl/>
      <w:snapToGrid w:val="0"/>
      <w:spacing w:line="520" w:lineRule="exact"/>
      <w:ind w:firstLine="700" w:firstLineChars="250"/>
    </w:pPr>
    <w:rPr>
      <w:rFonts w:ascii="Arial" w:hAnsi="Arial" w:cs="Arial"/>
      <w:bCs/>
      <w:kern w:val="0"/>
      <w:sz w:val="28"/>
      <w:szCs w:val="32"/>
    </w:rPr>
  </w:style>
  <w:style w:type="paragraph" w:styleId="5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60">
    <w:name w:val="Signature"/>
    <w:basedOn w:val="1"/>
    <w:semiHidden/>
    <w:qFormat/>
    <w:uiPriority w:val="0"/>
    <w:pPr>
      <w:widowControl/>
      <w:spacing w:line="520" w:lineRule="exact"/>
      <w:ind w:left="100" w:leftChars="2100" w:firstLine="700" w:firstLineChars="250"/>
    </w:pPr>
    <w:rPr>
      <w:rFonts w:ascii="宋体" w:hAnsi="宋体" w:cs="宋体"/>
      <w:bCs/>
      <w:kern w:val="0"/>
      <w:sz w:val="28"/>
      <w:szCs w:val="32"/>
    </w:rPr>
  </w:style>
  <w:style w:type="paragraph" w:styleId="61">
    <w:name w:val="toc 1"/>
    <w:basedOn w:val="1"/>
    <w:next w:val="1"/>
    <w:qFormat/>
    <w:uiPriority w:val="39"/>
    <w:pPr>
      <w:tabs>
        <w:tab w:val="right" w:leader="dot" w:pos="8400"/>
      </w:tabs>
      <w:spacing w:before="50" w:beforeLines="50" w:line="360" w:lineRule="auto"/>
      <w:jc w:val="left"/>
    </w:pPr>
    <w:rPr>
      <w:rFonts w:eastAsia="黑体"/>
      <w:b/>
      <w:bCs/>
      <w:caps/>
      <w:color w:val="000000"/>
      <w:kern w:val="44"/>
      <w:sz w:val="28"/>
      <w:szCs w:val="32"/>
    </w:rPr>
  </w:style>
  <w:style w:type="paragraph" w:styleId="62">
    <w:name w:val="List Continue 4"/>
    <w:basedOn w:val="1"/>
    <w:semiHidden/>
    <w:qFormat/>
    <w:uiPriority w:val="0"/>
    <w:pPr>
      <w:widowControl/>
      <w:spacing w:after="120" w:line="520" w:lineRule="exact"/>
      <w:ind w:left="1680" w:leftChars="800" w:firstLine="700" w:firstLineChars="250"/>
    </w:pPr>
    <w:rPr>
      <w:rFonts w:ascii="宋体" w:hAnsi="宋体" w:cs="宋体"/>
      <w:bCs/>
      <w:kern w:val="0"/>
      <w:sz w:val="28"/>
      <w:szCs w:val="32"/>
    </w:rPr>
  </w:style>
  <w:style w:type="paragraph" w:styleId="63">
    <w:name w:val="toc 4"/>
    <w:basedOn w:val="1"/>
    <w:next w:val="1"/>
    <w:qFormat/>
    <w:uiPriority w:val="39"/>
    <w:pPr>
      <w:ind w:left="630"/>
      <w:jc w:val="left"/>
    </w:pPr>
    <w:rPr>
      <w:szCs w:val="21"/>
    </w:rPr>
  </w:style>
  <w:style w:type="paragraph" w:styleId="64">
    <w:name w:val="index heading"/>
    <w:basedOn w:val="1"/>
    <w:next w:val="65"/>
    <w:semiHidden/>
    <w:qFormat/>
    <w:uiPriority w:val="0"/>
    <w:pPr>
      <w:adjustRightInd w:val="0"/>
      <w:spacing w:line="360" w:lineRule="atLeast"/>
      <w:textAlignment w:val="baseline"/>
    </w:pPr>
    <w:rPr>
      <w:rFonts w:ascii="Arial" w:hAnsi="Arial" w:cs="Arial"/>
      <w:b/>
      <w:bCs/>
      <w:szCs w:val="21"/>
    </w:rPr>
  </w:style>
  <w:style w:type="paragraph" w:styleId="65">
    <w:name w:val="index 1"/>
    <w:basedOn w:val="1"/>
    <w:next w:val="1"/>
    <w:semiHidden/>
    <w:qFormat/>
    <w:uiPriority w:val="0"/>
    <w:pPr>
      <w:adjustRightInd w:val="0"/>
      <w:spacing w:line="360" w:lineRule="atLeast"/>
      <w:textAlignment w:val="baseline"/>
    </w:pPr>
    <w:rPr>
      <w:szCs w:val="21"/>
    </w:rPr>
  </w:style>
  <w:style w:type="paragraph" w:styleId="66">
    <w:name w:val="Subtitle"/>
    <w:basedOn w:val="1"/>
    <w:qFormat/>
    <w:uiPriority w:val="0"/>
    <w:pPr>
      <w:widowControl/>
      <w:spacing w:before="240" w:after="60" w:line="312" w:lineRule="atLeast"/>
      <w:ind w:firstLine="700" w:firstLineChars="250"/>
      <w:jc w:val="center"/>
      <w:outlineLvl w:val="1"/>
    </w:pPr>
    <w:rPr>
      <w:rFonts w:ascii="Arial" w:hAnsi="Arial" w:cs="Arial"/>
      <w:b/>
      <w:bCs/>
      <w:kern w:val="28"/>
      <w:sz w:val="32"/>
      <w:szCs w:val="32"/>
    </w:rPr>
  </w:style>
  <w:style w:type="paragraph" w:styleId="67">
    <w:name w:val="List Number 5"/>
    <w:basedOn w:val="1"/>
    <w:semiHidden/>
    <w:qFormat/>
    <w:uiPriority w:val="0"/>
    <w:pPr>
      <w:widowControl/>
      <w:tabs>
        <w:tab w:val="left" w:pos="2040"/>
      </w:tabs>
      <w:spacing w:line="520" w:lineRule="exact"/>
      <w:ind w:left="2040" w:leftChars="800" w:hanging="360" w:hangingChars="200"/>
    </w:pPr>
    <w:rPr>
      <w:rFonts w:ascii="宋体" w:hAnsi="宋体" w:cs="宋体"/>
      <w:bCs/>
      <w:kern w:val="0"/>
      <w:sz w:val="28"/>
      <w:szCs w:val="32"/>
    </w:rPr>
  </w:style>
  <w:style w:type="paragraph" w:styleId="68">
    <w:name w:val="List"/>
    <w:basedOn w:val="1"/>
    <w:qFormat/>
    <w:uiPriority w:val="0"/>
    <w:pPr>
      <w:ind w:left="200" w:hanging="200" w:hangingChars="200"/>
    </w:pPr>
  </w:style>
  <w:style w:type="paragraph" w:styleId="69">
    <w:name w:val="footnote text"/>
    <w:basedOn w:val="1"/>
    <w:semiHidden/>
    <w:qFormat/>
    <w:uiPriority w:val="0"/>
    <w:pPr>
      <w:adjustRightInd w:val="0"/>
      <w:snapToGrid w:val="0"/>
      <w:spacing w:line="360" w:lineRule="atLeast"/>
      <w:jc w:val="left"/>
      <w:textAlignment w:val="baseline"/>
    </w:pPr>
    <w:rPr>
      <w:sz w:val="18"/>
      <w:szCs w:val="18"/>
    </w:rPr>
  </w:style>
  <w:style w:type="paragraph" w:styleId="70">
    <w:name w:val="toc 6"/>
    <w:basedOn w:val="1"/>
    <w:next w:val="1"/>
    <w:qFormat/>
    <w:uiPriority w:val="39"/>
    <w:pPr>
      <w:ind w:left="1050"/>
      <w:jc w:val="left"/>
    </w:pPr>
    <w:rPr>
      <w:szCs w:val="21"/>
    </w:rPr>
  </w:style>
  <w:style w:type="paragraph" w:styleId="71">
    <w:name w:val="List 5"/>
    <w:basedOn w:val="1"/>
    <w:semiHidden/>
    <w:qFormat/>
    <w:uiPriority w:val="0"/>
    <w:pPr>
      <w:widowControl/>
      <w:spacing w:line="520" w:lineRule="exact"/>
      <w:ind w:left="100" w:leftChars="800" w:hanging="200" w:hangingChars="200"/>
    </w:pPr>
    <w:rPr>
      <w:rFonts w:ascii="宋体" w:hAnsi="宋体" w:cs="宋体"/>
      <w:bCs/>
      <w:kern w:val="0"/>
      <w:sz w:val="28"/>
      <w:szCs w:val="32"/>
    </w:rPr>
  </w:style>
  <w:style w:type="paragraph" w:styleId="72">
    <w:name w:val="Body Text Indent 3"/>
    <w:basedOn w:val="1"/>
    <w:qFormat/>
    <w:uiPriority w:val="0"/>
    <w:pPr>
      <w:widowControl/>
      <w:ind w:firstLine="520" w:firstLineChars="200"/>
      <w:jc w:val="left"/>
    </w:pPr>
    <w:rPr>
      <w:rFonts w:ascii="宋体"/>
      <w:color w:val="FF0000"/>
      <w:sz w:val="26"/>
      <w:szCs w:val="36"/>
    </w:rPr>
  </w:style>
  <w:style w:type="paragraph" w:styleId="73">
    <w:name w:val="index 7"/>
    <w:basedOn w:val="1"/>
    <w:next w:val="1"/>
    <w:semiHidden/>
    <w:qFormat/>
    <w:uiPriority w:val="0"/>
    <w:pPr>
      <w:adjustRightInd w:val="0"/>
      <w:spacing w:line="360" w:lineRule="atLeast"/>
      <w:ind w:left="1200" w:leftChars="1200"/>
      <w:textAlignment w:val="baseline"/>
    </w:pPr>
    <w:rPr>
      <w:szCs w:val="21"/>
    </w:rPr>
  </w:style>
  <w:style w:type="paragraph" w:styleId="74">
    <w:name w:val="index 9"/>
    <w:basedOn w:val="1"/>
    <w:next w:val="1"/>
    <w:semiHidden/>
    <w:qFormat/>
    <w:uiPriority w:val="0"/>
    <w:pPr>
      <w:adjustRightInd w:val="0"/>
      <w:spacing w:line="360" w:lineRule="atLeast"/>
      <w:ind w:left="1600" w:leftChars="1600"/>
      <w:textAlignment w:val="baseline"/>
    </w:pPr>
    <w:rPr>
      <w:szCs w:val="21"/>
    </w:rPr>
  </w:style>
  <w:style w:type="paragraph" w:styleId="75">
    <w:name w:val="table of figures"/>
    <w:basedOn w:val="1"/>
    <w:next w:val="1"/>
    <w:semiHidden/>
    <w:qFormat/>
    <w:uiPriority w:val="0"/>
    <w:pPr>
      <w:ind w:leftChars="200" w:hanging="200" w:hangingChars="200"/>
    </w:pPr>
  </w:style>
  <w:style w:type="paragraph" w:styleId="76">
    <w:name w:val="toc 2"/>
    <w:basedOn w:val="1"/>
    <w:next w:val="1"/>
    <w:qFormat/>
    <w:uiPriority w:val="39"/>
    <w:pPr>
      <w:tabs>
        <w:tab w:val="right" w:leader="dot" w:pos="8400"/>
      </w:tabs>
      <w:spacing w:line="560" w:lineRule="exact"/>
      <w:ind w:left="210"/>
      <w:jc w:val="left"/>
    </w:pPr>
    <w:rPr>
      <w:rFonts w:eastAsia="仿宋_GB2312"/>
      <w:smallCaps/>
      <w:sz w:val="28"/>
    </w:rPr>
  </w:style>
  <w:style w:type="paragraph" w:styleId="77">
    <w:name w:val="toc 9"/>
    <w:basedOn w:val="1"/>
    <w:next w:val="1"/>
    <w:qFormat/>
    <w:uiPriority w:val="39"/>
    <w:pPr>
      <w:ind w:left="1680"/>
      <w:jc w:val="left"/>
    </w:pPr>
    <w:rPr>
      <w:szCs w:val="21"/>
    </w:rPr>
  </w:style>
  <w:style w:type="paragraph" w:styleId="78">
    <w:name w:val="List 4"/>
    <w:basedOn w:val="1"/>
    <w:semiHidden/>
    <w:qFormat/>
    <w:uiPriority w:val="0"/>
    <w:pPr>
      <w:widowControl/>
      <w:spacing w:line="520" w:lineRule="exact"/>
      <w:ind w:left="100" w:leftChars="600" w:hanging="200" w:hangingChars="200"/>
    </w:pPr>
    <w:rPr>
      <w:rFonts w:ascii="宋体" w:hAnsi="宋体" w:cs="宋体"/>
      <w:bCs/>
      <w:kern w:val="0"/>
      <w:sz w:val="28"/>
      <w:szCs w:val="32"/>
    </w:rPr>
  </w:style>
  <w:style w:type="paragraph" w:styleId="79">
    <w:name w:val="List Continue 2"/>
    <w:basedOn w:val="1"/>
    <w:semiHidden/>
    <w:qFormat/>
    <w:uiPriority w:val="0"/>
    <w:pPr>
      <w:widowControl/>
      <w:spacing w:after="120" w:line="520" w:lineRule="exact"/>
      <w:ind w:left="840" w:leftChars="400" w:firstLine="700" w:firstLineChars="250"/>
    </w:pPr>
    <w:rPr>
      <w:rFonts w:ascii="宋体" w:hAnsi="宋体" w:cs="宋体"/>
      <w:bCs/>
      <w:kern w:val="0"/>
      <w:sz w:val="28"/>
      <w:szCs w:val="32"/>
    </w:rPr>
  </w:style>
  <w:style w:type="paragraph" w:styleId="80">
    <w:name w:val="Message Header"/>
    <w:basedOn w:val="1"/>
    <w:semiHidden/>
    <w:qFormat/>
    <w:uiPriority w:val="0"/>
    <w:pPr>
      <w:widowControl/>
      <w:pBdr>
        <w:top w:val="single" w:color="auto" w:sz="6" w:space="1"/>
        <w:left w:val="single" w:color="auto" w:sz="6" w:space="1"/>
        <w:bottom w:val="single" w:color="auto" w:sz="6" w:space="1"/>
        <w:right w:val="single" w:color="auto" w:sz="6" w:space="1"/>
      </w:pBdr>
      <w:shd w:val="pct20" w:color="auto" w:fill="auto"/>
      <w:spacing w:line="520" w:lineRule="exact"/>
      <w:ind w:left="1080" w:leftChars="500" w:hanging="1080" w:hangingChars="500"/>
    </w:pPr>
    <w:rPr>
      <w:rFonts w:ascii="Arial" w:hAnsi="Arial" w:cs="Arial"/>
      <w:bCs/>
      <w:kern w:val="0"/>
      <w:sz w:val="24"/>
    </w:rPr>
  </w:style>
  <w:style w:type="paragraph" w:styleId="81">
    <w:name w:val="HTML Preformatted"/>
    <w:basedOn w:val="1"/>
    <w:semiHidden/>
    <w:qFormat/>
    <w:uiPriority w:val="0"/>
    <w:pPr>
      <w:widowControl/>
      <w:spacing w:line="520" w:lineRule="exact"/>
      <w:ind w:firstLine="700" w:firstLineChars="250"/>
    </w:pPr>
    <w:rPr>
      <w:rFonts w:ascii="Courier New" w:hAnsi="Courier New" w:cs="Courier New"/>
      <w:bCs/>
      <w:kern w:val="0"/>
      <w:sz w:val="20"/>
      <w:szCs w:val="20"/>
    </w:rPr>
  </w:style>
  <w:style w:type="paragraph" w:styleId="82">
    <w:name w:val="List Continue 3"/>
    <w:basedOn w:val="1"/>
    <w:semiHidden/>
    <w:qFormat/>
    <w:uiPriority w:val="0"/>
    <w:pPr>
      <w:widowControl/>
      <w:spacing w:after="120" w:line="520" w:lineRule="exact"/>
      <w:ind w:left="1260" w:leftChars="600" w:firstLine="700" w:firstLineChars="250"/>
    </w:pPr>
    <w:rPr>
      <w:rFonts w:ascii="宋体" w:hAnsi="宋体" w:cs="宋体"/>
      <w:bCs/>
      <w:kern w:val="0"/>
      <w:sz w:val="28"/>
      <w:szCs w:val="32"/>
    </w:rPr>
  </w:style>
  <w:style w:type="paragraph" w:styleId="83">
    <w:name w:val="index 2"/>
    <w:basedOn w:val="1"/>
    <w:next w:val="1"/>
    <w:semiHidden/>
    <w:qFormat/>
    <w:uiPriority w:val="0"/>
    <w:pPr>
      <w:adjustRightInd w:val="0"/>
      <w:spacing w:line="360" w:lineRule="atLeast"/>
      <w:ind w:left="200" w:leftChars="200"/>
      <w:textAlignment w:val="baseline"/>
    </w:pPr>
    <w:rPr>
      <w:szCs w:val="21"/>
    </w:rPr>
  </w:style>
  <w:style w:type="paragraph" w:styleId="84">
    <w:name w:val="Title"/>
    <w:basedOn w:val="1"/>
    <w:next w:val="1"/>
    <w:link w:val="161"/>
    <w:qFormat/>
    <w:uiPriority w:val="0"/>
    <w:pPr>
      <w:spacing w:line="360" w:lineRule="auto"/>
      <w:jc w:val="center"/>
      <w:outlineLvl w:val="0"/>
    </w:pPr>
    <w:rPr>
      <w:rFonts w:ascii="Cambria" w:hAnsi="Cambria"/>
      <w:b/>
      <w:bCs/>
      <w:sz w:val="32"/>
      <w:szCs w:val="32"/>
    </w:rPr>
  </w:style>
  <w:style w:type="paragraph" w:styleId="85">
    <w:name w:val="annotation subject"/>
    <w:basedOn w:val="29"/>
    <w:next w:val="29"/>
    <w:semiHidden/>
    <w:qFormat/>
    <w:uiPriority w:val="0"/>
    <w:rPr>
      <w:b/>
      <w:bCs/>
      <w:sz w:val="21"/>
    </w:rPr>
  </w:style>
  <w:style w:type="paragraph" w:styleId="86">
    <w:name w:val="Body Text First Indent"/>
    <w:basedOn w:val="35"/>
    <w:next w:val="1"/>
    <w:semiHidden/>
    <w:qFormat/>
    <w:uiPriority w:val="0"/>
    <w:pPr>
      <w:widowControl/>
      <w:spacing w:after="120" w:line="520" w:lineRule="exact"/>
      <w:ind w:firstLine="420" w:firstLineChars="100"/>
    </w:pPr>
    <w:rPr>
      <w:rFonts w:ascii="宋体" w:hAnsi="宋体" w:cs="宋体"/>
      <w:bCs/>
      <w:kern w:val="0"/>
      <w:sz w:val="28"/>
      <w:szCs w:val="32"/>
    </w:rPr>
  </w:style>
  <w:style w:type="paragraph" w:styleId="87">
    <w:name w:val="Body Text First Indent 2"/>
    <w:basedOn w:val="37"/>
    <w:next w:val="1"/>
    <w:qFormat/>
    <w:uiPriority w:val="0"/>
    <w:pPr>
      <w:adjustRightInd w:val="0"/>
      <w:spacing w:after="120" w:line="360" w:lineRule="atLeast"/>
      <w:ind w:left="420" w:leftChars="200" w:firstLine="420"/>
      <w:textAlignment w:val="baseline"/>
    </w:pPr>
    <w:rPr>
      <w:sz w:val="21"/>
      <w:szCs w:val="21"/>
    </w:rPr>
  </w:style>
  <w:style w:type="table" w:styleId="89">
    <w:name w:val="Table Grid"/>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0">
    <w:name w:val="Table Theme"/>
    <w:basedOn w:val="88"/>
    <w:qFormat/>
    <w:uiPriority w:val="0"/>
    <w:pPr>
      <w:widowControl w:val="0"/>
      <w:jc w:val="both"/>
    </w:pPr>
    <w:rPr>
      <w:sz w:val="21"/>
    </w:rPr>
    <w:tblPr>
      <w:tblBorders>
        <w:top w:val="single" w:color="auto" w:sz="12" w:space="0"/>
        <w:bottom w:val="single" w:color="auto" w:sz="12" w:space="0"/>
        <w:insideH w:val="single" w:color="auto" w:sz="4" w:space="0"/>
        <w:insideV w:val="single" w:color="auto" w:sz="4" w:space="0"/>
      </w:tblBorders>
    </w:tblPr>
  </w:style>
  <w:style w:type="table" w:styleId="91">
    <w:name w:val="Table Colorful 1"/>
    <w:basedOn w:val="88"/>
    <w:semiHidden/>
    <w:qFormat/>
    <w:uiPriority w:val="0"/>
    <w:pPr>
      <w:spacing w:line="520" w:lineRule="exact"/>
      <w:ind w:firstLine="700" w:firstLineChars="25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92">
    <w:name w:val="Table Colorful 2"/>
    <w:basedOn w:val="88"/>
    <w:semiHidden/>
    <w:qFormat/>
    <w:uiPriority w:val="0"/>
    <w:pPr>
      <w:spacing w:line="520" w:lineRule="exact"/>
      <w:ind w:firstLine="700" w:firstLineChars="250"/>
      <w:jc w:val="both"/>
    </w:pPr>
    <w:tblPr>
      <w:tblBorders>
        <w:bottom w:val="single" w:color="000000" w:sz="12" w:space="0"/>
      </w:tblBorders>
    </w:tblPr>
    <w:tcPr>
      <w:shd w:val="pct20" w:color="FFFF00" w:fill="FFFFFF"/>
    </w:tcPr>
    <w:tblStylePr w:type="firstRow">
      <w:rPr>
        <w:b/>
        <w:bCs/>
        <w:i/>
        <w:iCs/>
        <w:color w:val="FFFFFF"/>
      </w:rPr>
      <w:tblPr/>
      <w:tcPr>
        <w:tcBorders>
          <w:top w:val="nil"/>
          <w:left w:val="single" w:color="000000" w:sz="12" w:space="0"/>
          <w:bottom w:val="nil"/>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93">
    <w:name w:val="Table Colorful 3"/>
    <w:basedOn w:val="88"/>
    <w:semiHidden/>
    <w:qFormat/>
    <w:uiPriority w:val="0"/>
    <w:pPr>
      <w:spacing w:line="520" w:lineRule="exact"/>
      <w:ind w:firstLine="700" w:firstLineChars="250"/>
      <w:jc w:val="both"/>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top w:val="nil"/>
          <w:left w:val="single" w:color="000000" w:sz="6" w:space="0"/>
          <w:bottom w:val="nil"/>
          <w:right w:val="nil"/>
          <w:insideH w:val="nil"/>
          <w:insideV w:val="nil"/>
          <w:tl2br w:val="nil"/>
          <w:tr2bl w:val="nil"/>
        </w:tcBorders>
        <w:shd w:val="solid" w:color="008080" w:fill="FFFFFF"/>
      </w:tcPr>
    </w:tblStylePr>
    <w:tblStylePr w:type="firstCol">
      <w:tblPr/>
      <w:tcPr>
        <w:tcBorders>
          <w:top w:val="nil"/>
          <w:left w:val="nil"/>
          <w:bottom w:val="single" w:color="000000" w:sz="36" w:space="0"/>
          <w:right w:val="single" w:color="000000" w:sz="6" w:space="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94">
    <w:name w:val="Table Elegant"/>
    <w:basedOn w:val="88"/>
    <w:semiHidden/>
    <w:qFormat/>
    <w:uiPriority w:val="0"/>
    <w:pPr>
      <w:spacing w:line="520" w:lineRule="exact"/>
      <w:ind w:firstLine="700" w:firstLineChars="25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95">
    <w:name w:val="Table Classic 1"/>
    <w:basedOn w:val="88"/>
    <w:semiHidden/>
    <w:qFormat/>
    <w:uiPriority w:val="0"/>
    <w:pPr>
      <w:spacing w:line="520" w:lineRule="exact"/>
      <w:ind w:firstLine="700" w:firstLineChars="250"/>
      <w:jc w:val="both"/>
    </w:pPr>
    <w:tblPr>
      <w:tblBorders>
        <w:top w:val="single" w:color="000000" w:sz="12" w:space="0"/>
        <w:bottom w:val="single" w:color="000000" w:sz="12" w:space="0"/>
      </w:tblBorders>
    </w:tblPr>
    <w:tcPr>
      <w:shd w:val="clear" w:color="auto" w:fill="auto"/>
    </w:tcPr>
    <w:tblStylePr w:type="firstRow">
      <w:rPr>
        <w:i/>
        <w:iCs/>
      </w:rPr>
      <w:tblPr/>
      <w:tcPr>
        <w:tcBorders>
          <w:top w:val="nil"/>
          <w:left w:val="single" w:color="000000" w:sz="6" w:space="0"/>
          <w:bottom w:val="nil"/>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tblPr/>
      <w:tcPr>
        <w:tcBorders>
          <w:top w:val="nil"/>
          <w:left w:val="nil"/>
          <w:bottom w:val="nil"/>
          <w:right w:val="single" w:color="000000" w:sz="6" w:space="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96">
    <w:name w:val="Table Classic 2"/>
    <w:basedOn w:val="88"/>
    <w:semiHidden/>
    <w:qFormat/>
    <w:uiPriority w:val="0"/>
    <w:pPr>
      <w:spacing w:line="520" w:lineRule="exact"/>
      <w:ind w:firstLine="700" w:firstLineChars="250"/>
      <w:jc w:val="both"/>
    </w:pPr>
    <w:tblPr>
      <w:tblBorders>
        <w:top w:val="single" w:color="000000" w:sz="12" w:space="0"/>
        <w:bottom w:val="single" w:color="000000" w:sz="12" w:space="0"/>
      </w:tblBorders>
    </w:tblPr>
    <w:tcPr>
      <w:shd w:val="clear" w:color="auto" w:fill="auto"/>
    </w:tcPr>
    <w:tblStylePr w:type="firstRow">
      <w:rPr>
        <w:color w:val="FFFFFF"/>
      </w:rPr>
      <w:tblPr/>
      <w:tcPr>
        <w:tcBorders>
          <w:top w:val="nil"/>
          <w:left w:val="single" w:color="000000" w:sz="6" w:space="0"/>
          <w:bottom w:val="nil"/>
          <w:right w:val="nil"/>
          <w:insideH w:val="nil"/>
          <w:insideV w:val="nil"/>
          <w:tl2br w:val="nil"/>
          <w:tr2bl w:val="nil"/>
        </w:tcBorders>
        <w:shd w:val="solid" w:color="800080" w:fill="FFFFFF"/>
      </w:tcPr>
    </w:tblStylePr>
    <w:tblStylePr w:type="lastRow">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97">
    <w:name w:val="Table Classic 3"/>
    <w:basedOn w:val="88"/>
    <w:semiHidden/>
    <w:qFormat/>
    <w:uiPriority w:val="0"/>
    <w:pPr>
      <w:spacing w:line="520" w:lineRule="exact"/>
      <w:ind w:firstLine="700" w:firstLineChars="250"/>
      <w:jc w:val="both"/>
    </w:pPr>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top w:val="nil"/>
          <w:left w:val="single" w:color="000000" w:sz="6" w:space="0"/>
          <w:bottom w:val="nil"/>
          <w:right w:val="nil"/>
          <w:insideH w:val="nil"/>
          <w:insideV w:val="nil"/>
          <w:tl2br w:val="nil"/>
          <w:tr2bl w:val="nil"/>
        </w:tcBorders>
        <w:shd w:val="solid" w:color="000080" w:fill="FFFFFF"/>
      </w:tcPr>
    </w:tblStylePr>
    <w:tblStylePr w:type="lastRow">
      <w:rPr>
        <w:color w:val="000080"/>
      </w:rPr>
      <w:tbl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styleId="98">
    <w:name w:val="Table Classic 4"/>
    <w:basedOn w:val="88"/>
    <w:semiHidden/>
    <w:qFormat/>
    <w:uiPriority w:val="0"/>
    <w:pPr>
      <w:spacing w:line="520" w:lineRule="exact"/>
      <w:ind w:firstLine="700" w:firstLineChars="250"/>
      <w:jc w:val="both"/>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top w:val="nil"/>
          <w:left w:val="single" w:color="000000" w:sz="6" w:space="0"/>
          <w:bottom w:val="nil"/>
          <w:right w:val="nil"/>
          <w:insideH w:val="nil"/>
          <w:insideV w:val="nil"/>
          <w:tl2br w:val="nil"/>
          <w:tr2bl w:val="nil"/>
        </w:tcBorders>
        <w:shd w:val="pct50" w:color="000080" w:fill="FFFFFF"/>
      </w:tcPr>
    </w:tblStylePr>
    <w:tblStylePr w:type="lastRow">
      <w:rPr>
        <w:color w:val="000080"/>
      </w:rPr>
      <w:tblPr/>
      <w:tcPr>
        <w:tcBorders>
          <w:top w:val="nil"/>
          <w:left w:val="single" w:color="000000" w:sz="6" w:space="0"/>
          <w:bottom w:val="nil"/>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99">
    <w:name w:val="Table Simple 1"/>
    <w:basedOn w:val="88"/>
    <w:semiHidden/>
    <w:qFormat/>
    <w:uiPriority w:val="0"/>
    <w:pPr>
      <w:spacing w:line="520" w:lineRule="exact"/>
      <w:ind w:firstLine="700" w:firstLineChars="250"/>
      <w:jc w:val="both"/>
    </w:pPr>
    <w:tblPr>
      <w:tblBorders>
        <w:top w:val="single" w:color="008000" w:sz="12" w:space="0"/>
        <w:bottom w:val="single" w:color="008000" w:sz="12" w:space="0"/>
      </w:tblBorders>
    </w:tblPr>
    <w:tcPr>
      <w:shd w:val="clear" w:color="auto" w:fill="auto"/>
    </w:tcPr>
    <w:tblStylePr w:type="firstRow">
      <w:tblPr/>
      <w:tcPr>
        <w:tcBorders>
          <w:top w:val="nil"/>
          <w:left w:val="single" w:color="008000" w:sz="6" w:space="0"/>
          <w:bottom w:val="nil"/>
          <w:right w:val="nil"/>
          <w:insideH w:val="nil"/>
          <w:insideV w:val="nil"/>
          <w:tl2br w:val="nil"/>
          <w:tr2bl w:val="nil"/>
        </w:tcBorders>
      </w:tcPr>
    </w:tblStylePr>
    <w:tblStylePr w:type="lastRow">
      <w:tblPr/>
      <w:tcPr>
        <w:tcBorders>
          <w:top w:val="single" w:color="008000" w:sz="6" w:space="0"/>
          <w:left w:val="nil"/>
          <w:bottom w:val="nil"/>
          <w:right w:val="nil"/>
          <w:insideH w:val="nil"/>
          <w:insideV w:val="nil"/>
          <w:tl2br w:val="nil"/>
          <w:tr2bl w:val="nil"/>
        </w:tcBorders>
      </w:tcPr>
    </w:tblStylePr>
  </w:style>
  <w:style w:type="table" w:styleId="100">
    <w:name w:val="Table Simple 2"/>
    <w:basedOn w:val="88"/>
    <w:semiHidden/>
    <w:qFormat/>
    <w:uiPriority w:val="0"/>
    <w:pPr>
      <w:spacing w:line="520" w:lineRule="exact"/>
      <w:ind w:firstLine="700" w:firstLineChars="250"/>
      <w:jc w:val="both"/>
    </w:pPr>
    <w:tblPr/>
    <w:tblStylePr w:type="firstRow">
      <w:rPr>
        <w:b/>
        <w:bCs/>
      </w:rPr>
      <w:tblPr/>
      <w:tcPr>
        <w:tcBorders>
          <w:top w:val="nil"/>
          <w:left w:val="single" w:color="000000" w:sz="12" w:space="0"/>
          <w:bottom w:val="nil"/>
          <w:right w:val="nil"/>
          <w:insideH w:val="nil"/>
          <w:insideV w:val="nil"/>
          <w:tl2br w:val="nil"/>
          <w:tr2bl w:val="nil"/>
        </w:tcBorders>
      </w:tcPr>
    </w:tblStylePr>
    <w:tblStylePr w:type="lastRow">
      <w:rPr>
        <w:b/>
        <w:bCs/>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lastCol">
      <w:rPr>
        <w:b/>
        <w:bCs/>
      </w:rPr>
      <w:tblPr/>
      <w:tcPr>
        <w:tcBorders>
          <w:top w:val="nil"/>
          <w:left w:val="nil"/>
          <w:bottom w:val="single" w:color="000000" w:sz="6" w:space="0"/>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1">
    <w:name w:val="Table Simple 3"/>
    <w:basedOn w:val="88"/>
    <w:semiHidden/>
    <w:qFormat/>
    <w:uiPriority w:val="0"/>
    <w:pPr>
      <w:spacing w:line="520" w:lineRule="exact"/>
      <w:ind w:firstLine="700" w:firstLineChars="25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102">
    <w:name w:val="Table Subtle 1"/>
    <w:basedOn w:val="88"/>
    <w:semiHidden/>
    <w:qFormat/>
    <w:uiPriority w:val="0"/>
    <w:pPr>
      <w:spacing w:line="520" w:lineRule="exact"/>
      <w:ind w:firstLine="700" w:firstLineChars="250"/>
      <w:jc w:val="both"/>
    </w:pPr>
    <w:tblPr>
      <w:tblStyleRowBandSize w:val="1"/>
    </w:tblPr>
    <w:tblStylePr w:type="firstRow">
      <w:tblPr/>
      <w:tcPr>
        <w:tcBorders>
          <w:top w:val="single" w:color="000000" w:sz="6" w:space="0"/>
          <w:left w:val="single" w:color="000000" w:sz="12" w:space="0"/>
          <w:bottom w:val="nil"/>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color="000000" w:sz="12" w:space="0"/>
          <w:insideH w:val="nil"/>
          <w:insideV w:val="nil"/>
          <w:tl2br w:val="nil"/>
          <w:tr2bl w:val="nil"/>
        </w:tcBorders>
      </w:tcPr>
    </w:tblStylePr>
    <w:tblStylePr w:type="lastCol">
      <w:tblPr/>
      <w:tcPr>
        <w:tcBorders>
          <w:top w:val="nil"/>
          <w:left w:val="nil"/>
          <w:bottom w:val="single" w:color="000000" w:sz="12" w:space="0"/>
          <w:right w:val="nil"/>
          <w:insideH w:val="nil"/>
          <w:insideV w:val="nil"/>
          <w:tl2br w:val="nil"/>
          <w:tr2bl w:val="nil"/>
        </w:tcBorders>
      </w:tcPr>
    </w:tblStylePr>
    <w:tblStylePr w:type="band1Horz">
      <w:tblPr/>
      <w:tcPr>
        <w:tcBorders>
          <w:top w:val="nil"/>
          <w:left w:val="single" w:color="000000" w:sz="6" w:space="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3">
    <w:name w:val="Table Subtle 2"/>
    <w:basedOn w:val="88"/>
    <w:semiHidden/>
    <w:qFormat/>
    <w:uiPriority w:val="0"/>
    <w:pPr>
      <w:spacing w:line="520" w:lineRule="exact"/>
      <w:ind w:firstLine="700" w:firstLineChars="250"/>
      <w:jc w:val="both"/>
    </w:pPr>
    <w:tblPr>
      <w:tblBorders>
        <w:left w:val="single" w:color="000000" w:sz="6" w:space="0"/>
        <w:right w:val="single" w:color="000000" w:sz="6" w:space="0"/>
      </w:tblBorders>
    </w:tblPr>
    <w:tblStylePr w:type="firstRow">
      <w:tblPr/>
      <w:tcPr>
        <w:tcBorders>
          <w:top w:val="nil"/>
          <w:left w:val="single" w:color="000000" w:sz="12" w:space="0"/>
          <w:bottom w:val="nil"/>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firstCol">
      <w:tblPr/>
      <w:tcPr>
        <w:tcBorders>
          <w:top w:val="nil"/>
          <w:left w:val="nil"/>
          <w:bottom w:val="nil"/>
          <w:right w:val="single" w:color="000000" w:sz="12" w:space="0"/>
          <w:insideH w:val="nil"/>
          <w:insideV w:val="nil"/>
          <w:tl2br w:val="nil"/>
          <w:tr2bl w:val="nil"/>
        </w:tcBorders>
        <w:shd w:val="pct25" w:color="008000" w:fill="FFFFFF"/>
      </w:tcPr>
    </w:tblStylePr>
    <w:tblStylePr w:type="lastCol">
      <w:tblPr/>
      <w:tcPr>
        <w:tcBorders>
          <w:top w:val="nil"/>
          <w:left w:val="nil"/>
          <w:bottom w:val="single" w:color="000000" w:sz="12" w:space="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4">
    <w:name w:val="Table 3D effects 1"/>
    <w:basedOn w:val="88"/>
    <w:semiHidden/>
    <w:qFormat/>
    <w:uiPriority w:val="0"/>
    <w:pPr>
      <w:spacing w:line="520" w:lineRule="exact"/>
      <w:ind w:firstLine="700" w:firstLineChars="250"/>
      <w:jc w:val="both"/>
    </w:pPr>
    <w:tblPr/>
    <w:tcPr>
      <w:shd w:val="solid" w:color="C0C0C0" w:fill="FFFFFF"/>
    </w:tcPr>
    <w:tblStylePr w:type="firstRow">
      <w:rPr>
        <w:b/>
        <w:bCs/>
        <w:color w:val="800080"/>
      </w:rPr>
      <w:tblPr/>
      <w:tcPr>
        <w:tcBorders>
          <w:top w:val="nil"/>
          <w:left w:val="single" w:color="808080" w:sz="6" w:space="0"/>
          <w:bottom w:val="nil"/>
          <w:right w:val="nil"/>
          <w:insideH w:val="nil"/>
          <w:insideV w:val="nil"/>
          <w:tl2br w:val="nil"/>
          <w:tr2bl w:val="nil"/>
        </w:tcBorders>
      </w:tcPr>
    </w:tblStylePr>
    <w:tblStylePr w:type="lastRow">
      <w:tblPr/>
      <w:tcPr>
        <w:tcBorders>
          <w:top w:val="single" w:color="FFFFFF" w:sz="6" w:space="0"/>
          <w:left w:val="nil"/>
          <w:bottom w:val="nil"/>
          <w:right w:val="nil"/>
          <w:insideH w:val="nil"/>
          <w:insideV w:val="nil"/>
          <w:tl2br w:val="nil"/>
          <w:tr2bl w:val="nil"/>
        </w:tcBorders>
      </w:tcPr>
    </w:tblStylePr>
    <w:tblStylePr w:type="firstCol">
      <w:rPr>
        <w:b/>
        <w:bCs/>
      </w:rPr>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single" w:color="FFFFFF" w:sz="6" w:space="0"/>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05">
    <w:name w:val="Table 3D effects 2"/>
    <w:basedOn w:val="88"/>
    <w:semiHidden/>
    <w:qFormat/>
    <w:uiPriority w:val="0"/>
    <w:pPr>
      <w:spacing w:line="520" w:lineRule="exact"/>
      <w:ind w:firstLine="700" w:firstLineChars="250"/>
      <w:jc w:val="both"/>
    </w:pPr>
    <w:tblPr>
      <w:tblStyleRowBandSize w:val="1"/>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nil"/>
          <w:right w:val="single" w:color="FFFFFF" w:sz="6" w:space="0"/>
          <w:insideH w:val="nil"/>
          <w:insideV w:val="nil"/>
          <w:tl2br w:val="nil"/>
          <w:tr2bl w:val="nil"/>
        </w:tcBorders>
      </w:tcPr>
    </w:tblStylePr>
    <w:tblStylePr w:type="band1Horz">
      <w:tblPr/>
      <w:tcPr>
        <w:tcBorders>
          <w:top w:val="single" w:color="808080" w:sz="6" w:space="0"/>
          <w:left w:val="single" w:color="FFFFFF" w:sz="6" w:space="0"/>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6">
    <w:name w:val="Table 3D effects 3"/>
    <w:basedOn w:val="88"/>
    <w:semiHidden/>
    <w:qFormat/>
    <w:uiPriority w:val="0"/>
    <w:pPr>
      <w:spacing w:line="520" w:lineRule="exact"/>
      <w:ind w:firstLine="700" w:firstLineChars="250"/>
      <w:jc w:val="both"/>
    </w:pPr>
    <w:tblPr>
      <w:tblStyleRowBandSize w:val="1"/>
      <w:tblStyleColBandSize w:val="1"/>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nil"/>
          <w:right w:val="single" w:color="FFFFFF" w:sz="6" w:space="0"/>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left w:val="single" w:color="FFFFFF" w:sz="6" w:space="0"/>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7">
    <w:name w:val="Table List 1"/>
    <w:basedOn w:val="88"/>
    <w:semiHidden/>
    <w:qFormat/>
    <w:uiPriority w:val="0"/>
    <w:pPr>
      <w:spacing w:line="520" w:lineRule="exact"/>
      <w:ind w:firstLine="700" w:firstLineChars="250"/>
      <w:jc w:val="both"/>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top w:val="nil"/>
          <w:left w:val="single" w:color="000000" w:sz="6" w:space="0"/>
          <w:bottom w:val="nil"/>
          <w:right w:val="nil"/>
          <w:insideH w:val="nil"/>
          <w:insideV w:val="nil"/>
          <w:tl2br w:val="nil"/>
          <w:tr2bl w:val="nil"/>
        </w:tcBorders>
        <w:shd w:val="solid" w:color="C0C0C0" w:fill="FFFFFF"/>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8">
    <w:name w:val="Table List 2"/>
    <w:basedOn w:val="88"/>
    <w:semiHidden/>
    <w:qFormat/>
    <w:uiPriority w:val="0"/>
    <w:pPr>
      <w:spacing w:line="520" w:lineRule="exact"/>
      <w:ind w:firstLine="700" w:firstLineChars="250"/>
      <w:jc w:val="both"/>
    </w:pPr>
    <w:tblPr>
      <w:tblBorders>
        <w:bottom w:val="single" w:color="808080" w:sz="12" w:space="0"/>
      </w:tblBorders>
    </w:tblPr>
    <w:tblStylePr w:type="firstRow">
      <w:rPr>
        <w:b/>
        <w:bCs/>
        <w:color w:val="FFFFFF"/>
      </w:rPr>
      <w:tblPr/>
      <w:tcPr>
        <w:tcBorders>
          <w:top w:val="nil"/>
          <w:left w:val="single" w:color="000000" w:sz="6" w:space="0"/>
          <w:bottom w:val="nil"/>
          <w:right w:val="nil"/>
          <w:insideH w:val="nil"/>
          <w:insideV w:val="nil"/>
          <w:tl2br w:val="nil"/>
          <w:tr2bl w:val="nil"/>
        </w:tcBorders>
        <w:shd w:val="pct75" w:color="008080" w:fill="008000"/>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9">
    <w:name w:val="Table List 3"/>
    <w:basedOn w:val="88"/>
    <w:semiHidden/>
    <w:qFormat/>
    <w:uiPriority w:val="0"/>
    <w:pPr>
      <w:spacing w:line="520" w:lineRule="exact"/>
      <w:ind w:firstLine="700" w:firstLineChars="250"/>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top w:val="nil"/>
          <w:left w:val="single" w:color="000000" w:sz="12" w:space="0"/>
          <w:bottom w:val="nil"/>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110">
    <w:name w:val="Table List 4"/>
    <w:basedOn w:val="88"/>
    <w:semiHidden/>
    <w:qFormat/>
    <w:uiPriority w:val="0"/>
    <w:pPr>
      <w:spacing w:line="520" w:lineRule="exact"/>
      <w:ind w:firstLine="700" w:firstLineChars="250"/>
      <w:jc w:val="both"/>
    </w:p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top w:val="nil"/>
          <w:left w:val="single" w:color="000000" w:sz="12" w:space="0"/>
          <w:bottom w:val="nil"/>
          <w:right w:val="nil"/>
          <w:insideH w:val="nil"/>
          <w:insideV w:val="nil"/>
          <w:tl2br w:val="nil"/>
          <w:tr2bl w:val="nil"/>
        </w:tcBorders>
        <w:shd w:val="solid" w:color="808080" w:fill="FFFFFF"/>
      </w:tcPr>
    </w:tblStylePr>
  </w:style>
  <w:style w:type="table" w:styleId="111">
    <w:name w:val="Table List 5"/>
    <w:basedOn w:val="88"/>
    <w:semiHidden/>
    <w:qFormat/>
    <w:uiPriority w:val="0"/>
    <w:pPr>
      <w:spacing w:line="520" w:lineRule="exact"/>
      <w:ind w:firstLine="700" w:firstLineChars="250"/>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top w:val="nil"/>
          <w:left w:val="single" w:color="000000" w:sz="12" w:space="0"/>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112">
    <w:name w:val="Table List 6"/>
    <w:basedOn w:val="88"/>
    <w:semiHidden/>
    <w:qFormat/>
    <w:uiPriority w:val="0"/>
    <w:pPr>
      <w:spacing w:line="520" w:lineRule="exact"/>
      <w:ind w:firstLine="700" w:firstLineChars="250"/>
      <w:jc w:val="both"/>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top w:val="nil"/>
          <w:left w:val="single" w:color="000000" w:sz="12" w:space="0"/>
          <w:bottom w:val="nil"/>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13">
    <w:name w:val="Table List 7"/>
    <w:basedOn w:val="88"/>
    <w:semiHidden/>
    <w:qFormat/>
    <w:uiPriority w:val="0"/>
    <w:pPr>
      <w:spacing w:line="520" w:lineRule="exact"/>
      <w:ind w:firstLine="700" w:firstLineChars="250"/>
      <w:jc w:val="both"/>
    </w:p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top w:val="nil"/>
          <w:left w:val="single" w:color="008000" w:sz="12" w:space="0"/>
          <w:bottom w:val="nil"/>
          <w:right w:val="nil"/>
          <w:insideH w:val="nil"/>
          <w:insideV w:val="nil"/>
          <w:tl2br w:val="nil"/>
          <w:tr2bl w:val="nil"/>
        </w:tcBorders>
        <w:shd w:val="solid" w:color="C0C0C0" w:fill="FFFFFF"/>
      </w:tcPr>
    </w:tblStylePr>
    <w:tblStylePr w:type="lastRow">
      <w:rPr>
        <w:b/>
        <w:bCs/>
      </w:rPr>
      <w:tblPr/>
      <w:tcPr>
        <w:tcBorders>
          <w:top w:val="single" w:color="008000" w:sz="12"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styleId="114">
    <w:name w:val="Table List 8"/>
    <w:basedOn w:val="88"/>
    <w:semiHidden/>
    <w:qFormat/>
    <w:uiPriority w:val="0"/>
    <w:pPr>
      <w:spacing w:line="520" w:lineRule="exact"/>
      <w:ind w:firstLine="700" w:firstLineChars="250"/>
      <w:jc w:val="both"/>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top w:val="nil"/>
          <w:left w:val="single" w:color="000000" w:sz="6" w:space="0"/>
          <w:bottom w:val="nil"/>
          <w:right w:val="nil"/>
          <w:insideH w:val="nil"/>
          <w:insideV w:val="nil"/>
          <w:tl2br w:val="nil"/>
          <w:tr2bl w:val="nil"/>
        </w:tcBorders>
        <w:shd w:val="solid" w:color="FFFF00" w:fill="FFFFFF"/>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color="auto" w:sz="6" w:space="0"/>
          <w:tr2bl w:val="nil"/>
        </w:tcBorders>
      </w:tcPr>
    </w:tblStylePr>
  </w:style>
  <w:style w:type="table" w:styleId="115">
    <w:name w:val="Table Contemporary"/>
    <w:basedOn w:val="88"/>
    <w:semiHidden/>
    <w:qFormat/>
    <w:uiPriority w:val="0"/>
    <w:pPr>
      <w:spacing w:line="520" w:lineRule="exact"/>
      <w:ind w:firstLine="700" w:firstLineChars="250"/>
      <w:jc w:val="both"/>
    </w:pPr>
    <w:tblPr>
      <w:tblBorders>
        <w:insideH w:val="single" w:color="FFFFFF" w:sz="18" w:space="0"/>
        <w:insideV w:val="single" w:color="FFFFFF" w:sz="18" w:space="0"/>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116">
    <w:name w:val="Table Columns 1"/>
    <w:basedOn w:val="88"/>
    <w:semiHidden/>
    <w:qFormat/>
    <w:uiPriority w:val="0"/>
    <w:pPr>
      <w:spacing w:line="520" w:lineRule="exact"/>
      <w:ind w:firstLine="700" w:firstLineChars="250"/>
      <w:jc w:val="both"/>
    </w:pPr>
    <w:rPr>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top w:val="nil"/>
          <w:left w:val="double" w:color="000000" w:sz="6" w:space="0"/>
          <w:bottom w:val="nil"/>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7">
    <w:name w:val="Table Columns 2"/>
    <w:basedOn w:val="88"/>
    <w:semiHidden/>
    <w:qFormat/>
    <w:uiPriority w:val="0"/>
    <w:pPr>
      <w:spacing w:line="520" w:lineRule="exact"/>
      <w:ind w:firstLine="700" w:firstLineChars="250"/>
      <w:jc w:val="both"/>
    </w:pPr>
    <w:rPr>
      <w:b/>
      <w:bCs/>
    </w:r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8">
    <w:name w:val="Table Columns 3"/>
    <w:basedOn w:val="88"/>
    <w:semiHidden/>
    <w:qFormat/>
    <w:uiPriority w:val="0"/>
    <w:pPr>
      <w:spacing w:line="520" w:lineRule="exact"/>
      <w:ind w:firstLine="700" w:firstLineChars="250"/>
      <w:jc w:val="both"/>
    </w:pPr>
    <w:rPr>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color="00008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styleId="119">
    <w:name w:val="Table Columns 4"/>
    <w:basedOn w:val="88"/>
    <w:semiHidden/>
    <w:qFormat/>
    <w:uiPriority w:val="0"/>
    <w:pPr>
      <w:spacing w:line="520" w:lineRule="exact"/>
      <w:ind w:firstLine="700" w:firstLineChars="250"/>
      <w:jc w:val="both"/>
    </w:p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20">
    <w:name w:val="Table Columns 5"/>
    <w:basedOn w:val="88"/>
    <w:semiHidden/>
    <w:qFormat/>
    <w:uiPriority w:val="0"/>
    <w:pPr>
      <w:spacing w:line="520" w:lineRule="exact"/>
      <w:ind w:firstLine="700" w:firstLineChars="250"/>
      <w:jc w:val="both"/>
    </w:p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top w:val="nil"/>
          <w:left w:val="single" w:color="808080" w:sz="6" w:space="0"/>
          <w:bottom w:val="nil"/>
          <w:right w:val="nil"/>
          <w:insideH w:val="nil"/>
          <w:insideV w:val="nil"/>
          <w:tl2br w:val="nil"/>
          <w:tr2bl w:val="nil"/>
        </w:tcBorders>
      </w:tcPr>
    </w:tblStylePr>
    <w:tblStylePr w:type="lastRow">
      <w:rPr>
        <w:b/>
        <w:bCs/>
      </w:rPr>
      <w:tblPr/>
      <w:tcPr>
        <w:tcBorders>
          <w:top w:val="single" w:color="80808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21">
    <w:name w:val="Table Grid 1"/>
    <w:basedOn w:val="88"/>
    <w:semiHidden/>
    <w:qFormat/>
    <w:uiPriority w:val="0"/>
    <w:pPr>
      <w:spacing w:line="520" w:lineRule="exact"/>
      <w:ind w:firstLine="700" w:firstLineChars="25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2">
    <w:name w:val="Table Grid 2"/>
    <w:basedOn w:val="88"/>
    <w:qFormat/>
    <w:uiPriority w:val="0"/>
    <w:pPr>
      <w:widowControl w:val="0"/>
      <w:jc w:val="both"/>
    </w:pPr>
    <w:tblPr>
      <w:tblBorders>
        <w:insideH w:val="single" w:color="000000" w:sz="6" w:space="0"/>
        <w:insideV w:val="single" w:color="000000" w:sz="6" w:space="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123">
    <w:name w:val="Table Grid 3"/>
    <w:basedOn w:val="88"/>
    <w:semiHidden/>
    <w:qFormat/>
    <w:uiPriority w:val="0"/>
    <w:pPr>
      <w:spacing w:line="520" w:lineRule="exact"/>
      <w:ind w:firstLine="700" w:firstLineChars="250"/>
      <w:jc w:val="both"/>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top w:val="nil"/>
          <w:left w:val="single" w:color="000000" w:sz="6" w:space="0"/>
          <w:bottom w:val="nil"/>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4">
    <w:name w:val="Table Grid 4"/>
    <w:basedOn w:val="88"/>
    <w:semiHidden/>
    <w:qFormat/>
    <w:uiPriority w:val="0"/>
    <w:pPr>
      <w:spacing w:line="520" w:lineRule="exact"/>
      <w:ind w:firstLine="700" w:firstLineChars="250"/>
      <w:jc w:val="both"/>
    </w:p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top w:val="nil"/>
          <w:left w:val="single" w:color="000000" w:sz="6" w:space="0"/>
          <w:bottom w:val="nil"/>
          <w:right w:val="nil"/>
          <w:insideH w:val="nil"/>
          <w:insideV w:val="nil"/>
          <w:tl2br w:val="nil"/>
          <w:tr2bl w:val="nil"/>
        </w:tcBorders>
        <w:shd w:val="pct30" w:color="FFFF00" w:fill="FFFFFF"/>
      </w:tcPr>
    </w:tblStylePr>
    <w:tblStylePr w:type="lastRow">
      <w:rPr>
        <w:b/>
        <w:bCs/>
        <w:color w:val="auto"/>
      </w:rPr>
      <w:tbl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25">
    <w:name w:val="Table Grid 5"/>
    <w:basedOn w:val="88"/>
    <w:semiHidden/>
    <w:qFormat/>
    <w:uiPriority w:val="0"/>
    <w:pPr>
      <w:spacing w:line="520" w:lineRule="exact"/>
      <w:ind w:firstLine="700" w:firstLineChars="25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single" w:color="000000" w:sz="12" w:space="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6">
    <w:name w:val="Table Grid 6"/>
    <w:basedOn w:val="88"/>
    <w:semiHidden/>
    <w:qFormat/>
    <w:uiPriority w:val="0"/>
    <w:pPr>
      <w:spacing w:line="520" w:lineRule="exact"/>
      <w:ind w:firstLine="700" w:firstLineChars="250"/>
      <w:jc w:val="both"/>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top w:val="nil"/>
          <w:left w:val="single" w:color="000000" w:sz="6" w:space="0"/>
          <w:bottom w:val="nil"/>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7">
    <w:name w:val="Table Grid 7"/>
    <w:basedOn w:val="88"/>
    <w:semiHidden/>
    <w:qFormat/>
    <w:uiPriority w:val="0"/>
    <w:pPr>
      <w:spacing w:line="520" w:lineRule="exact"/>
      <w:ind w:firstLine="700" w:firstLineChars="25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top w:val="nil"/>
          <w:left w:val="single" w:color="000000" w:sz="12" w:space="0"/>
          <w:bottom w:val="nil"/>
          <w:right w:val="nil"/>
          <w:insideH w:val="nil"/>
          <w:insideV w:val="nil"/>
          <w:tl2br w:val="nil"/>
          <w:tr2bl w:val="nil"/>
        </w:tcBorders>
      </w:tcPr>
    </w:tblStylePr>
    <w:tblStylePr w:type="lastRow">
      <w:rPr>
        <w:b w:val="0"/>
        <w:bCs w:val="0"/>
      </w:rPr>
      <w:tblPr/>
      <w:tcPr>
        <w:tcBorders>
          <w:top w:val="single" w:color="00000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8">
    <w:name w:val="Table Grid 8"/>
    <w:basedOn w:val="88"/>
    <w:semiHidden/>
    <w:qFormat/>
    <w:uiPriority w:val="0"/>
    <w:pPr>
      <w:spacing w:line="520" w:lineRule="exact"/>
      <w:ind w:firstLine="700" w:firstLineChars="25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29">
    <w:name w:val="Table Web 1"/>
    <w:basedOn w:val="88"/>
    <w:semiHidden/>
    <w:qFormat/>
    <w:uiPriority w:val="0"/>
    <w:pPr>
      <w:spacing w:line="520" w:lineRule="exact"/>
      <w:ind w:firstLine="700" w:firstLineChars="25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30">
    <w:name w:val="Table Web 2"/>
    <w:basedOn w:val="88"/>
    <w:semiHidden/>
    <w:qFormat/>
    <w:uiPriority w:val="0"/>
    <w:pPr>
      <w:spacing w:line="520" w:lineRule="exact"/>
      <w:ind w:firstLine="700" w:firstLineChars="25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31">
    <w:name w:val="Table Web 3"/>
    <w:basedOn w:val="88"/>
    <w:semiHidden/>
    <w:qFormat/>
    <w:uiPriority w:val="0"/>
    <w:pPr>
      <w:spacing w:line="520" w:lineRule="exact"/>
      <w:ind w:firstLine="700" w:firstLineChars="25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32">
    <w:name w:val="Table Professional"/>
    <w:basedOn w:val="88"/>
    <w:semiHidden/>
    <w:qFormat/>
    <w:uiPriority w:val="0"/>
    <w:pPr>
      <w:spacing w:line="520" w:lineRule="exact"/>
      <w:ind w:firstLine="700" w:firstLineChars="25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134">
    <w:name w:val="Strong"/>
    <w:basedOn w:val="133"/>
    <w:qFormat/>
    <w:uiPriority w:val="0"/>
    <w:rPr>
      <w:b/>
      <w:bCs/>
    </w:rPr>
  </w:style>
  <w:style w:type="character" w:styleId="135">
    <w:name w:val="page number"/>
    <w:qFormat/>
    <w:uiPriority w:val="0"/>
  </w:style>
  <w:style w:type="character" w:styleId="136">
    <w:name w:val="FollowedHyperlink"/>
    <w:qFormat/>
    <w:uiPriority w:val="0"/>
    <w:rPr>
      <w:color w:val="800080"/>
      <w:u w:val="single"/>
    </w:rPr>
  </w:style>
  <w:style w:type="character" w:styleId="137">
    <w:name w:val="Emphasis"/>
    <w:qFormat/>
    <w:uiPriority w:val="0"/>
    <w:rPr>
      <w:i/>
      <w:iCs/>
    </w:rPr>
  </w:style>
  <w:style w:type="character" w:styleId="138">
    <w:name w:val="line number"/>
    <w:semiHidden/>
    <w:qFormat/>
    <w:uiPriority w:val="0"/>
  </w:style>
  <w:style w:type="character" w:styleId="139">
    <w:name w:val="HTML Definition"/>
    <w:semiHidden/>
    <w:qFormat/>
    <w:uiPriority w:val="0"/>
    <w:rPr>
      <w:i/>
      <w:iCs/>
    </w:rPr>
  </w:style>
  <w:style w:type="character" w:styleId="140">
    <w:name w:val="HTML Typewriter"/>
    <w:semiHidden/>
    <w:qFormat/>
    <w:uiPriority w:val="0"/>
    <w:rPr>
      <w:rFonts w:ascii="Courier New" w:hAnsi="Courier New" w:cs="Courier New"/>
      <w:sz w:val="20"/>
      <w:szCs w:val="20"/>
    </w:rPr>
  </w:style>
  <w:style w:type="character" w:styleId="141">
    <w:name w:val="HTML Acronym"/>
    <w:semiHidden/>
    <w:qFormat/>
    <w:uiPriority w:val="0"/>
  </w:style>
  <w:style w:type="character" w:styleId="142">
    <w:name w:val="HTML Variable"/>
    <w:semiHidden/>
    <w:qFormat/>
    <w:uiPriority w:val="0"/>
    <w:rPr>
      <w:i/>
      <w:iCs/>
    </w:rPr>
  </w:style>
  <w:style w:type="character" w:styleId="143">
    <w:name w:val="Hyperlink"/>
    <w:qFormat/>
    <w:uiPriority w:val="99"/>
    <w:rPr>
      <w:color w:val="0000FF"/>
      <w:u w:val="single"/>
    </w:rPr>
  </w:style>
  <w:style w:type="character" w:styleId="144">
    <w:name w:val="HTML Code"/>
    <w:semiHidden/>
    <w:qFormat/>
    <w:uiPriority w:val="0"/>
    <w:rPr>
      <w:rFonts w:ascii="Courier New" w:hAnsi="Courier New" w:cs="Courier New"/>
      <w:sz w:val="20"/>
      <w:szCs w:val="20"/>
    </w:rPr>
  </w:style>
  <w:style w:type="character" w:styleId="145">
    <w:name w:val="annotation reference"/>
    <w:qFormat/>
    <w:uiPriority w:val="0"/>
    <w:rPr>
      <w:sz w:val="21"/>
      <w:szCs w:val="21"/>
    </w:rPr>
  </w:style>
  <w:style w:type="character" w:styleId="146">
    <w:name w:val="HTML Cite"/>
    <w:semiHidden/>
    <w:qFormat/>
    <w:uiPriority w:val="0"/>
    <w:rPr>
      <w:i/>
      <w:iCs/>
    </w:rPr>
  </w:style>
  <w:style w:type="character" w:styleId="147">
    <w:name w:val="HTML Keyboard"/>
    <w:semiHidden/>
    <w:qFormat/>
    <w:uiPriority w:val="0"/>
    <w:rPr>
      <w:rFonts w:ascii="Courier New" w:hAnsi="Courier New" w:cs="Courier New"/>
      <w:sz w:val="20"/>
      <w:szCs w:val="20"/>
    </w:rPr>
  </w:style>
  <w:style w:type="character" w:styleId="148">
    <w:name w:val="HTML Sample"/>
    <w:semiHidden/>
    <w:qFormat/>
    <w:uiPriority w:val="0"/>
    <w:rPr>
      <w:rFonts w:ascii="Courier New" w:hAnsi="Courier New" w:cs="Courier New"/>
    </w:rPr>
  </w:style>
  <w:style w:type="character" w:customStyle="1" w:styleId="149">
    <w:name w:val="标题 2 字符"/>
    <w:link w:val="5"/>
    <w:qFormat/>
    <w:uiPriority w:val="0"/>
    <w:rPr>
      <w:rFonts w:ascii="黑体" w:hAnsi="黑体" w:eastAsia="仿宋_GB2312" w:cs="Arial"/>
      <w:b/>
      <w:bCs/>
      <w:sz w:val="28"/>
      <w:lang w:val="en-US" w:eastAsia="zh-CN" w:bidi="ar-SA"/>
    </w:rPr>
  </w:style>
  <w:style w:type="character" w:customStyle="1" w:styleId="150">
    <w:name w:val="标题 3 字符"/>
    <w:link w:val="6"/>
    <w:qFormat/>
    <w:uiPriority w:val="0"/>
    <w:rPr>
      <w:rFonts w:ascii="Times New Roman" w:hAnsi="Times New Roman" w:eastAsia="仿宋_GB2312"/>
      <w:b/>
      <w:bCs/>
      <w:kern w:val="2"/>
      <w:sz w:val="24"/>
      <w:szCs w:val="28"/>
      <w:lang w:val="en-US" w:eastAsia="zh-CN" w:bidi="ar-SA"/>
    </w:rPr>
  </w:style>
  <w:style w:type="paragraph" w:customStyle="1" w:styleId="151">
    <w:name w:val="正文格式"/>
    <w:basedOn w:val="1"/>
    <w:qFormat/>
    <w:locked/>
    <w:uiPriority w:val="0"/>
    <w:pPr>
      <w:adjustRightInd/>
      <w:spacing w:line="360" w:lineRule="auto"/>
      <w:ind w:firstLine="482"/>
      <w:jc w:val="both"/>
      <w:textAlignment w:val="auto"/>
    </w:pPr>
    <w:rPr>
      <w:rFonts w:ascii="Times New Roman" w:hAnsi="Times New Roman"/>
      <w:kern w:val="2"/>
      <w:sz w:val="24"/>
    </w:rPr>
  </w:style>
  <w:style w:type="paragraph" w:customStyle="1" w:styleId="15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53">
    <w:name w:val="样式 正文11 + 首行缩进:  2 字符"/>
    <w:basedOn w:val="1"/>
    <w:qFormat/>
    <w:uiPriority w:val="0"/>
    <w:pPr>
      <w:spacing w:line="500" w:lineRule="exact"/>
      <w:ind w:firstLine="560"/>
    </w:pPr>
    <w:rPr>
      <w:rFonts w:ascii="宋体" w:hAnsi="宋体" w:cs="宋体"/>
      <w:b/>
      <w:color w:val="FF0000"/>
    </w:rPr>
  </w:style>
  <w:style w:type="character" w:customStyle="1" w:styleId="154">
    <w:name w:val="标题 1 字符"/>
    <w:link w:val="4"/>
    <w:qFormat/>
    <w:uiPriority w:val="0"/>
    <w:rPr>
      <w:rFonts w:ascii="Times New Roman" w:hAnsi="Times New Roman" w:eastAsia="仿宋_GB2312"/>
      <w:b/>
      <w:bCs/>
      <w:kern w:val="44"/>
      <w:sz w:val="30"/>
      <w:szCs w:val="32"/>
      <w:lang w:val="en-US" w:eastAsia="zh-CN" w:bidi="ar-SA"/>
    </w:rPr>
  </w:style>
  <w:style w:type="character" w:customStyle="1" w:styleId="155">
    <w:name w:val="正文缩进 字符"/>
    <w:link w:val="7"/>
    <w:qFormat/>
    <w:uiPriority w:val="0"/>
    <w:rPr>
      <w:rFonts w:eastAsia="宋体"/>
      <w:kern w:val="2"/>
      <w:sz w:val="21"/>
      <w:szCs w:val="24"/>
      <w:lang w:val="en-US" w:eastAsia="zh-CN" w:bidi="ar-SA"/>
    </w:rPr>
  </w:style>
  <w:style w:type="character" w:customStyle="1" w:styleId="156">
    <w:name w:val="标题 4 字符"/>
    <w:link w:val="8"/>
    <w:qFormat/>
    <w:uiPriority w:val="0"/>
    <w:rPr>
      <w:rFonts w:ascii="Arial" w:hAnsi="Arial"/>
      <w:snapToGrid/>
      <w:sz w:val="26"/>
    </w:rPr>
  </w:style>
  <w:style w:type="character" w:customStyle="1" w:styleId="157">
    <w:name w:val="批注文字 字符"/>
    <w:link w:val="29"/>
    <w:qFormat/>
    <w:uiPriority w:val="0"/>
    <w:rPr>
      <w:rFonts w:eastAsia="宋体"/>
      <w:kern w:val="2"/>
      <w:sz w:val="28"/>
      <w:szCs w:val="24"/>
      <w:lang w:val="en-US" w:eastAsia="zh-CN" w:bidi="ar-SA"/>
    </w:rPr>
  </w:style>
  <w:style w:type="character" w:customStyle="1" w:styleId="158">
    <w:name w:val="正文文本 字符"/>
    <w:link w:val="35"/>
    <w:qFormat/>
    <w:uiPriority w:val="0"/>
    <w:rPr>
      <w:rFonts w:eastAsia="宋体"/>
      <w:kern w:val="2"/>
      <w:sz w:val="24"/>
      <w:lang w:val="en-US" w:eastAsia="zh-CN" w:bidi="ar-SA"/>
    </w:rPr>
  </w:style>
  <w:style w:type="character" w:customStyle="1" w:styleId="159">
    <w:name w:val="纯文本 字符"/>
    <w:link w:val="47"/>
    <w:qFormat/>
    <w:uiPriority w:val="0"/>
    <w:rPr>
      <w:rFonts w:ascii="宋体" w:hAnsi="Courier New" w:eastAsia="宋体" w:cs="Courier New"/>
      <w:kern w:val="2"/>
      <w:sz w:val="21"/>
      <w:szCs w:val="21"/>
      <w:lang w:val="en-US" w:eastAsia="zh-CN" w:bidi="ar-SA"/>
    </w:rPr>
  </w:style>
  <w:style w:type="character" w:customStyle="1" w:styleId="160">
    <w:name w:val="页脚 字符"/>
    <w:link w:val="57"/>
    <w:qFormat/>
    <w:uiPriority w:val="99"/>
    <w:rPr>
      <w:kern w:val="2"/>
      <w:sz w:val="18"/>
      <w:szCs w:val="18"/>
    </w:rPr>
  </w:style>
  <w:style w:type="character" w:customStyle="1" w:styleId="161">
    <w:name w:val="标题 字符"/>
    <w:link w:val="84"/>
    <w:qFormat/>
    <w:uiPriority w:val="0"/>
    <w:rPr>
      <w:rFonts w:ascii="Cambria" w:hAnsi="Cambria" w:cs="Times New Roman"/>
      <w:b/>
      <w:bCs/>
      <w:kern w:val="2"/>
      <w:sz w:val="32"/>
      <w:szCs w:val="32"/>
    </w:rPr>
  </w:style>
  <w:style w:type="character" w:customStyle="1" w:styleId="162">
    <w:name w:val="正文小标题 Char"/>
    <w:link w:val="163"/>
    <w:qFormat/>
    <w:uiPriority w:val="0"/>
    <w:rPr>
      <w:rFonts w:ascii="宋体" w:hAnsi="宋体" w:eastAsia="宋体" w:cs="宋体"/>
      <w:kern w:val="2"/>
      <w:sz w:val="28"/>
      <w:lang w:val="en-US" w:eastAsia="zh-CN" w:bidi="ar-SA"/>
    </w:rPr>
  </w:style>
  <w:style w:type="paragraph" w:customStyle="1" w:styleId="163">
    <w:name w:val="正文小标题"/>
    <w:basedOn w:val="164"/>
    <w:link w:val="162"/>
    <w:semiHidden/>
    <w:qFormat/>
    <w:uiPriority w:val="0"/>
    <w:pPr>
      <w:spacing w:line="480" w:lineRule="auto"/>
      <w:ind w:firstLine="0" w:firstLineChars="0"/>
    </w:pPr>
    <w:rPr>
      <w:rFonts w:cs="宋体"/>
    </w:rPr>
  </w:style>
  <w:style w:type="paragraph" w:customStyle="1" w:styleId="164">
    <w:name w:val="样式 正文段落宋体"/>
    <w:basedOn w:val="1"/>
    <w:link w:val="165"/>
    <w:qFormat/>
    <w:uiPriority w:val="0"/>
    <w:pPr>
      <w:ind w:firstLine="560" w:firstLineChars="200"/>
    </w:pPr>
    <w:rPr>
      <w:rFonts w:ascii="宋体" w:hAnsi="宋体"/>
      <w:sz w:val="28"/>
      <w:szCs w:val="20"/>
    </w:rPr>
  </w:style>
  <w:style w:type="character" w:customStyle="1" w:styleId="165">
    <w:name w:val="样式 正文段落宋体 Char"/>
    <w:link w:val="164"/>
    <w:qFormat/>
    <w:uiPriority w:val="0"/>
    <w:rPr>
      <w:rFonts w:ascii="宋体" w:hAnsi="宋体" w:eastAsia="宋体"/>
      <w:kern w:val="2"/>
      <w:sz w:val="28"/>
      <w:lang w:val="en-US" w:eastAsia="zh-CN" w:bidi="ar-SA"/>
    </w:rPr>
  </w:style>
  <w:style w:type="character" w:customStyle="1" w:styleId="166">
    <w:name w:val="27-四级 Char"/>
    <w:link w:val="167"/>
    <w:qFormat/>
    <w:uiPriority w:val="0"/>
    <w:rPr>
      <w:rFonts w:eastAsia="宋体"/>
      <w:kern w:val="2"/>
      <w:sz w:val="28"/>
      <w:szCs w:val="28"/>
      <w:lang w:val="en-US" w:eastAsia="zh-CN" w:bidi="ar-SA"/>
    </w:rPr>
  </w:style>
  <w:style w:type="paragraph" w:customStyle="1" w:styleId="167">
    <w:name w:val="27-四级"/>
    <w:basedOn w:val="1"/>
    <w:link w:val="166"/>
    <w:qFormat/>
    <w:uiPriority w:val="0"/>
    <w:pPr>
      <w:spacing w:line="540" w:lineRule="exact"/>
      <w:outlineLvl w:val="3"/>
    </w:pPr>
    <w:rPr>
      <w:sz w:val="28"/>
      <w:szCs w:val="28"/>
    </w:rPr>
  </w:style>
  <w:style w:type="character" w:customStyle="1" w:styleId="168">
    <w:name w:val="表格字体 Char"/>
    <w:link w:val="169"/>
    <w:qFormat/>
    <w:uiPriority w:val="0"/>
    <w:rPr>
      <w:rFonts w:ascii="Arial" w:hAnsi="Arial"/>
      <w:kern w:val="2"/>
      <w:sz w:val="21"/>
      <w:szCs w:val="21"/>
      <w:lang w:val="en-US" w:eastAsia="zh-CN" w:bidi="ar-SA"/>
    </w:rPr>
  </w:style>
  <w:style w:type="paragraph" w:customStyle="1" w:styleId="169">
    <w:name w:val="表格字体"/>
    <w:next w:val="1"/>
    <w:link w:val="168"/>
    <w:qFormat/>
    <w:uiPriority w:val="0"/>
    <w:pPr>
      <w:jc w:val="center"/>
    </w:pPr>
    <w:rPr>
      <w:rFonts w:ascii="Arial" w:hAnsi="Arial" w:eastAsia="宋体" w:cs="Times New Roman"/>
      <w:kern w:val="2"/>
      <w:sz w:val="21"/>
      <w:szCs w:val="21"/>
      <w:lang w:val="en-US" w:eastAsia="zh-CN" w:bidi="ar-SA"/>
    </w:rPr>
  </w:style>
  <w:style w:type="character" w:customStyle="1" w:styleId="170">
    <w:name w:val="文中文本 Char"/>
    <w:link w:val="171"/>
    <w:qFormat/>
    <w:uiPriority w:val="0"/>
    <w:rPr>
      <w:sz w:val="28"/>
      <w:szCs w:val="24"/>
    </w:rPr>
  </w:style>
  <w:style w:type="paragraph" w:customStyle="1" w:styleId="171">
    <w:name w:val="文中文本"/>
    <w:basedOn w:val="1"/>
    <w:link w:val="170"/>
    <w:qFormat/>
    <w:uiPriority w:val="0"/>
    <w:pPr>
      <w:spacing w:line="360" w:lineRule="auto"/>
      <w:ind w:firstLine="200" w:firstLineChars="200"/>
    </w:pPr>
    <w:rPr>
      <w:kern w:val="0"/>
      <w:sz w:val="28"/>
    </w:rPr>
  </w:style>
  <w:style w:type="character" w:customStyle="1" w:styleId="172">
    <w:name w:val="样式标题 3 Char"/>
    <w:link w:val="173"/>
    <w:qFormat/>
    <w:uiPriority w:val="0"/>
    <w:rPr>
      <w:rFonts w:ascii="宋体" w:hAnsi="宋体" w:eastAsia="宋体"/>
      <w:bCs/>
      <w:kern w:val="2"/>
      <w:sz w:val="28"/>
      <w:szCs w:val="28"/>
      <w:lang w:bidi="ar-SA"/>
    </w:rPr>
  </w:style>
  <w:style w:type="paragraph" w:customStyle="1" w:styleId="173">
    <w:name w:val="样式标题 3"/>
    <w:basedOn w:val="6"/>
    <w:next w:val="1"/>
    <w:link w:val="172"/>
    <w:qFormat/>
    <w:uiPriority w:val="0"/>
    <w:rPr>
      <w:rFonts w:ascii="宋体" w:hAnsi="宋体"/>
      <w:b w:val="0"/>
    </w:rPr>
  </w:style>
  <w:style w:type="character" w:customStyle="1" w:styleId="174">
    <w:name w:val="27-正文 Char Char"/>
    <w:qFormat/>
    <w:uiPriority w:val="0"/>
    <w:rPr>
      <w:rFonts w:eastAsia="宋体"/>
      <w:kern w:val="2"/>
      <w:sz w:val="28"/>
      <w:szCs w:val="28"/>
      <w:lang w:bidi="ar-SA"/>
    </w:rPr>
  </w:style>
  <w:style w:type="character" w:customStyle="1" w:styleId="175">
    <w:name w:val="1-正文 Char"/>
    <w:link w:val="176"/>
    <w:qFormat/>
    <w:uiPriority w:val="0"/>
    <w:rPr>
      <w:rFonts w:eastAsia="宋体"/>
      <w:kern w:val="2"/>
      <w:sz w:val="28"/>
      <w:szCs w:val="28"/>
      <w:lang w:bidi="ar-SA"/>
    </w:rPr>
  </w:style>
  <w:style w:type="paragraph" w:customStyle="1" w:styleId="176">
    <w:name w:val="1-正文"/>
    <w:basedOn w:val="1"/>
    <w:link w:val="175"/>
    <w:qFormat/>
    <w:uiPriority w:val="0"/>
    <w:pPr>
      <w:spacing w:line="360" w:lineRule="auto"/>
      <w:ind w:firstLine="560" w:firstLineChars="200"/>
    </w:pPr>
    <w:rPr>
      <w:sz w:val="28"/>
      <w:szCs w:val="28"/>
    </w:rPr>
  </w:style>
  <w:style w:type="character" w:customStyle="1" w:styleId="177">
    <w:name w:val="fontstyle31"/>
    <w:qFormat/>
    <w:uiPriority w:val="0"/>
    <w:rPr>
      <w:rFonts w:hint="default" w:ascii="TimesNewRomanPSMT" w:hAnsi="TimesNewRomanPSMT"/>
      <w:color w:val="000000"/>
      <w:sz w:val="28"/>
      <w:szCs w:val="28"/>
    </w:rPr>
  </w:style>
  <w:style w:type="character" w:customStyle="1" w:styleId="178">
    <w:name w:val="首行缩进:  2 字符 Char"/>
    <w:link w:val="179"/>
    <w:qFormat/>
    <w:uiPriority w:val="0"/>
    <w:rPr>
      <w:rFonts w:ascii="Calibri" w:hAnsi="Calibri" w:eastAsia="宋体"/>
      <w:sz w:val="28"/>
      <w:lang w:bidi="ar-SA"/>
    </w:rPr>
  </w:style>
  <w:style w:type="paragraph" w:customStyle="1" w:styleId="179">
    <w:name w:val="首行缩进:  2 字符"/>
    <w:basedOn w:val="1"/>
    <w:link w:val="178"/>
    <w:qFormat/>
    <w:uiPriority w:val="0"/>
    <w:pPr>
      <w:adjustRightInd w:val="0"/>
      <w:snapToGrid w:val="0"/>
      <w:spacing w:line="498" w:lineRule="exact"/>
      <w:ind w:firstLine="560" w:firstLineChars="200"/>
      <w:jc w:val="left"/>
    </w:pPr>
    <w:rPr>
      <w:rFonts w:ascii="Calibri" w:hAnsi="Calibri"/>
      <w:kern w:val="0"/>
      <w:sz w:val="28"/>
      <w:szCs w:val="20"/>
    </w:rPr>
  </w:style>
  <w:style w:type="character" w:customStyle="1" w:styleId="180">
    <w:name w:val="正文1 Char Char"/>
    <w:link w:val="181"/>
    <w:qFormat/>
    <w:uiPriority w:val="0"/>
    <w:rPr>
      <w:color w:val="FF0000"/>
      <w:sz w:val="28"/>
      <w:szCs w:val="28"/>
      <w:lang w:val="en-US" w:eastAsia="zh-CN" w:bidi="ar-SA"/>
    </w:rPr>
  </w:style>
  <w:style w:type="paragraph" w:customStyle="1" w:styleId="181">
    <w:name w:val="正文1"/>
    <w:link w:val="180"/>
    <w:qFormat/>
    <w:uiPriority w:val="0"/>
    <w:pPr>
      <w:widowControl w:val="0"/>
      <w:spacing w:line="480" w:lineRule="exact"/>
      <w:ind w:firstLine="560" w:firstLineChars="200"/>
      <w:jc w:val="both"/>
    </w:pPr>
    <w:rPr>
      <w:rFonts w:ascii="Times New Roman" w:hAnsi="Times New Roman" w:eastAsia="宋体" w:cs="Times New Roman"/>
      <w:color w:val="FF0000"/>
      <w:sz w:val="28"/>
      <w:szCs w:val="28"/>
      <w:lang w:val="en-US" w:eastAsia="zh-CN" w:bidi="ar-SA"/>
    </w:rPr>
  </w:style>
  <w:style w:type="character" w:customStyle="1" w:styleId="182">
    <w:name w:val="27-三级 Char"/>
    <w:link w:val="183"/>
    <w:qFormat/>
    <w:uiPriority w:val="0"/>
    <w:rPr>
      <w:rFonts w:eastAsia="宋体"/>
      <w:bCs/>
      <w:kern w:val="2"/>
      <w:sz w:val="28"/>
      <w:szCs w:val="28"/>
      <w:lang w:val="en-US" w:eastAsia="zh-CN" w:bidi="ar-SA"/>
    </w:rPr>
  </w:style>
  <w:style w:type="paragraph" w:customStyle="1" w:styleId="183">
    <w:name w:val="27-三级"/>
    <w:basedOn w:val="1"/>
    <w:link w:val="182"/>
    <w:qFormat/>
    <w:uiPriority w:val="0"/>
    <w:pPr>
      <w:keepNext/>
      <w:keepLines/>
      <w:spacing w:line="520" w:lineRule="exact"/>
      <w:outlineLvl w:val="2"/>
    </w:pPr>
    <w:rPr>
      <w:bCs/>
      <w:sz w:val="28"/>
      <w:szCs w:val="28"/>
    </w:rPr>
  </w:style>
  <w:style w:type="character" w:customStyle="1" w:styleId="184">
    <w:name w:val="报告正文 Char"/>
    <w:link w:val="185"/>
    <w:qFormat/>
    <w:locked/>
    <w:uiPriority w:val="99"/>
    <w:rPr>
      <w:rFonts w:eastAsia="仿宋_GB2312"/>
      <w:sz w:val="24"/>
    </w:rPr>
  </w:style>
  <w:style w:type="paragraph" w:customStyle="1" w:styleId="185">
    <w:name w:val="报告正文"/>
    <w:basedOn w:val="1"/>
    <w:next w:val="1"/>
    <w:link w:val="184"/>
    <w:qFormat/>
    <w:uiPriority w:val="99"/>
    <w:pPr>
      <w:adjustRightInd w:val="0"/>
      <w:spacing w:line="360" w:lineRule="auto"/>
      <w:ind w:firstLine="200" w:firstLineChars="200"/>
      <w:jc w:val="left"/>
      <w:textAlignment w:val="baseline"/>
    </w:pPr>
    <w:rPr>
      <w:rFonts w:eastAsia="仿宋_GB2312"/>
      <w:kern w:val="0"/>
      <w:sz w:val="24"/>
      <w:szCs w:val="20"/>
    </w:rPr>
  </w:style>
  <w:style w:type="character" w:customStyle="1" w:styleId="186">
    <w:name w:val="title_span1"/>
    <w:qFormat/>
    <w:uiPriority w:val="0"/>
    <w:rPr>
      <w:rFonts w:hint="default"/>
      <w:b/>
      <w:bCs/>
      <w:sz w:val="32"/>
      <w:szCs w:val="32"/>
    </w:rPr>
  </w:style>
  <w:style w:type="character" w:customStyle="1" w:styleId="187">
    <w:name w:val="样式 样式 小四 段前: 7.8 磅 段后: 7.8 磅 行距: 1.5 倍行距 + 首行缩进:  2 字符 Char"/>
    <w:link w:val="188"/>
    <w:qFormat/>
    <w:uiPriority w:val="0"/>
    <w:rPr>
      <w:rFonts w:eastAsia="宋体"/>
      <w:kern w:val="2"/>
      <w:sz w:val="28"/>
      <w:szCs w:val="28"/>
      <w:lang w:val="en-US" w:eastAsia="zh-CN" w:bidi="ar-SA"/>
    </w:rPr>
  </w:style>
  <w:style w:type="paragraph" w:customStyle="1" w:styleId="188">
    <w:name w:val="样式 样式 小四 段前: 7.8 磅 段后: 7.8 磅 行距: 1.5 倍行距 + 首行缩进:  2 字符"/>
    <w:basedOn w:val="1"/>
    <w:link w:val="187"/>
    <w:qFormat/>
    <w:uiPriority w:val="0"/>
    <w:pPr>
      <w:spacing w:line="360" w:lineRule="auto"/>
      <w:ind w:firstLine="560" w:firstLineChars="200"/>
    </w:pPr>
    <w:rPr>
      <w:sz w:val="28"/>
      <w:szCs w:val="28"/>
    </w:rPr>
  </w:style>
  <w:style w:type="character" w:customStyle="1" w:styleId="189">
    <w:name w:val="bold size20 gray1 fontsans"/>
    <w:qFormat/>
    <w:uiPriority w:val="0"/>
  </w:style>
  <w:style w:type="character" w:customStyle="1" w:styleId="190">
    <w:name w:val="fontstyle11"/>
    <w:qFormat/>
    <w:uiPriority w:val="0"/>
    <w:rPr>
      <w:rFonts w:hint="default" w:ascii="TimesNewRomanPSMT" w:hAnsi="TimesNewRomanPSMT"/>
      <w:color w:val="000000"/>
      <w:sz w:val="28"/>
      <w:szCs w:val="28"/>
    </w:rPr>
  </w:style>
  <w:style w:type="character" w:customStyle="1" w:styleId="191">
    <w:name w:val="样式3 Char"/>
    <w:link w:val="192"/>
    <w:qFormat/>
    <w:uiPriority w:val="0"/>
    <w:rPr>
      <w:rFonts w:ascii="Arial" w:hAnsi="Arial" w:eastAsia="宋体" w:cs="Arial"/>
      <w:b/>
      <w:bCs/>
      <w:kern w:val="2"/>
      <w:sz w:val="26"/>
      <w:szCs w:val="32"/>
      <w:lang w:val="en-US" w:eastAsia="zh-CN" w:bidi="ar-SA"/>
    </w:rPr>
  </w:style>
  <w:style w:type="paragraph" w:customStyle="1" w:styleId="192">
    <w:name w:val="样式3"/>
    <w:basedOn w:val="1"/>
    <w:link w:val="191"/>
    <w:qFormat/>
    <w:uiPriority w:val="0"/>
    <w:pPr>
      <w:keepNext/>
      <w:keepLines/>
      <w:spacing w:line="500" w:lineRule="exact"/>
      <w:outlineLvl w:val="2"/>
    </w:pPr>
    <w:rPr>
      <w:rFonts w:ascii="Arial" w:hAnsi="Arial" w:cs="Arial"/>
      <w:b/>
      <w:bCs/>
      <w:sz w:val="26"/>
      <w:szCs w:val="32"/>
    </w:rPr>
  </w:style>
  <w:style w:type="character" w:customStyle="1" w:styleId="193">
    <w:name w:val="正文000 Char"/>
    <w:link w:val="194"/>
    <w:qFormat/>
    <w:uiPriority w:val="0"/>
    <w:rPr>
      <w:rFonts w:eastAsia="宋体"/>
      <w:kern w:val="2"/>
      <w:sz w:val="24"/>
      <w:szCs w:val="22"/>
      <w:lang w:val="en-US" w:eastAsia="zh-CN" w:bidi="ar-SA"/>
    </w:rPr>
  </w:style>
  <w:style w:type="paragraph" w:customStyle="1" w:styleId="194">
    <w:name w:val="正文000"/>
    <w:basedOn w:val="1"/>
    <w:link w:val="193"/>
    <w:qFormat/>
    <w:uiPriority w:val="0"/>
    <w:pPr>
      <w:widowControl/>
      <w:spacing w:line="360" w:lineRule="auto"/>
      <w:ind w:firstLine="200" w:firstLineChars="200"/>
    </w:pPr>
    <w:rPr>
      <w:sz w:val="24"/>
      <w:szCs w:val="22"/>
    </w:rPr>
  </w:style>
  <w:style w:type="character" w:customStyle="1" w:styleId="195">
    <w:name w:val="样式 正文段落宋体 Char Char"/>
    <w:qFormat/>
    <w:uiPriority w:val="0"/>
    <w:rPr>
      <w:rFonts w:ascii="宋体" w:hAnsi="宋体" w:eastAsia="宋体"/>
      <w:kern w:val="2"/>
      <w:sz w:val="28"/>
      <w:lang w:val="en-US" w:eastAsia="zh-CN" w:bidi="ar-SA"/>
    </w:rPr>
  </w:style>
  <w:style w:type="character" w:customStyle="1" w:styleId="196">
    <w:name w:val="样式 仿宋_GB2312 四号 Char Char"/>
    <w:link w:val="197"/>
    <w:qFormat/>
    <w:uiPriority w:val="0"/>
    <w:rPr>
      <w:rFonts w:ascii="仿宋_GB2312" w:hAnsi="宋体" w:eastAsia="仿宋_GB2312" w:cs="宋体"/>
      <w:kern w:val="2"/>
      <w:sz w:val="28"/>
      <w:lang w:val="en-US" w:eastAsia="zh-CN" w:bidi="ar-SA"/>
    </w:rPr>
  </w:style>
  <w:style w:type="paragraph" w:customStyle="1" w:styleId="197">
    <w:name w:val="样式 仿宋_GB2312 四号"/>
    <w:basedOn w:val="1"/>
    <w:link w:val="196"/>
    <w:qFormat/>
    <w:uiPriority w:val="0"/>
    <w:pPr>
      <w:ind w:left="210" w:right="210" w:firstLine="560" w:firstLineChars="200"/>
    </w:pPr>
    <w:rPr>
      <w:rFonts w:ascii="仿宋_GB2312" w:hAnsi="宋体" w:eastAsia="仿宋_GB2312" w:cs="宋体"/>
      <w:sz w:val="28"/>
      <w:szCs w:val="20"/>
    </w:rPr>
  </w:style>
  <w:style w:type="character" w:customStyle="1" w:styleId="198">
    <w:name w:val="+正文 Char"/>
    <w:link w:val="199"/>
    <w:qFormat/>
    <w:uiPriority w:val="0"/>
    <w:rPr>
      <w:sz w:val="28"/>
      <w:szCs w:val="28"/>
    </w:rPr>
  </w:style>
  <w:style w:type="paragraph" w:customStyle="1" w:styleId="199">
    <w:name w:val="+正文"/>
    <w:basedOn w:val="1"/>
    <w:link w:val="198"/>
    <w:qFormat/>
    <w:uiPriority w:val="0"/>
    <w:pPr>
      <w:spacing w:line="360" w:lineRule="auto"/>
      <w:ind w:firstLine="200" w:firstLineChars="200"/>
    </w:pPr>
    <w:rPr>
      <w:kern w:val="0"/>
      <w:sz w:val="28"/>
      <w:szCs w:val="28"/>
    </w:rPr>
  </w:style>
  <w:style w:type="character" w:customStyle="1" w:styleId="200">
    <w:name w:val="abstract_item-style-span"/>
    <w:qFormat/>
    <w:uiPriority w:val="0"/>
  </w:style>
  <w:style w:type="character" w:customStyle="1" w:styleId="201">
    <w:name w:val="普通文字 Char Char Char Char Char"/>
    <w:qFormat/>
    <w:uiPriority w:val="0"/>
    <w:rPr>
      <w:rFonts w:ascii="宋体" w:hAnsi="ISOCT" w:eastAsia="宋体"/>
      <w:kern w:val="2"/>
      <w:sz w:val="21"/>
      <w:szCs w:val="21"/>
      <w:lang w:val="en-US" w:eastAsia="zh-CN" w:bidi="ar-SA"/>
    </w:rPr>
  </w:style>
  <w:style w:type="character" w:customStyle="1" w:styleId="202">
    <w:name w:val="表格 宋体 五号 Char"/>
    <w:link w:val="203"/>
    <w:qFormat/>
    <w:uiPriority w:val="0"/>
    <w:rPr>
      <w:rFonts w:ascii="宋体" w:hAnsi="宋体" w:cs="宋体"/>
      <w:sz w:val="21"/>
      <w:szCs w:val="21"/>
    </w:rPr>
  </w:style>
  <w:style w:type="paragraph" w:customStyle="1" w:styleId="203">
    <w:name w:val="表格 宋体 五号"/>
    <w:basedOn w:val="1"/>
    <w:link w:val="202"/>
    <w:qFormat/>
    <w:uiPriority w:val="0"/>
    <w:pPr>
      <w:jc w:val="center"/>
    </w:pPr>
    <w:rPr>
      <w:rFonts w:ascii="宋体" w:hAnsi="宋体"/>
      <w:kern w:val="0"/>
      <w:szCs w:val="21"/>
    </w:rPr>
  </w:style>
  <w:style w:type="character" w:customStyle="1" w:styleId="204">
    <w:name w:val="正文（首行缩进两字） Char2"/>
    <w:qFormat/>
    <w:uiPriority w:val="0"/>
    <w:rPr>
      <w:rFonts w:eastAsia="宋体"/>
      <w:kern w:val="2"/>
      <w:sz w:val="28"/>
      <w:szCs w:val="21"/>
      <w:lang w:val="en-US" w:eastAsia="zh-CN" w:bidi="ar-SA"/>
    </w:rPr>
  </w:style>
  <w:style w:type="character" w:customStyle="1" w:styleId="205">
    <w:name w:val=" Char Char1"/>
    <w:qFormat/>
    <w:uiPriority w:val="0"/>
    <w:rPr>
      <w:rFonts w:hAnsi="Courier New" w:eastAsia="宋体" w:cs="Courier New"/>
      <w:sz w:val="21"/>
      <w:szCs w:val="21"/>
      <w:lang w:val="en-US" w:eastAsia="zh-CN" w:bidi="ar-SA"/>
    </w:rPr>
  </w:style>
  <w:style w:type="character" w:customStyle="1" w:styleId="206">
    <w:name w:val="正文 + 宋体 Char1"/>
    <w:link w:val="207"/>
    <w:qFormat/>
    <w:uiPriority w:val="0"/>
    <w:rPr>
      <w:rFonts w:eastAsia="宋体"/>
      <w:spacing w:val="20"/>
      <w:kern w:val="2"/>
      <w:sz w:val="28"/>
      <w:szCs w:val="24"/>
      <w:lang w:val="en-US" w:eastAsia="zh-CN" w:bidi="ar-SA"/>
    </w:rPr>
  </w:style>
  <w:style w:type="paragraph" w:customStyle="1" w:styleId="207">
    <w:name w:val="正文 + 宋体"/>
    <w:basedOn w:val="1"/>
    <w:link w:val="206"/>
    <w:qFormat/>
    <w:uiPriority w:val="0"/>
    <w:pPr>
      <w:spacing w:line="480" w:lineRule="exact"/>
      <w:ind w:firstLine="640" w:firstLineChars="200"/>
    </w:pPr>
    <w:rPr>
      <w:spacing w:val="20"/>
      <w:sz w:val="28"/>
    </w:rPr>
  </w:style>
  <w:style w:type="character" w:customStyle="1" w:styleId="208">
    <w:name w:val="方案正文 Char"/>
    <w:link w:val="209"/>
    <w:qFormat/>
    <w:uiPriority w:val="0"/>
    <w:rPr>
      <w:rFonts w:eastAsia="宋体"/>
      <w:spacing w:val="14"/>
      <w:kern w:val="2"/>
      <w:sz w:val="24"/>
      <w:szCs w:val="24"/>
      <w:lang w:val="en-US" w:eastAsia="zh-CN" w:bidi="ar-SA"/>
    </w:rPr>
  </w:style>
  <w:style w:type="paragraph" w:customStyle="1" w:styleId="209">
    <w:name w:val="方案正文"/>
    <w:basedOn w:val="1"/>
    <w:link w:val="208"/>
    <w:qFormat/>
    <w:uiPriority w:val="0"/>
    <w:pPr>
      <w:spacing w:before="50" w:beforeLines="50" w:after="50" w:afterLines="50" w:line="360" w:lineRule="auto"/>
      <w:ind w:firstLine="200" w:firstLineChars="200"/>
    </w:pPr>
    <w:rPr>
      <w:spacing w:val="14"/>
      <w:sz w:val="24"/>
    </w:rPr>
  </w:style>
  <w:style w:type="character" w:customStyle="1" w:styleId="210">
    <w:name w:val="font01"/>
    <w:basedOn w:val="133"/>
    <w:qFormat/>
    <w:uiPriority w:val="0"/>
    <w:rPr>
      <w:rFonts w:hint="default" w:ascii="Times New Roman" w:hAnsi="Times New Roman" w:cs="Times New Roman"/>
      <w:color w:val="000000"/>
      <w:sz w:val="21"/>
      <w:szCs w:val="21"/>
      <w:u w:val="none"/>
    </w:rPr>
  </w:style>
  <w:style w:type="character" w:customStyle="1" w:styleId="211">
    <w:name w:val="无间隔 字符"/>
    <w:link w:val="212"/>
    <w:qFormat/>
    <w:uiPriority w:val="0"/>
    <w:rPr>
      <w:rFonts w:ascii="宋体" w:hAnsi="宋体"/>
      <w:kern w:val="2"/>
      <w:sz w:val="24"/>
      <w:szCs w:val="24"/>
      <w:lang w:val="en-US" w:eastAsia="zh-CN" w:bidi="ar-SA"/>
    </w:rPr>
  </w:style>
  <w:style w:type="paragraph" w:styleId="212">
    <w:name w:val="No Spacing"/>
    <w:link w:val="211"/>
    <w:qFormat/>
    <w:uiPriority w:val="0"/>
    <w:pPr>
      <w:widowControl w:val="0"/>
      <w:jc w:val="both"/>
    </w:pPr>
    <w:rPr>
      <w:rFonts w:ascii="宋体" w:hAnsi="宋体" w:eastAsia="宋体" w:cs="Times New Roman"/>
      <w:kern w:val="2"/>
      <w:sz w:val="24"/>
      <w:szCs w:val="24"/>
      <w:lang w:val="en-US" w:eastAsia="zh-CN" w:bidi="ar-SA"/>
    </w:rPr>
  </w:style>
  <w:style w:type="character" w:customStyle="1" w:styleId="213">
    <w:name w:val="Char Char2"/>
    <w:qFormat/>
    <w:uiPriority w:val="0"/>
    <w:rPr>
      <w:rFonts w:eastAsia="宋体"/>
      <w:b/>
      <w:bCs/>
      <w:kern w:val="44"/>
      <w:sz w:val="44"/>
      <w:szCs w:val="44"/>
      <w:lang w:val="en-US" w:eastAsia="zh-CN" w:bidi="ar-SA"/>
    </w:rPr>
  </w:style>
  <w:style w:type="character" w:customStyle="1" w:styleId="214">
    <w:name w:val="DTX-BG Char Char"/>
    <w:link w:val="215"/>
    <w:qFormat/>
    <w:uiPriority w:val="0"/>
    <w:rPr>
      <w:szCs w:val="30"/>
      <w:lang w:val="en-US" w:eastAsia="zh-CN" w:bidi="ar-SA"/>
    </w:rPr>
  </w:style>
  <w:style w:type="paragraph" w:customStyle="1" w:styleId="215">
    <w:name w:val="DTX-BG"/>
    <w:link w:val="214"/>
    <w:qFormat/>
    <w:uiPriority w:val="0"/>
    <w:pPr>
      <w:widowControl w:val="0"/>
      <w:adjustRightInd w:val="0"/>
      <w:snapToGrid w:val="0"/>
      <w:spacing w:line="400" w:lineRule="exact"/>
      <w:jc w:val="center"/>
    </w:pPr>
    <w:rPr>
      <w:rFonts w:ascii="Times New Roman" w:hAnsi="Times New Roman" w:eastAsia="宋体" w:cs="Times New Roman"/>
      <w:szCs w:val="30"/>
      <w:lang w:val="en-US" w:eastAsia="zh-CN" w:bidi="ar-SA"/>
    </w:rPr>
  </w:style>
  <w:style w:type="character" w:customStyle="1" w:styleId="216">
    <w:name w:val="样式 宋体 四号"/>
    <w:qFormat/>
    <w:uiPriority w:val="0"/>
    <w:rPr>
      <w:rFonts w:ascii="Times New Roman" w:hAnsi="Times New Roman"/>
      <w:sz w:val="28"/>
      <w:szCs w:val="28"/>
    </w:rPr>
  </w:style>
  <w:style w:type="character" w:customStyle="1" w:styleId="217">
    <w:name w:val="style91"/>
    <w:qFormat/>
    <w:uiPriority w:val="0"/>
    <w:rPr>
      <w:b/>
      <w:bCs/>
      <w:color w:val="187CC8"/>
    </w:rPr>
  </w:style>
  <w:style w:type="character" w:customStyle="1" w:styleId="218">
    <w:name w:val="p0 Char Char"/>
    <w:link w:val="219"/>
    <w:qFormat/>
    <w:locked/>
    <w:uiPriority w:val="0"/>
    <w:rPr>
      <w:rFonts w:eastAsia="宋体"/>
      <w:sz w:val="21"/>
      <w:szCs w:val="21"/>
      <w:lang w:val="en-US" w:eastAsia="zh-CN" w:bidi="ar-SA"/>
    </w:rPr>
  </w:style>
  <w:style w:type="paragraph" w:customStyle="1" w:styleId="219">
    <w:name w:val="p0"/>
    <w:basedOn w:val="1"/>
    <w:link w:val="218"/>
    <w:qFormat/>
    <w:uiPriority w:val="0"/>
    <w:pPr>
      <w:widowControl/>
    </w:pPr>
    <w:rPr>
      <w:kern w:val="0"/>
      <w:szCs w:val="21"/>
    </w:rPr>
  </w:style>
  <w:style w:type="character" w:customStyle="1" w:styleId="220">
    <w:name w:val="f13-1"/>
    <w:qFormat/>
    <w:uiPriority w:val="0"/>
  </w:style>
  <w:style w:type="character" w:customStyle="1" w:styleId="221">
    <w:name w:val="样式　标题 3　自动设置 Char"/>
    <w:qFormat/>
    <w:uiPriority w:val="0"/>
    <w:rPr>
      <w:rFonts w:eastAsia="宋体"/>
      <w:b/>
      <w:bCs/>
      <w:kern w:val="2"/>
      <w:sz w:val="28"/>
      <w:szCs w:val="28"/>
      <w:lang w:val="en-US" w:eastAsia="zh-CN" w:bidi="ar-SA"/>
    </w:rPr>
  </w:style>
  <w:style w:type="character" w:customStyle="1" w:styleId="222">
    <w:name w:val="样式1 Char"/>
    <w:link w:val="223"/>
    <w:qFormat/>
    <w:uiPriority w:val="0"/>
    <w:rPr>
      <w:rFonts w:eastAsia="宋体"/>
      <w:b/>
      <w:bCs/>
      <w:kern w:val="2"/>
      <w:sz w:val="32"/>
      <w:szCs w:val="28"/>
      <w:lang w:val="en-US" w:eastAsia="zh-CN" w:bidi="ar-SA"/>
    </w:rPr>
  </w:style>
  <w:style w:type="paragraph" w:customStyle="1" w:styleId="223">
    <w:name w:val="样式1"/>
    <w:basedOn w:val="6"/>
    <w:link w:val="222"/>
    <w:qFormat/>
    <w:uiPriority w:val="0"/>
    <w:pPr>
      <w:spacing w:after="120" w:line="500" w:lineRule="exact"/>
    </w:pPr>
    <w:rPr>
      <w:sz w:val="32"/>
    </w:rPr>
  </w:style>
  <w:style w:type="character" w:customStyle="1" w:styleId="224">
    <w:name w:val="title"/>
    <w:qFormat/>
    <w:uiPriority w:val="0"/>
  </w:style>
  <w:style w:type="character" w:customStyle="1" w:styleId="225">
    <w:name w:val="无间隔 Char Char"/>
    <w:qFormat/>
    <w:uiPriority w:val="0"/>
    <w:rPr>
      <w:rFonts w:ascii="Calibri" w:hAnsi="Calibri"/>
      <w:sz w:val="28"/>
      <w:szCs w:val="32"/>
      <w:lang w:eastAsia="en-US" w:bidi="en-US"/>
    </w:rPr>
  </w:style>
  <w:style w:type="character" w:customStyle="1" w:styleId="226">
    <w:name w:val="楷体样式 正文文本 Char"/>
    <w:link w:val="227"/>
    <w:qFormat/>
    <w:uiPriority w:val="0"/>
    <w:rPr>
      <w:rFonts w:eastAsia="楷体_GB2312"/>
      <w:kern w:val="2"/>
      <w:sz w:val="28"/>
    </w:rPr>
  </w:style>
  <w:style w:type="paragraph" w:customStyle="1" w:styleId="227">
    <w:name w:val="楷体样式 正文文本"/>
    <w:basedOn w:val="1"/>
    <w:link w:val="226"/>
    <w:qFormat/>
    <w:uiPriority w:val="0"/>
    <w:pPr>
      <w:snapToGrid w:val="0"/>
      <w:spacing w:line="360" w:lineRule="auto"/>
      <w:ind w:firstLine="560" w:firstLineChars="200"/>
    </w:pPr>
    <w:rPr>
      <w:rFonts w:eastAsia="楷体_GB2312"/>
      <w:sz w:val="28"/>
      <w:szCs w:val="20"/>
    </w:rPr>
  </w:style>
  <w:style w:type="character" w:customStyle="1" w:styleId="228">
    <w:name w:val="节标题 Char Char"/>
    <w:qFormat/>
    <w:uiPriority w:val="0"/>
    <w:rPr>
      <w:rFonts w:ascii="Arial" w:hAnsi="Arial" w:eastAsia="黑体"/>
      <w:bCs/>
      <w:kern w:val="2"/>
      <w:sz w:val="32"/>
      <w:szCs w:val="32"/>
      <w:lang w:val="en-US" w:eastAsia="zh-CN" w:bidi="ar-SA"/>
    </w:rPr>
  </w:style>
  <w:style w:type="character" w:customStyle="1" w:styleId="229">
    <w:name w:val="apple-converted-space"/>
    <w:qFormat/>
    <w:uiPriority w:val="0"/>
  </w:style>
  <w:style w:type="character" w:customStyle="1" w:styleId="230">
    <w:name w:val="正文部分 Char"/>
    <w:link w:val="231"/>
    <w:qFormat/>
    <w:uiPriority w:val="0"/>
    <w:rPr>
      <w:rFonts w:ascii="宋体" w:hAnsi="宋体" w:eastAsia="宋体" w:cs="宋体"/>
      <w:bCs/>
      <w:sz w:val="28"/>
      <w:szCs w:val="32"/>
      <w:lang w:val="en-US" w:eastAsia="zh-CN" w:bidi="ar-SA"/>
    </w:rPr>
  </w:style>
  <w:style w:type="paragraph" w:customStyle="1" w:styleId="231">
    <w:name w:val="正文部分"/>
    <w:basedOn w:val="1"/>
    <w:link w:val="230"/>
    <w:qFormat/>
    <w:uiPriority w:val="0"/>
    <w:pPr>
      <w:spacing w:line="500" w:lineRule="exact"/>
      <w:ind w:firstLine="200" w:firstLineChars="200"/>
      <w:jc w:val="left"/>
    </w:pPr>
    <w:rPr>
      <w:rFonts w:ascii="宋体" w:hAnsi="宋体" w:cs="宋体"/>
      <w:bCs/>
      <w:kern w:val="0"/>
      <w:sz w:val="28"/>
      <w:szCs w:val="32"/>
    </w:rPr>
  </w:style>
  <w:style w:type="character" w:customStyle="1" w:styleId="232">
    <w:name w:val="fontstyle01"/>
    <w:qFormat/>
    <w:uiPriority w:val="0"/>
    <w:rPr>
      <w:rFonts w:hint="default" w:ascii="TimesNewRomanPSMT" w:hAnsi="TimesNewRomanPSMT"/>
      <w:color w:val="000000"/>
      <w:sz w:val="28"/>
      <w:szCs w:val="28"/>
    </w:rPr>
  </w:style>
  <w:style w:type="character" w:customStyle="1" w:styleId="233">
    <w:name w:val="正文 Char"/>
    <w:qFormat/>
    <w:uiPriority w:val="0"/>
    <w:rPr>
      <w:kern w:val="2"/>
      <w:sz w:val="28"/>
      <w:szCs w:val="28"/>
    </w:rPr>
  </w:style>
  <w:style w:type="character" w:customStyle="1" w:styleId="234">
    <w:name w:val="style12"/>
    <w:qFormat/>
    <w:uiPriority w:val="0"/>
  </w:style>
  <w:style w:type="character" w:customStyle="1" w:styleId="235">
    <w:name w:val=" Char Char47"/>
    <w:qFormat/>
    <w:uiPriority w:val="0"/>
    <w:rPr>
      <w:kern w:val="2"/>
      <w:sz w:val="21"/>
      <w:szCs w:val="24"/>
    </w:rPr>
  </w:style>
  <w:style w:type="character" w:customStyle="1" w:styleId="236">
    <w:name w:val="纯文本 Char Char Char Char"/>
    <w:qFormat/>
    <w:uiPriority w:val="0"/>
    <w:rPr>
      <w:rFonts w:ascii="宋体" w:hAnsi="Courier New" w:eastAsia="宋体" w:cs="Courier New"/>
      <w:bCs/>
      <w:iCs/>
      <w:kern w:val="2"/>
      <w:sz w:val="21"/>
      <w:szCs w:val="21"/>
      <w:lang w:val="en-US" w:eastAsia="zh-CN" w:bidi="ar-SA"/>
    </w:rPr>
  </w:style>
  <w:style w:type="character" w:customStyle="1" w:styleId="237">
    <w:name w:val="表号 Char1"/>
    <w:link w:val="238"/>
    <w:qFormat/>
    <w:uiPriority w:val="0"/>
    <w:rPr>
      <w:rFonts w:eastAsia="宋体"/>
      <w:kern w:val="32"/>
      <w:sz w:val="24"/>
      <w:lang w:val="en-US" w:eastAsia="zh-CN" w:bidi="ar-SA"/>
    </w:rPr>
  </w:style>
  <w:style w:type="paragraph" w:customStyle="1" w:styleId="238">
    <w:name w:val="表号"/>
    <w:basedOn w:val="239"/>
    <w:link w:val="237"/>
    <w:qFormat/>
    <w:uiPriority w:val="0"/>
    <w:pPr>
      <w:widowControl w:val="0"/>
      <w:adjustRightInd/>
      <w:spacing w:line="240" w:lineRule="auto"/>
      <w:jc w:val="both"/>
    </w:pPr>
    <w:rPr>
      <w:rFonts w:ascii="Times New Roman" w:hAnsi="Times New Roman"/>
      <w:b w:val="0"/>
      <w:kern w:val="32"/>
    </w:rPr>
  </w:style>
  <w:style w:type="paragraph" w:customStyle="1" w:styleId="239">
    <w:name w:val="表头"/>
    <w:next w:val="1"/>
    <w:link w:val="240"/>
    <w:qFormat/>
    <w:uiPriority w:val="0"/>
    <w:pPr>
      <w:adjustRightInd w:val="0"/>
      <w:snapToGrid w:val="0"/>
      <w:spacing w:line="360" w:lineRule="auto"/>
      <w:jc w:val="center"/>
    </w:pPr>
    <w:rPr>
      <w:rFonts w:ascii="Arial" w:hAnsi="Arial" w:eastAsia="宋体" w:cs="Times New Roman"/>
      <w:b/>
      <w:sz w:val="24"/>
      <w:lang w:val="en-US" w:eastAsia="zh-CN" w:bidi="ar-SA"/>
    </w:rPr>
  </w:style>
  <w:style w:type="character" w:customStyle="1" w:styleId="240">
    <w:name w:val="表头 Char"/>
    <w:link w:val="239"/>
    <w:qFormat/>
    <w:uiPriority w:val="0"/>
    <w:rPr>
      <w:rFonts w:ascii="Arial" w:hAnsi="Arial"/>
      <w:b/>
      <w:sz w:val="24"/>
      <w:lang w:val="en-US" w:eastAsia="zh-CN" w:bidi="ar-SA"/>
    </w:rPr>
  </w:style>
  <w:style w:type="character" w:customStyle="1" w:styleId="241">
    <w:name w:val="正文11 Char"/>
    <w:link w:val="242"/>
    <w:qFormat/>
    <w:uiPriority w:val="0"/>
    <w:rPr>
      <w:rFonts w:ascii="宋体" w:hAnsi="宋体" w:eastAsia="宋体"/>
      <w:kern w:val="2"/>
      <w:sz w:val="28"/>
      <w:szCs w:val="22"/>
      <w:lang w:val="en-US" w:eastAsia="zh-CN" w:bidi="ar-SA"/>
    </w:rPr>
  </w:style>
  <w:style w:type="paragraph" w:customStyle="1" w:styleId="242">
    <w:name w:val="正文11"/>
    <w:basedOn w:val="1"/>
    <w:link w:val="241"/>
    <w:qFormat/>
    <w:uiPriority w:val="0"/>
    <w:pPr>
      <w:spacing w:line="480" w:lineRule="exact"/>
      <w:ind w:firstLine="200" w:firstLineChars="200"/>
    </w:pPr>
    <w:rPr>
      <w:rFonts w:ascii="宋体" w:hAnsi="宋体"/>
      <w:sz w:val="28"/>
      <w:szCs w:val="22"/>
    </w:rPr>
  </w:style>
  <w:style w:type="character" w:customStyle="1" w:styleId="243">
    <w:name w:val="表正文 Char1 Char Char Char"/>
    <w:qFormat/>
    <w:uiPriority w:val="0"/>
    <w:rPr>
      <w:rFonts w:eastAsia="宋体"/>
      <w:sz w:val="28"/>
      <w:lang w:val="en-US" w:eastAsia="zh-CN" w:bidi="ar-SA"/>
    </w:rPr>
  </w:style>
  <w:style w:type="character" w:customStyle="1" w:styleId="244">
    <w:name w:val="样式 黑色"/>
    <w:qFormat/>
    <w:uiPriority w:val="0"/>
    <w:rPr>
      <w:rFonts w:eastAsia="宋体"/>
      <w:color w:val="auto"/>
      <w:sz w:val="28"/>
      <w:szCs w:val="28"/>
    </w:rPr>
  </w:style>
  <w:style w:type="character" w:customStyle="1" w:styleId="245">
    <w:name w:val="textcontents"/>
    <w:qFormat/>
    <w:uiPriority w:val="0"/>
  </w:style>
  <w:style w:type="character" w:customStyle="1" w:styleId="246">
    <w:name w:val="标准正文 Char Char"/>
    <w:link w:val="247"/>
    <w:qFormat/>
    <w:uiPriority w:val="0"/>
    <w:rPr>
      <w:rFonts w:eastAsia="宋体" w:cs="宋体"/>
      <w:kern w:val="2"/>
      <w:sz w:val="28"/>
      <w:lang w:val="en-US" w:eastAsia="zh-CN" w:bidi="ar-SA"/>
    </w:rPr>
  </w:style>
  <w:style w:type="paragraph" w:customStyle="1" w:styleId="247">
    <w:name w:val="标准正文"/>
    <w:basedOn w:val="1"/>
    <w:link w:val="246"/>
    <w:qFormat/>
    <w:uiPriority w:val="0"/>
    <w:pPr>
      <w:spacing w:line="360" w:lineRule="auto"/>
      <w:ind w:firstLine="600" w:firstLineChars="200"/>
    </w:pPr>
    <w:rPr>
      <w:rFonts w:cs="宋体"/>
      <w:sz w:val="28"/>
      <w:szCs w:val="20"/>
    </w:rPr>
  </w:style>
  <w:style w:type="character" w:customStyle="1" w:styleId="248">
    <w:name w:val="正文文本 Char"/>
    <w:qFormat/>
    <w:uiPriority w:val="0"/>
    <w:rPr>
      <w:rFonts w:eastAsia="宋体"/>
      <w:kern w:val="2"/>
      <w:sz w:val="28"/>
      <w:szCs w:val="24"/>
      <w:lang w:val="en-US" w:eastAsia="zh-CN" w:bidi="ar-SA"/>
    </w:rPr>
  </w:style>
  <w:style w:type="character" w:customStyle="1" w:styleId="249">
    <w:name w:val="style21"/>
    <w:qFormat/>
    <w:uiPriority w:val="0"/>
    <w:rPr>
      <w:color w:val="333333"/>
    </w:rPr>
  </w:style>
  <w:style w:type="character" w:customStyle="1" w:styleId="250">
    <w:name w:val="DTX-WZ Char"/>
    <w:link w:val="251"/>
    <w:qFormat/>
    <w:uiPriority w:val="0"/>
    <w:rPr>
      <w:sz w:val="24"/>
      <w:szCs w:val="30"/>
      <w:lang w:val="en-US" w:eastAsia="zh-CN" w:bidi="ar-SA"/>
    </w:rPr>
  </w:style>
  <w:style w:type="paragraph" w:customStyle="1" w:styleId="251">
    <w:name w:val="DTX-WZ"/>
    <w:link w:val="250"/>
    <w:qFormat/>
    <w:uiPriority w:val="0"/>
    <w:pPr>
      <w:widowControl w:val="0"/>
      <w:adjustRightInd w:val="0"/>
      <w:snapToGrid w:val="0"/>
      <w:spacing w:line="500" w:lineRule="exact"/>
      <w:ind w:firstLine="200" w:firstLineChars="200"/>
      <w:jc w:val="both"/>
    </w:pPr>
    <w:rPr>
      <w:rFonts w:ascii="Times New Roman" w:hAnsi="Times New Roman" w:eastAsia="宋体" w:cs="Times New Roman"/>
      <w:sz w:val="24"/>
      <w:szCs w:val="30"/>
      <w:lang w:val="en-US" w:eastAsia="zh-CN" w:bidi="ar-SA"/>
    </w:rPr>
  </w:style>
  <w:style w:type="character" w:customStyle="1" w:styleId="252">
    <w:name w:val="welcomeu2"/>
    <w:qFormat/>
    <w:uiPriority w:val="0"/>
    <w:rPr>
      <w:color w:val="555555"/>
    </w:rPr>
  </w:style>
  <w:style w:type="character" w:customStyle="1" w:styleId="253">
    <w:name w:val="正文（首行缩进两字） Char"/>
    <w:link w:val="254"/>
    <w:qFormat/>
    <w:uiPriority w:val="0"/>
    <w:rPr>
      <w:rFonts w:eastAsia="宋体"/>
      <w:kern w:val="2"/>
      <w:sz w:val="21"/>
      <w:szCs w:val="21"/>
      <w:lang w:val="en-US" w:eastAsia="zh-CN" w:bidi="ar-SA"/>
    </w:rPr>
  </w:style>
  <w:style w:type="paragraph" w:customStyle="1" w:styleId="254">
    <w:name w:val="正文（首行缩进两字）"/>
    <w:basedOn w:val="1"/>
    <w:link w:val="253"/>
    <w:qFormat/>
    <w:uiPriority w:val="0"/>
    <w:rPr>
      <w:szCs w:val="21"/>
    </w:rPr>
  </w:style>
  <w:style w:type="character" w:customStyle="1" w:styleId="255">
    <w:name w:val="Section Char"/>
    <w:qFormat/>
    <w:uiPriority w:val="0"/>
    <w:rPr>
      <w:rFonts w:eastAsia="宋体"/>
      <w:b/>
      <w:bCs/>
      <w:kern w:val="2"/>
      <w:sz w:val="32"/>
      <w:szCs w:val="32"/>
      <w:lang w:val="en-US" w:eastAsia="zh-CN" w:bidi="ar-SA"/>
    </w:rPr>
  </w:style>
  <w:style w:type="character" w:customStyle="1" w:styleId="256">
    <w:name w:val="样式 首行缩进:  2 字符2 Char"/>
    <w:link w:val="257"/>
    <w:qFormat/>
    <w:uiPriority w:val="0"/>
    <w:rPr>
      <w:rFonts w:eastAsia="宋体" w:cs="宋体"/>
      <w:kern w:val="2"/>
      <w:sz w:val="28"/>
      <w:lang w:val="en-US" w:eastAsia="zh-CN" w:bidi="ar-SA"/>
    </w:rPr>
  </w:style>
  <w:style w:type="paragraph" w:customStyle="1" w:styleId="257">
    <w:name w:val="样式 首行缩进:  2 字符2"/>
    <w:basedOn w:val="1"/>
    <w:link w:val="256"/>
    <w:qFormat/>
    <w:uiPriority w:val="0"/>
    <w:pPr>
      <w:snapToGrid w:val="0"/>
      <w:spacing w:line="300" w:lineRule="auto"/>
      <w:ind w:firstLine="200" w:firstLineChars="200"/>
      <w:jc w:val="left"/>
    </w:pPr>
    <w:rPr>
      <w:rFonts w:cs="宋体"/>
      <w:sz w:val="28"/>
      <w:szCs w:val="20"/>
    </w:rPr>
  </w:style>
  <w:style w:type="character" w:customStyle="1" w:styleId="258">
    <w:name w:val="[1]正文 Char"/>
    <w:qFormat/>
    <w:uiPriority w:val="0"/>
    <w:rPr>
      <w:sz w:val="28"/>
      <w:szCs w:val="28"/>
    </w:rPr>
  </w:style>
  <w:style w:type="character" w:customStyle="1" w:styleId="259">
    <w:name w:val="16"/>
    <w:qFormat/>
    <w:uiPriority w:val="0"/>
    <w:rPr>
      <w:rFonts w:ascii="Times New Roman" w:hAnsi="Times New Roman" w:cs="Times New Roman"/>
    </w:rPr>
  </w:style>
  <w:style w:type="character" w:customStyle="1" w:styleId="260">
    <w:name w:val="样式 小标题 Char"/>
    <w:link w:val="261"/>
    <w:qFormat/>
    <w:uiPriority w:val="0"/>
    <w:rPr>
      <w:rFonts w:ascii="宋体" w:hAnsi="宋体" w:eastAsia="宋体" w:cs="宋体"/>
      <w:kern w:val="2"/>
      <w:sz w:val="28"/>
      <w:lang w:val="en-US" w:eastAsia="zh-CN" w:bidi="ar-SA"/>
    </w:rPr>
  </w:style>
  <w:style w:type="paragraph" w:customStyle="1" w:styleId="261">
    <w:name w:val="样式 小标题"/>
    <w:basedOn w:val="1"/>
    <w:link w:val="260"/>
    <w:qFormat/>
    <w:uiPriority w:val="0"/>
    <w:pPr>
      <w:spacing w:line="480" w:lineRule="auto"/>
    </w:pPr>
    <w:rPr>
      <w:rFonts w:ascii="宋体" w:hAnsi="宋体" w:cs="宋体"/>
      <w:sz w:val="28"/>
      <w:szCs w:val="20"/>
    </w:rPr>
  </w:style>
  <w:style w:type="character" w:customStyle="1" w:styleId="262">
    <w:name w:val="表格正文 Char"/>
    <w:link w:val="263"/>
    <w:qFormat/>
    <w:uiPriority w:val="0"/>
    <w:rPr>
      <w:rFonts w:eastAsia="宋体"/>
      <w:color w:val="000000"/>
      <w:kern w:val="2"/>
      <w:sz w:val="21"/>
      <w:szCs w:val="21"/>
      <w:lang w:val="en-US" w:eastAsia="zh-CN" w:bidi="ar-SA"/>
    </w:rPr>
  </w:style>
  <w:style w:type="paragraph" w:customStyle="1" w:styleId="263">
    <w:name w:val="表格正文"/>
    <w:basedOn w:val="1"/>
    <w:link w:val="262"/>
    <w:qFormat/>
    <w:uiPriority w:val="0"/>
    <w:pPr>
      <w:keepNext/>
      <w:jc w:val="center"/>
    </w:pPr>
    <w:rPr>
      <w:color w:val="000000"/>
      <w:szCs w:val="21"/>
    </w:rPr>
  </w:style>
  <w:style w:type="character" w:customStyle="1" w:styleId="264">
    <w:name w:val="DTX-04 Char Char"/>
    <w:link w:val="265"/>
    <w:qFormat/>
    <w:uiPriority w:val="0"/>
    <w:rPr>
      <w:rFonts w:eastAsia="黑体"/>
      <w:b/>
      <w:bCs/>
      <w:sz w:val="24"/>
      <w:szCs w:val="24"/>
      <w:lang w:val="en-US" w:eastAsia="zh-CN" w:bidi="ar-SA"/>
    </w:rPr>
  </w:style>
  <w:style w:type="paragraph" w:customStyle="1" w:styleId="265">
    <w:name w:val="DTX-04"/>
    <w:link w:val="264"/>
    <w:qFormat/>
    <w:uiPriority w:val="0"/>
    <w:pPr>
      <w:spacing w:line="540" w:lineRule="exact"/>
      <w:jc w:val="both"/>
      <w:outlineLvl w:val="3"/>
    </w:pPr>
    <w:rPr>
      <w:rFonts w:ascii="Times New Roman" w:hAnsi="Times New Roman" w:eastAsia="黑体" w:cs="Times New Roman"/>
      <w:b/>
      <w:bCs/>
      <w:sz w:val="24"/>
      <w:szCs w:val="24"/>
      <w:lang w:val="en-US" w:eastAsia="zh-CN" w:bidi="ar-SA"/>
    </w:rPr>
  </w:style>
  <w:style w:type="character" w:customStyle="1" w:styleId="266">
    <w:name w:val="表格文字 Char Char"/>
    <w:link w:val="267"/>
    <w:qFormat/>
    <w:uiPriority w:val="0"/>
    <w:rPr>
      <w:rFonts w:ascii="宋体" w:hAnsi="宋体"/>
      <w:sz w:val="21"/>
      <w:lang w:val="en-US" w:eastAsia="zh-CN" w:bidi="ar-SA"/>
    </w:rPr>
  </w:style>
  <w:style w:type="paragraph" w:customStyle="1" w:styleId="267">
    <w:name w:val="表格文字"/>
    <w:link w:val="266"/>
    <w:qFormat/>
    <w:uiPriority w:val="0"/>
    <w:pPr>
      <w:snapToGrid w:val="0"/>
    </w:pPr>
    <w:rPr>
      <w:rFonts w:ascii="宋体" w:hAnsi="宋体" w:eastAsia="宋体" w:cs="Times New Roman"/>
      <w:sz w:val="21"/>
      <w:lang w:val="en-US" w:eastAsia="zh-CN" w:bidi="ar-SA"/>
    </w:rPr>
  </w:style>
  <w:style w:type="character" w:customStyle="1" w:styleId="268">
    <w:name w:val="样式 宋体 四号 黑色 两端对齐 首行缩进:  2 字符 Char"/>
    <w:link w:val="269"/>
    <w:qFormat/>
    <w:uiPriority w:val="0"/>
    <w:rPr>
      <w:rFonts w:cs="宋体"/>
      <w:color w:val="000000"/>
      <w:sz w:val="28"/>
      <w:szCs w:val="28"/>
    </w:rPr>
  </w:style>
  <w:style w:type="paragraph" w:customStyle="1" w:styleId="269">
    <w:name w:val="样式 宋体 四号 黑色 两端对齐 首行缩进:  2 字符"/>
    <w:basedOn w:val="1"/>
    <w:link w:val="268"/>
    <w:qFormat/>
    <w:uiPriority w:val="0"/>
    <w:pPr>
      <w:widowControl/>
      <w:ind w:firstLine="650" w:firstLineChars="200"/>
    </w:pPr>
    <w:rPr>
      <w:color w:val="000000"/>
      <w:kern w:val="0"/>
      <w:sz w:val="28"/>
      <w:szCs w:val="28"/>
    </w:rPr>
  </w:style>
  <w:style w:type="character" w:customStyle="1" w:styleId="270">
    <w:name w:val="fontstyle21"/>
    <w:qFormat/>
    <w:uiPriority w:val="0"/>
    <w:rPr>
      <w:rFonts w:hint="default" w:ascii="TimesNewRomanPSMT" w:hAnsi="TimesNewRomanPSMT"/>
      <w:color w:val="000000"/>
      <w:sz w:val="28"/>
      <w:szCs w:val="28"/>
    </w:rPr>
  </w:style>
  <w:style w:type="character" w:customStyle="1" w:styleId="271">
    <w:name w:val="表格表头 Char"/>
    <w:link w:val="272"/>
    <w:qFormat/>
    <w:uiPriority w:val="0"/>
    <w:rPr>
      <w:rFonts w:eastAsia="宋体" w:cs="宋体"/>
      <w:b/>
      <w:bCs/>
      <w:kern w:val="2"/>
      <w:sz w:val="21"/>
      <w:lang w:val="en-US" w:eastAsia="zh-CN" w:bidi="ar-SA"/>
    </w:rPr>
  </w:style>
  <w:style w:type="paragraph" w:customStyle="1" w:styleId="272">
    <w:name w:val="表格表头"/>
    <w:basedOn w:val="1"/>
    <w:link w:val="271"/>
    <w:qFormat/>
    <w:uiPriority w:val="0"/>
    <w:pPr>
      <w:jc w:val="center"/>
    </w:pPr>
    <w:rPr>
      <w:rFonts w:cs="宋体"/>
      <w:b/>
      <w:bCs/>
      <w:szCs w:val="20"/>
    </w:rPr>
  </w:style>
  <w:style w:type="character" w:customStyle="1" w:styleId="273">
    <w:name w:val="Re-表头 Char"/>
    <w:link w:val="274"/>
    <w:qFormat/>
    <w:uiPriority w:val="4"/>
    <w:rPr>
      <w:sz w:val="24"/>
      <w:szCs w:val="22"/>
      <w:lang w:eastAsia="en-US"/>
    </w:rPr>
  </w:style>
  <w:style w:type="paragraph" w:customStyle="1" w:styleId="274">
    <w:name w:val="Re-表头"/>
    <w:basedOn w:val="1"/>
    <w:link w:val="273"/>
    <w:qFormat/>
    <w:uiPriority w:val="4"/>
    <w:pPr>
      <w:jc w:val="center"/>
    </w:pPr>
    <w:rPr>
      <w:kern w:val="0"/>
      <w:sz w:val="24"/>
      <w:szCs w:val="22"/>
      <w:lang w:eastAsia="en-US"/>
    </w:rPr>
  </w:style>
  <w:style w:type="character" w:customStyle="1" w:styleId="275">
    <w:name w:val="样式 宋体 四号2 Char Char"/>
    <w:link w:val="276"/>
    <w:qFormat/>
    <w:uiPriority w:val="0"/>
    <w:rPr>
      <w:rFonts w:ascii="宋体" w:hAnsi="宋体" w:eastAsia="宋体" w:cs="宋体"/>
      <w:kern w:val="2"/>
      <w:sz w:val="28"/>
      <w:lang w:val="en-US" w:eastAsia="zh-CN" w:bidi="ar-SA"/>
    </w:rPr>
  </w:style>
  <w:style w:type="paragraph" w:customStyle="1" w:styleId="276">
    <w:name w:val="样式 宋体 四号2"/>
    <w:basedOn w:val="1"/>
    <w:link w:val="275"/>
    <w:qFormat/>
    <w:uiPriority w:val="0"/>
    <w:pPr>
      <w:spacing w:line="520" w:lineRule="exact"/>
      <w:ind w:firstLine="200" w:firstLineChars="200"/>
    </w:pPr>
    <w:rPr>
      <w:rFonts w:ascii="宋体" w:hAnsi="宋体" w:cs="宋体"/>
      <w:sz w:val="28"/>
      <w:szCs w:val="20"/>
    </w:rPr>
  </w:style>
  <w:style w:type="character" w:customStyle="1" w:styleId="277">
    <w:name w:val="表头 Char Char"/>
    <w:qFormat/>
    <w:uiPriority w:val="0"/>
    <w:rPr>
      <w:rFonts w:eastAsia="宋体"/>
      <w:b/>
      <w:kern w:val="2"/>
      <w:sz w:val="24"/>
      <w:szCs w:val="24"/>
      <w:lang w:val="en-US" w:eastAsia="zh-CN" w:bidi="ar-SA"/>
    </w:rPr>
  </w:style>
  <w:style w:type="character" w:customStyle="1" w:styleId="278">
    <w:name w:val="表 Char"/>
    <w:link w:val="279"/>
    <w:qFormat/>
    <w:uiPriority w:val="0"/>
    <w:rPr>
      <w:rFonts w:ascii="Calibri" w:hAnsi="Calibri" w:eastAsia="宋体"/>
      <w:kern w:val="2"/>
      <w:sz w:val="24"/>
      <w:szCs w:val="22"/>
      <w:lang w:val="en-US" w:eastAsia="zh-CN" w:bidi="ar-SA"/>
    </w:rPr>
  </w:style>
  <w:style w:type="paragraph" w:customStyle="1" w:styleId="279">
    <w:name w:val="表"/>
    <w:basedOn w:val="1"/>
    <w:link w:val="278"/>
    <w:qFormat/>
    <w:uiPriority w:val="0"/>
    <w:pPr>
      <w:jc w:val="center"/>
    </w:pPr>
    <w:rPr>
      <w:rFonts w:ascii="Calibri" w:hAnsi="Calibri"/>
      <w:sz w:val="24"/>
      <w:szCs w:val="22"/>
    </w:rPr>
  </w:style>
  <w:style w:type="character" w:customStyle="1" w:styleId="280">
    <w:name w:val="正文(首行缩进2字） Char"/>
    <w:link w:val="281"/>
    <w:qFormat/>
    <w:uiPriority w:val="0"/>
    <w:rPr>
      <w:rFonts w:ascii="Arial" w:hAnsi="Arial" w:eastAsia="宋体" w:cs="Arial"/>
      <w:kern w:val="2"/>
      <w:sz w:val="24"/>
      <w:szCs w:val="24"/>
      <w:lang w:val="en-US" w:eastAsia="zh-CN" w:bidi="ar-SA"/>
    </w:rPr>
  </w:style>
  <w:style w:type="paragraph" w:customStyle="1" w:styleId="281">
    <w:name w:val="正文(首行缩进2字）"/>
    <w:basedOn w:val="1"/>
    <w:link w:val="280"/>
    <w:qFormat/>
    <w:uiPriority w:val="0"/>
    <w:pPr>
      <w:spacing w:line="480" w:lineRule="exact"/>
      <w:ind w:firstLine="200" w:firstLineChars="200"/>
    </w:pPr>
    <w:rPr>
      <w:rFonts w:ascii="Arial" w:hAnsi="Arial" w:cs="Arial"/>
      <w:sz w:val="24"/>
    </w:rPr>
  </w:style>
  <w:style w:type="character" w:customStyle="1" w:styleId="282">
    <w:name w:val="表格文字 Char1"/>
    <w:qFormat/>
    <w:uiPriority w:val="0"/>
    <w:rPr>
      <w:sz w:val="21"/>
      <w:lang w:val="en-US" w:eastAsia="zh-CN" w:bidi="ar-SA"/>
    </w:rPr>
  </w:style>
  <w:style w:type="character" w:customStyle="1" w:styleId="283">
    <w:name w:val=" Char Char50"/>
    <w:qFormat/>
    <w:uiPriority w:val="0"/>
    <w:rPr>
      <w:rFonts w:ascii="宋体" w:hAnsi="Courier New"/>
      <w:kern w:val="2"/>
      <w:sz w:val="28"/>
    </w:rPr>
  </w:style>
  <w:style w:type="character" w:customStyle="1" w:styleId="284">
    <w:name w:val=" Char Char2"/>
    <w:qFormat/>
    <w:uiPriority w:val="0"/>
    <w:rPr>
      <w:rFonts w:ascii="Arial" w:hAnsi="Arial" w:eastAsia="宋体" w:cs="宋体"/>
      <w:b/>
      <w:bCs/>
      <w:kern w:val="2"/>
      <w:sz w:val="28"/>
      <w:szCs w:val="28"/>
      <w:lang w:val="en-US" w:eastAsia="zh-CN" w:bidi="ar-SA"/>
    </w:rPr>
  </w:style>
  <w:style w:type="character" w:customStyle="1" w:styleId="285">
    <w:name w:val="正文文本（使用1） Char"/>
    <w:link w:val="286"/>
    <w:qFormat/>
    <w:uiPriority w:val="0"/>
    <w:rPr>
      <w:rFonts w:hAnsi="宋体" w:eastAsia="宋体"/>
      <w:color w:val="0000FF"/>
      <w:sz w:val="24"/>
      <w:szCs w:val="24"/>
      <w:lang w:val="en-US" w:eastAsia="zh-CN" w:bidi="ar-SA"/>
    </w:rPr>
  </w:style>
  <w:style w:type="paragraph" w:customStyle="1" w:styleId="286">
    <w:name w:val="正文文本（使用1）"/>
    <w:basedOn w:val="1"/>
    <w:link w:val="285"/>
    <w:qFormat/>
    <w:uiPriority w:val="0"/>
    <w:pPr>
      <w:adjustRightInd w:val="0"/>
      <w:snapToGrid w:val="0"/>
      <w:spacing w:line="520" w:lineRule="exact"/>
      <w:ind w:firstLine="480" w:firstLineChars="200"/>
    </w:pPr>
    <w:rPr>
      <w:rFonts w:hAnsi="宋体"/>
      <w:color w:val="0000FF"/>
      <w:kern w:val="0"/>
      <w:sz w:val="24"/>
    </w:rPr>
  </w:style>
  <w:style w:type="character" w:customStyle="1" w:styleId="287">
    <w:name w:val="font91"/>
    <w:basedOn w:val="133"/>
    <w:qFormat/>
    <w:uiPriority w:val="0"/>
    <w:rPr>
      <w:rFonts w:hint="eastAsia" w:ascii="宋体" w:hAnsi="宋体" w:eastAsia="宋体" w:cs="宋体"/>
      <w:color w:val="000000"/>
      <w:sz w:val="20"/>
      <w:szCs w:val="20"/>
      <w:u w:val="none"/>
    </w:rPr>
  </w:style>
  <w:style w:type="character" w:customStyle="1" w:styleId="288">
    <w:name w:val="样式 正文 +"/>
    <w:qFormat/>
    <w:uiPriority w:val="0"/>
    <w:rPr>
      <w:kern w:val="0"/>
    </w:rPr>
  </w:style>
  <w:style w:type="character" w:customStyle="1" w:styleId="289">
    <w:name w:val="表格 Char"/>
    <w:link w:val="290"/>
    <w:qFormat/>
    <w:uiPriority w:val="0"/>
    <w:rPr>
      <w:rFonts w:eastAsia="宋体"/>
      <w:kern w:val="2"/>
      <w:sz w:val="21"/>
      <w:szCs w:val="21"/>
      <w:lang w:bidi="ar-SA"/>
    </w:rPr>
  </w:style>
  <w:style w:type="paragraph" w:customStyle="1" w:styleId="290">
    <w:name w:val="表格"/>
    <w:basedOn w:val="1"/>
    <w:link w:val="289"/>
    <w:qFormat/>
    <w:uiPriority w:val="0"/>
    <w:pPr>
      <w:jc w:val="center"/>
    </w:pPr>
    <w:rPr>
      <w:szCs w:val="21"/>
    </w:rPr>
  </w:style>
  <w:style w:type="character" w:customStyle="1" w:styleId="291">
    <w:name w:val="No Spacing Char"/>
    <w:link w:val="292"/>
    <w:qFormat/>
    <w:locked/>
    <w:uiPriority w:val="0"/>
    <w:rPr>
      <w:rFonts w:eastAsia="仿宋_GB2312"/>
      <w:kern w:val="2"/>
      <w:sz w:val="24"/>
      <w:szCs w:val="22"/>
      <w:lang w:val="en-US" w:eastAsia="zh-CN" w:bidi="ar-SA"/>
    </w:rPr>
  </w:style>
  <w:style w:type="paragraph" w:customStyle="1" w:styleId="292">
    <w:name w:val="No Spacing1"/>
    <w:link w:val="291"/>
    <w:qFormat/>
    <w:uiPriority w:val="0"/>
    <w:pPr>
      <w:widowControl w:val="0"/>
      <w:spacing w:line="360" w:lineRule="auto"/>
      <w:ind w:firstLine="200" w:firstLineChars="200"/>
      <w:jc w:val="both"/>
    </w:pPr>
    <w:rPr>
      <w:rFonts w:ascii="Times New Roman" w:hAnsi="Times New Roman" w:eastAsia="仿宋_GB2312" w:cs="Times New Roman"/>
      <w:kern w:val="2"/>
      <w:sz w:val="24"/>
      <w:szCs w:val="22"/>
      <w:lang w:val="en-US" w:eastAsia="zh-CN" w:bidi="ar-SA"/>
    </w:rPr>
  </w:style>
  <w:style w:type="character" w:customStyle="1" w:styleId="293">
    <w:name w:val="DTX-BT Char"/>
    <w:link w:val="294"/>
    <w:qFormat/>
    <w:uiPriority w:val="0"/>
    <w:rPr>
      <w:rFonts w:eastAsia="黑体"/>
      <w:b/>
      <w:kern w:val="2"/>
      <w:sz w:val="24"/>
      <w:szCs w:val="30"/>
      <w:lang w:val="en-US" w:eastAsia="zh-CN" w:bidi="ar-SA"/>
    </w:rPr>
  </w:style>
  <w:style w:type="paragraph" w:customStyle="1" w:styleId="294">
    <w:name w:val="DTX-BT"/>
    <w:next w:val="1"/>
    <w:link w:val="293"/>
    <w:qFormat/>
    <w:uiPriority w:val="0"/>
    <w:pPr>
      <w:widowControl w:val="0"/>
      <w:tabs>
        <w:tab w:val="center" w:pos="4515"/>
        <w:tab w:val="right" w:pos="9030"/>
      </w:tabs>
      <w:adjustRightInd w:val="0"/>
      <w:snapToGrid w:val="0"/>
      <w:spacing w:line="500" w:lineRule="exact"/>
      <w:ind w:firstLine="200" w:firstLineChars="200"/>
      <w:jc w:val="both"/>
    </w:pPr>
    <w:rPr>
      <w:rFonts w:ascii="Times New Roman" w:hAnsi="Times New Roman" w:eastAsia="黑体" w:cs="Times New Roman"/>
      <w:b/>
      <w:kern w:val="2"/>
      <w:sz w:val="24"/>
      <w:szCs w:val="30"/>
      <w:lang w:val="en-US" w:eastAsia="zh-CN" w:bidi="ar-SA"/>
    </w:rPr>
  </w:style>
  <w:style w:type="character" w:customStyle="1" w:styleId="295">
    <w:name w:val="DTX-03 Char Char"/>
    <w:link w:val="296"/>
    <w:qFormat/>
    <w:uiPriority w:val="0"/>
    <w:rPr>
      <w:rFonts w:eastAsia="黑体"/>
      <w:b/>
      <w:bCs/>
      <w:sz w:val="24"/>
      <w:szCs w:val="24"/>
      <w:lang w:val="en-US" w:eastAsia="zh-CN" w:bidi="ar-SA"/>
    </w:rPr>
  </w:style>
  <w:style w:type="paragraph" w:customStyle="1" w:styleId="296">
    <w:name w:val="DTX-03"/>
    <w:link w:val="295"/>
    <w:qFormat/>
    <w:uiPriority w:val="0"/>
    <w:pPr>
      <w:widowControl w:val="0"/>
      <w:tabs>
        <w:tab w:val="left" w:pos="0"/>
      </w:tabs>
      <w:adjustRightInd w:val="0"/>
      <w:snapToGrid w:val="0"/>
      <w:spacing w:line="500" w:lineRule="exact"/>
      <w:jc w:val="both"/>
      <w:outlineLvl w:val="2"/>
    </w:pPr>
    <w:rPr>
      <w:rFonts w:ascii="Times New Roman" w:hAnsi="Times New Roman" w:eastAsia="黑体" w:cs="Times New Roman"/>
      <w:b/>
      <w:bCs/>
      <w:sz w:val="24"/>
      <w:szCs w:val="24"/>
      <w:lang w:val="en-US" w:eastAsia="zh-CN" w:bidi="ar-SA"/>
    </w:rPr>
  </w:style>
  <w:style w:type="character" w:customStyle="1" w:styleId="297">
    <w:name w:val="名 Char"/>
    <w:link w:val="298"/>
    <w:qFormat/>
    <w:uiPriority w:val="0"/>
    <w:rPr>
      <w:rFonts w:ascii="Calibri" w:hAnsi="Calibri" w:eastAsia="黑体"/>
      <w:kern w:val="2"/>
      <w:sz w:val="21"/>
      <w:szCs w:val="22"/>
      <w:lang w:val="en-US" w:eastAsia="zh-CN" w:bidi="ar-SA"/>
    </w:rPr>
  </w:style>
  <w:style w:type="paragraph" w:customStyle="1" w:styleId="298">
    <w:name w:val="名"/>
    <w:basedOn w:val="212"/>
    <w:link w:val="297"/>
    <w:qFormat/>
    <w:uiPriority w:val="0"/>
    <w:pPr>
      <w:spacing w:line="360" w:lineRule="auto"/>
      <w:ind w:firstLine="560" w:firstLineChars="200"/>
      <w:jc w:val="center"/>
    </w:pPr>
    <w:rPr>
      <w:rFonts w:ascii="Calibri" w:hAnsi="Calibri" w:eastAsia="黑体"/>
      <w:sz w:val="21"/>
      <w:szCs w:val="22"/>
    </w:rPr>
  </w:style>
  <w:style w:type="character" w:customStyle="1" w:styleId="299">
    <w:name w:val="表文字 Char"/>
    <w:link w:val="300"/>
    <w:qFormat/>
    <w:uiPriority w:val="0"/>
    <w:rPr>
      <w:rFonts w:ascii="Arial" w:hAnsi="Arial" w:cs="Arial"/>
      <w:sz w:val="23"/>
      <w:lang w:val="en-US" w:eastAsia="zh-CN" w:bidi="ar-SA"/>
    </w:rPr>
  </w:style>
  <w:style w:type="paragraph" w:customStyle="1" w:styleId="300">
    <w:name w:val="表文字"/>
    <w:link w:val="299"/>
    <w:qFormat/>
    <w:uiPriority w:val="0"/>
    <w:pPr>
      <w:spacing w:line="440" w:lineRule="exact"/>
      <w:jc w:val="center"/>
    </w:pPr>
    <w:rPr>
      <w:rFonts w:ascii="Arial" w:hAnsi="Arial" w:eastAsia="宋体" w:cs="Arial"/>
      <w:sz w:val="23"/>
      <w:lang w:val="en-US" w:eastAsia="zh-CN" w:bidi="ar-SA"/>
    </w:rPr>
  </w:style>
  <w:style w:type="character" w:customStyle="1" w:styleId="301">
    <w:name w:val=" Char Char11"/>
    <w:qFormat/>
    <w:uiPriority w:val="0"/>
    <w:rPr>
      <w:rFonts w:eastAsia="宋体"/>
      <w:b/>
      <w:bCs/>
      <w:kern w:val="44"/>
      <w:sz w:val="36"/>
      <w:szCs w:val="44"/>
      <w:lang w:val="en-US" w:eastAsia="zh-CN" w:bidi="ar-SA"/>
    </w:rPr>
  </w:style>
  <w:style w:type="character" w:customStyle="1" w:styleId="302">
    <w:name w:val="正文111 Char"/>
    <w:link w:val="303"/>
    <w:qFormat/>
    <w:uiPriority w:val="0"/>
    <w:rPr>
      <w:rFonts w:eastAsia="宋体"/>
      <w:kern w:val="2"/>
      <w:sz w:val="28"/>
      <w:szCs w:val="28"/>
      <w:lang w:val="en-US" w:eastAsia="zh-CN" w:bidi="ar-SA"/>
    </w:rPr>
  </w:style>
  <w:style w:type="paragraph" w:customStyle="1" w:styleId="303">
    <w:name w:val="正文111"/>
    <w:basedOn w:val="1"/>
    <w:link w:val="302"/>
    <w:qFormat/>
    <w:uiPriority w:val="0"/>
    <w:pPr>
      <w:spacing w:line="480" w:lineRule="exact"/>
      <w:ind w:firstLine="200" w:firstLineChars="200"/>
    </w:pPr>
    <w:rPr>
      <w:sz w:val="28"/>
      <w:szCs w:val="28"/>
    </w:rPr>
  </w:style>
  <w:style w:type="character" w:customStyle="1" w:styleId="304">
    <w:name w:val="表格内容 Char Char"/>
    <w:link w:val="305"/>
    <w:qFormat/>
    <w:uiPriority w:val="0"/>
    <w:rPr>
      <w:rFonts w:eastAsia="宋体"/>
      <w:color w:val="FF0000"/>
      <w:sz w:val="21"/>
      <w:szCs w:val="21"/>
      <w:lang w:val="en-US" w:eastAsia="zh-CN" w:bidi="ar-SA"/>
    </w:rPr>
  </w:style>
  <w:style w:type="paragraph" w:customStyle="1" w:styleId="305">
    <w:name w:val="表格内容"/>
    <w:basedOn w:val="1"/>
    <w:link w:val="304"/>
    <w:qFormat/>
    <w:uiPriority w:val="0"/>
    <w:pPr>
      <w:jc w:val="center"/>
    </w:pPr>
    <w:rPr>
      <w:color w:val="FF0000"/>
      <w:kern w:val="0"/>
      <w:szCs w:val="21"/>
    </w:rPr>
  </w:style>
  <w:style w:type="character" w:customStyle="1" w:styleId="306">
    <w:name w:val="articlecontent"/>
    <w:qFormat/>
    <w:uiPriority w:val="0"/>
  </w:style>
  <w:style w:type="character" w:customStyle="1" w:styleId="307">
    <w:name w:val="gov"/>
    <w:qFormat/>
    <w:uiPriority w:val="0"/>
  </w:style>
  <w:style w:type="character" w:customStyle="1" w:styleId="308">
    <w:name w:val="t_tag"/>
    <w:qFormat/>
    <w:uiPriority w:val="0"/>
  </w:style>
  <w:style w:type="character" w:customStyle="1" w:styleId="309">
    <w:name w:val="27-正文 Char"/>
    <w:link w:val="310"/>
    <w:qFormat/>
    <w:uiPriority w:val="0"/>
    <w:rPr>
      <w:rFonts w:eastAsia="宋体"/>
      <w:kern w:val="2"/>
      <w:sz w:val="28"/>
      <w:szCs w:val="28"/>
      <w:lang w:val="en-US" w:eastAsia="zh-CN" w:bidi="ar-SA"/>
    </w:rPr>
  </w:style>
  <w:style w:type="paragraph" w:customStyle="1" w:styleId="310">
    <w:name w:val="27-正文"/>
    <w:basedOn w:val="1"/>
    <w:link w:val="309"/>
    <w:qFormat/>
    <w:uiPriority w:val="0"/>
    <w:pPr>
      <w:spacing w:line="540" w:lineRule="exact"/>
      <w:ind w:firstLine="560" w:firstLineChars="200"/>
    </w:pPr>
    <w:rPr>
      <w:sz w:val="28"/>
      <w:szCs w:val="28"/>
    </w:rPr>
  </w:style>
  <w:style w:type="character" w:customStyle="1" w:styleId="311">
    <w:name w:val="[1]正文 Char Char"/>
    <w:link w:val="312"/>
    <w:qFormat/>
    <w:uiPriority w:val="0"/>
    <w:rPr>
      <w:rFonts w:eastAsia="宋体"/>
      <w:sz w:val="28"/>
      <w:szCs w:val="28"/>
      <w:lang w:val="en-US" w:eastAsia="zh-CN" w:bidi="ar-SA"/>
    </w:rPr>
  </w:style>
  <w:style w:type="paragraph" w:customStyle="1" w:styleId="312">
    <w:name w:val="[1]正文"/>
    <w:basedOn w:val="1"/>
    <w:link w:val="311"/>
    <w:qFormat/>
    <w:uiPriority w:val="0"/>
    <w:pPr>
      <w:snapToGrid w:val="0"/>
      <w:spacing w:line="520" w:lineRule="exact"/>
      <w:ind w:firstLine="200" w:firstLineChars="200"/>
    </w:pPr>
    <w:rPr>
      <w:kern w:val="0"/>
      <w:sz w:val="28"/>
      <w:szCs w:val="28"/>
    </w:rPr>
  </w:style>
  <w:style w:type="character" w:customStyle="1" w:styleId="313">
    <w:name w:val="Normal Char"/>
    <w:link w:val="314"/>
    <w:qFormat/>
    <w:uiPriority w:val="0"/>
    <w:rPr>
      <w:rFonts w:eastAsia="宋体"/>
      <w:sz w:val="24"/>
      <w:lang w:val="en-US" w:eastAsia="zh-CN" w:bidi="ar-SA"/>
    </w:rPr>
  </w:style>
  <w:style w:type="paragraph" w:customStyle="1" w:styleId="314">
    <w:name w:val="Normal"/>
    <w:basedOn w:val="1"/>
    <w:link w:val="313"/>
    <w:qFormat/>
    <w:uiPriority w:val="0"/>
    <w:pPr>
      <w:adjustRightInd w:val="0"/>
      <w:spacing w:line="312" w:lineRule="atLeast"/>
      <w:textAlignment w:val="baseline"/>
    </w:pPr>
    <w:rPr>
      <w:kern w:val="0"/>
      <w:sz w:val="24"/>
      <w:szCs w:val="20"/>
    </w:rPr>
  </w:style>
  <w:style w:type="character" w:customStyle="1" w:styleId="315">
    <w:name w:val=" Char Char6"/>
    <w:qFormat/>
    <w:uiPriority w:val="0"/>
    <w:rPr>
      <w:rFonts w:ascii="宋体" w:hAnsi="Courier New" w:eastAsia="宋体" w:cs="Bradley Hand ITC"/>
      <w:kern w:val="2"/>
      <w:sz w:val="21"/>
      <w:szCs w:val="21"/>
      <w:lang w:val="en-US" w:eastAsia="zh-CN" w:bidi="ar-SA"/>
    </w:rPr>
  </w:style>
  <w:style w:type="character" w:customStyle="1" w:styleId="316">
    <w:name w:val="albumcount"/>
    <w:qFormat/>
    <w:uiPriority w:val="0"/>
  </w:style>
  <w:style w:type="character" w:customStyle="1" w:styleId="317">
    <w:name w:val="正文不缩进 Char"/>
    <w:qFormat/>
    <w:uiPriority w:val="0"/>
    <w:rPr>
      <w:rFonts w:eastAsia="宋体"/>
      <w:kern w:val="2"/>
      <w:sz w:val="21"/>
      <w:szCs w:val="24"/>
      <w:lang w:val="en-US" w:eastAsia="zh-CN" w:bidi="ar-SA"/>
    </w:rPr>
  </w:style>
  <w:style w:type="character" w:customStyle="1" w:styleId="318">
    <w:name w:val="A正文 Char"/>
    <w:link w:val="319"/>
    <w:qFormat/>
    <w:uiPriority w:val="0"/>
    <w:rPr>
      <w:rFonts w:eastAsia="宋体"/>
      <w:sz w:val="24"/>
      <w:szCs w:val="24"/>
      <w:lang w:val="en-US" w:eastAsia="zh-CN" w:bidi="ar-SA"/>
    </w:rPr>
  </w:style>
  <w:style w:type="paragraph" w:customStyle="1" w:styleId="319">
    <w:name w:val="A正文"/>
    <w:basedOn w:val="1"/>
    <w:link w:val="318"/>
    <w:qFormat/>
    <w:uiPriority w:val="0"/>
    <w:pPr>
      <w:widowControl/>
      <w:overflowPunct w:val="0"/>
      <w:autoSpaceDE w:val="0"/>
      <w:autoSpaceDN w:val="0"/>
      <w:adjustRightInd w:val="0"/>
      <w:spacing w:line="360" w:lineRule="auto"/>
      <w:ind w:firstLine="200" w:firstLineChars="200"/>
      <w:jc w:val="left"/>
      <w:textAlignment w:val="baseline"/>
    </w:pPr>
    <w:rPr>
      <w:kern w:val="0"/>
      <w:sz w:val="24"/>
    </w:rPr>
  </w:style>
  <w:style w:type="paragraph" w:customStyle="1" w:styleId="320">
    <w:name w:val="xl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eastAsia="Arial Unicode MS" w:cs="Arial"/>
      <w:color w:val="000000"/>
      <w:kern w:val="0"/>
      <w:sz w:val="24"/>
    </w:rPr>
  </w:style>
  <w:style w:type="paragraph" w:customStyle="1" w:styleId="321">
    <w:name w:val=" Char Char Char1 Char1 Char Char"/>
    <w:basedOn w:val="1"/>
    <w:semiHidden/>
    <w:qFormat/>
    <w:uiPriority w:val="0"/>
  </w:style>
  <w:style w:type="paragraph" w:customStyle="1" w:styleId="322">
    <w:name w:val="样式 两端对齐 首行缩进:  2 字符"/>
    <w:basedOn w:val="1"/>
    <w:qFormat/>
    <w:uiPriority w:val="0"/>
    <w:pPr>
      <w:widowControl/>
      <w:ind w:firstLine="560" w:firstLineChars="200"/>
    </w:pPr>
    <w:rPr>
      <w:rFonts w:cs="宋体"/>
      <w:kern w:val="0"/>
      <w:sz w:val="28"/>
      <w:szCs w:val="28"/>
    </w:rPr>
  </w:style>
  <w:style w:type="paragraph" w:customStyle="1" w:styleId="323">
    <w:name w:val="样式 表头样式 + 两端对齐 段前: 0.5 行 段后: 0.5 行 首行缩进:  1 字符"/>
    <w:basedOn w:val="324"/>
    <w:semiHidden/>
    <w:qFormat/>
    <w:uiPriority w:val="0"/>
    <w:pPr>
      <w:keepLines/>
      <w:spacing w:before="156" w:after="156"/>
      <w:ind w:firstLine="560" w:firstLineChars="200"/>
    </w:pPr>
    <w:rPr>
      <w:bCs w:val="0"/>
      <w:sz w:val="24"/>
      <w:szCs w:val="20"/>
    </w:rPr>
  </w:style>
  <w:style w:type="paragraph" w:customStyle="1" w:styleId="324">
    <w:name w:val="表头样式"/>
    <w:basedOn w:val="1"/>
    <w:semiHidden/>
    <w:qFormat/>
    <w:uiPriority w:val="0"/>
    <w:pPr>
      <w:keepNext/>
      <w:widowControl/>
      <w:spacing w:before="120" w:beforeLines="50" w:after="120" w:afterLines="50" w:line="520" w:lineRule="exact"/>
      <w:ind w:firstLine="280" w:firstLineChars="100"/>
    </w:pPr>
    <w:rPr>
      <w:rFonts w:ascii="宋体" w:hAnsi="宋体" w:cs="宋体"/>
      <w:bCs/>
      <w:sz w:val="28"/>
      <w:szCs w:val="28"/>
    </w:rPr>
  </w:style>
  <w:style w:type="paragraph" w:customStyle="1" w:styleId="325">
    <w:name w:val="reader-word-layer reader-word-s11-13"/>
    <w:basedOn w:val="1"/>
    <w:qFormat/>
    <w:uiPriority w:val="0"/>
    <w:pPr>
      <w:widowControl/>
      <w:spacing w:before="100" w:beforeAutospacing="1" w:after="100" w:afterAutospacing="1"/>
      <w:jc w:val="left"/>
    </w:pPr>
    <w:rPr>
      <w:rFonts w:ascii="宋体" w:hAnsi="宋体" w:cs="宋体"/>
      <w:kern w:val="0"/>
      <w:sz w:val="24"/>
    </w:rPr>
  </w:style>
  <w:style w:type="paragraph" w:customStyle="1" w:styleId="326">
    <w:name w:val=" Char Char14"/>
    <w:basedOn w:val="10"/>
    <w:qFormat/>
    <w:uiPriority w:val="0"/>
    <w:pPr>
      <w:tabs>
        <w:tab w:val="left" w:pos="1440"/>
      </w:tabs>
      <w:adjustRightInd/>
      <w:spacing w:line="320" w:lineRule="auto"/>
      <w:jc w:val="both"/>
      <w:textAlignment w:val="auto"/>
    </w:pPr>
    <w:rPr>
      <w:rFonts w:ascii="Calibri" w:hAnsi="Calibri" w:eastAsia="宋体"/>
      <w:bCs/>
      <w:szCs w:val="24"/>
      <w:lang w:eastAsia="en-US" w:bidi="en-US"/>
    </w:rPr>
  </w:style>
  <w:style w:type="paragraph" w:customStyle="1" w:styleId="327">
    <w:name w:val=" Char Char Char Char Char Char Char Char Char Char Char Char Char Char Char Char Char Char Char Char Char Char Char Char Char Char Char Char Char Char Char Char Char Char Char Char Char Char Char Char Char Char Char Char Char Char"/>
    <w:basedOn w:val="1"/>
    <w:next w:val="1"/>
    <w:qFormat/>
    <w:uiPriority w:val="0"/>
    <w:pPr>
      <w:pBdr>
        <w:right w:val="single" w:color="auto" w:sz="12" w:space="4"/>
      </w:pBdr>
      <w:spacing w:line="360" w:lineRule="auto"/>
      <w:ind w:firstLine="200" w:firstLineChars="200"/>
    </w:pPr>
    <w:rPr>
      <w:sz w:val="28"/>
      <w:szCs w:val="20"/>
    </w:rPr>
  </w:style>
  <w:style w:type="paragraph" w:customStyle="1" w:styleId="328">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3"/>
      <w:szCs w:val="23"/>
    </w:rPr>
  </w:style>
  <w:style w:type="paragraph" w:customStyle="1" w:styleId="329">
    <w:name w:val="样式 (中文) 黑体 加粗 行距: 固定值 25 磅"/>
    <w:basedOn w:val="1"/>
    <w:qFormat/>
    <w:uiPriority w:val="0"/>
    <w:pPr>
      <w:adjustRightInd w:val="0"/>
      <w:spacing w:line="500" w:lineRule="exact"/>
      <w:ind w:firstLine="424" w:firstLineChars="201"/>
      <w:textAlignment w:val="baseline"/>
    </w:pPr>
    <w:rPr>
      <w:rFonts w:cs="宋体"/>
      <w:b/>
      <w:bCs/>
      <w:sz w:val="28"/>
      <w:szCs w:val="20"/>
    </w:rPr>
  </w:style>
  <w:style w:type="paragraph" w:customStyle="1" w:styleId="330">
    <w:name w:val="样式 标题 1 + 黑体 三号 居中 行距: 固定值 20 磅"/>
    <w:basedOn w:val="4"/>
    <w:semiHidden/>
    <w:qFormat/>
    <w:uiPriority w:val="0"/>
    <w:pPr>
      <w:keepNext/>
      <w:keepLines/>
      <w:widowControl/>
      <w:topLinePunct/>
      <w:spacing w:before="340" w:beforeLines="0" w:after="330" w:afterLines="0" w:line="400" w:lineRule="exact"/>
      <w:ind w:firstLine="538" w:firstLineChars="224"/>
      <w:jc w:val="left"/>
      <w:textAlignment w:val="auto"/>
    </w:pPr>
    <w:rPr>
      <w:rFonts w:ascii="黑体" w:hAnsi="黑体" w:cs="宋体"/>
      <w:b w:val="0"/>
      <w:kern w:val="44"/>
      <w:szCs w:val="20"/>
    </w:rPr>
  </w:style>
  <w:style w:type="paragraph" w:customStyle="1" w:styleId="331">
    <w:name w:val="xl32"/>
    <w:basedOn w:val="1"/>
    <w:qFormat/>
    <w:uiPriority w:val="0"/>
    <w:pPr>
      <w:widowControl/>
      <w:pBdr>
        <w:left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3"/>
      <w:szCs w:val="23"/>
    </w:rPr>
  </w:style>
  <w:style w:type="paragraph" w:customStyle="1" w:styleId="332">
    <w:name w:val="xl22"/>
    <w:basedOn w:val="1"/>
    <w:qFormat/>
    <w:uiPriority w:val="0"/>
    <w:pPr>
      <w:widowControl/>
      <w:pBdr>
        <w:top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color w:val="000000"/>
      <w:kern w:val="0"/>
      <w:sz w:val="22"/>
      <w:szCs w:val="22"/>
    </w:rPr>
  </w:style>
  <w:style w:type="paragraph" w:customStyle="1" w:styleId="333">
    <w:name w:val="Table Paragraph"/>
    <w:basedOn w:val="1"/>
    <w:qFormat/>
    <w:uiPriority w:val="1"/>
    <w:pPr>
      <w:autoSpaceDE w:val="0"/>
      <w:autoSpaceDN w:val="0"/>
      <w:adjustRightInd w:val="0"/>
      <w:jc w:val="left"/>
    </w:pPr>
    <w:rPr>
      <w:rFonts w:eastAsia="宋体"/>
      <w:kern w:val="0"/>
      <w:sz w:val="24"/>
    </w:rPr>
  </w:style>
  <w:style w:type="paragraph" w:customStyle="1" w:styleId="334">
    <w:name w:val="样式 标题2　自动设置"/>
    <w:basedOn w:val="5"/>
    <w:qFormat/>
    <w:uiPriority w:val="0"/>
    <w:pPr>
      <w:autoSpaceDE/>
      <w:autoSpaceDN/>
      <w:spacing w:after="60" w:line="360" w:lineRule="auto"/>
      <w:jc w:val="both"/>
      <w:textAlignment w:val="auto"/>
    </w:pPr>
    <w:rPr>
      <w:rFonts w:ascii="宋体" w:hAnsi="宋体" w:eastAsia="宋体" w:cs="宋体"/>
      <w:sz w:val="28"/>
    </w:rPr>
  </w:style>
  <w:style w:type="paragraph" w:customStyle="1" w:styleId="335">
    <w:name w:val="样式 标题 4常用标题 4 + 段前: 6 磅 段后: 6 磅 行距: 固定值 26 磅"/>
    <w:basedOn w:val="8"/>
    <w:qFormat/>
    <w:uiPriority w:val="0"/>
    <w:pPr>
      <w:numPr>
        <w:ilvl w:val="0"/>
        <w:numId w:val="0"/>
      </w:numPr>
      <w:tabs>
        <w:tab w:val="left" w:pos="800"/>
      </w:tabs>
      <w:adjustRightInd/>
      <w:spacing w:before="120" w:after="120" w:line="520" w:lineRule="exact"/>
      <w:jc w:val="both"/>
      <w:textAlignment w:val="auto"/>
    </w:pPr>
    <w:rPr>
      <w:rFonts w:eastAsia="黑体" w:cs="宋体"/>
      <w:bCs/>
      <w:snapToGrid/>
      <w:kern w:val="2"/>
      <w:sz w:val="28"/>
    </w:rPr>
  </w:style>
  <w:style w:type="paragraph" w:customStyle="1" w:styleId="336">
    <w:name w:val=" Char Char Char Char Char Char"/>
    <w:basedOn w:val="1"/>
    <w:semiHidden/>
    <w:qFormat/>
    <w:uiPriority w:val="0"/>
  </w:style>
  <w:style w:type="paragraph" w:customStyle="1" w:styleId="337">
    <w:name w:val="font7"/>
    <w:basedOn w:val="1"/>
    <w:qFormat/>
    <w:uiPriority w:val="0"/>
    <w:pPr>
      <w:widowControl/>
      <w:spacing w:before="100" w:beforeAutospacing="1" w:after="100" w:afterAutospacing="1"/>
      <w:jc w:val="left"/>
    </w:pPr>
    <w:rPr>
      <w:rFonts w:hint="eastAsia" w:ascii="宋体" w:hAnsi="宋体" w:cs="Arial Unicode MS"/>
      <w:kern w:val="0"/>
      <w:sz w:val="23"/>
      <w:szCs w:val="23"/>
    </w:rPr>
  </w:style>
  <w:style w:type="paragraph" w:customStyle="1" w:styleId="338">
    <w:name w:val="font0"/>
    <w:basedOn w:val="1"/>
    <w:qFormat/>
    <w:uiPriority w:val="0"/>
    <w:pPr>
      <w:widowControl/>
      <w:spacing w:before="100" w:beforeAutospacing="1" w:after="100" w:afterAutospacing="1"/>
      <w:jc w:val="left"/>
    </w:pPr>
    <w:rPr>
      <w:rFonts w:eastAsia="Arial Unicode MS"/>
      <w:kern w:val="0"/>
      <w:sz w:val="24"/>
    </w:rPr>
  </w:style>
  <w:style w:type="paragraph" w:customStyle="1" w:styleId="339">
    <w:name w:val="公式"/>
    <w:basedOn w:val="1"/>
    <w:qFormat/>
    <w:uiPriority w:val="0"/>
    <w:pPr>
      <w:adjustRightInd w:val="0"/>
      <w:spacing w:before="60" w:line="394" w:lineRule="atLeast"/>
      <w:jc w:val="center"/>
      <w:textAlignment w:val="baseline"/>
    </w:pPr>
    <w:rPr>
      <w:rFonts w:ascii="宋体" w:cs="宋体"/>
      <w:kern w:val="0"/>
      <w:sz w:val="24"/>
    </w:rPr>
  </w:style>
  <w:style w:type="paragraph" w:customStyle="1" w:styleId="340">
    <w:name w:val="p18"/>
    <w:basedOn w:val="1"/>
    <w:qFormat/>
    <w:uiPriority w:val="0"/>
    <w:pPr>
      <w:widowControl/>
    </w:pPr>
    <w:rPr>
      <w:rFonts w:ascii="Arial" w:hAnsi="Arial" w:cs="Arial"/>
      <w:kern w:val="0"/>
      <w:szCs w:val="21"/>
    </w:rPr>
  </w:style>
  <w:style w:type="paragraph" w:customStyle="1" w:styleId="341">
    <w:name w:val="样式 Arial 13 磅 行距: 固定值 25 磅1"/>
    <w:basedOn w:val="1"/>
    <w:qFormat/>
    <w:uiPriority w:val="0"/>
    <w:pPr>
      <w:spacing w:line="500" w:lineRule="exact"/>
      <w:ind w:firstLine="200" w:firstLineChars="200"/>
    </w:pPr>
    <w:rPr>
      <w:rFonts w:ascii="Arial" w:hAnsi="Arial" w:cs="宋体"/>
      <w:sz w:val="26"/>
      <w:szCs w:val="20"/>
    </w:rPr>
  </w:style>
  <w:style w:type="paragraph" w:customStyle="1" w:styleId="342">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FF0000"/>
      <w:kern w:val="0"/>
      <w:sz w:val="23"/>
      <w:szCs w:val="23"/>
    </w:rPr>
  </w:style>
  <w:style w:type="paragraph" w:customStyle="1" w:styleId="343">
    <w:name w:val="xl41"/>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Arial Unicode MS" w:hAnsi="Arial Unicode MS" w:eastAsia="Arial Unicode MS" w:cs="Arial Unicode MS"/>
      <w:color w:val="000000"/>
      <w:kern w:val="0"/>
      <w:sz w:val="23"/>
      <w:szCs w:val="23"/>
    </w:rPr>
  </w:style>
  <w:style w:type="paragraph" w:customStyle="1" w:styleId="344">
    <w:name w:val=" Char Char Char1 Char Char Char"/>
    <w:basedOn w:val="1"/>
    <w:semiHidden/>
    <w:qFormat/>
    <w:uiPriority w:val="0"/>
  </w:style>
  <w:style w:type="paragraph" w:customStyle="1" w:styleId="345">
    <w:name w:val="font19"/>
    <w:basedOn w:val="1"/>
    <w:qFormat/>
    <w:uiPriority w:val="0"/>
    <w:pPr>
      <w:widowControl/>
      <w:spacing w:before="100" w:beforeAutospacing="1" w:after="100" w:afterAutospacing="1"/>
      <w:jc w:val="left"/>
    </w:pPr>
    <w:rPr>
      <w:rFonts w:ascii="Arial" w:hAnsi="Arial" w:eastAsia="Arial Unicode MS" w:cs="Arial"/>
      <w:color w:val="008080"/>
      <w:kern w:val="0"/>
      <w:sz w:val="23"/>
      <w:szCs w:val="23"/>
    </w:rPr>
  </w:style>
  <w:style w:type="paragraph" w:customStyle="1" w:styleId="346">
    <w:name w:val="CM9"/>
    <w:basedOn w:val="152"/>
    <w:next w:val="152"/>
    <w:qFormat/>
    <w:uiPriority w:val="0"/>
    <w:pPr>
      <w:spacing w:line="471" w:lineRule="atLeast"/>
    </w:pPr>
    <w:rPr>
      <w:rFonts w:cs="Times New Roman"/>
      <w:color w:val="auto"/>
    </w:rPr>
  </w:style>
  <w:style w:type="paragraph" w:customStyle="1" w:styleId="347">
    <w:name w:val="SL表内容"/>
    <w:basedOn w:val="1"/>
    <w:qFormat/>
    <w:uiPriority w:val="0"/>
    <w:pPr>
      <w:widowControl/>
    </w:pPr>
    <w:rPr>
      <w:rFonts w:ascii="仿宋_GB2312" w:hAnsi="宋体" w:eastAsia="仿宋_GB2312"/>
      <w:kern w:val="0"/>
      <w:szCs w:val="20"/>
    </w:rPr>
  </w:style>
  <w:style w:type="paragraph" w:customStyle="1" w:styleId="348">
    <w:name w:val="xl3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3"/>
      <w:szCs w:val="23"/>
    </w:rPr>
  </w:style>
  <w:style w:type="paragraph" w:customStyle="1" w:styleId="349">
    <w:name w:val="样式 标题 1 + 自动设置"/>
    <w:basedOn w:val="4"/>
    <w:qFormat/>
    <w:uiPriority w:val="0"/>
    <w:pPr>
      <w:keepNext/>
      <w:keepLines/>
      <w:tabs>
        <w:tab w:val="left" w:pos="700"/>
      </w:tabs>
      <w:snapToGrid/>
      <w:spacing w:before="120" w:beforeLines="0" w:after="60" w:afterLines="0" w:line="240" w:lineRule="auto"/>
      <w:jc w:val="left"/>
      <w:textAlignment w:val="auto"/>
    </w:pPr>
    <w:rPr>
      <w:rFonts w:ascii="Times New Roman" w:hAnsi="Times New Roman" w:eastAsia="宋体" w:cs="Times New Roman"/>
      <w:bCs w:val="0"/>
      <w:snapToGrid/>
      <w:kern w:val="44"/>
      <w:sz w:val="28"/>
      <w:szCs w:val="20"/>
    </w:rPr>
  </w:style>
  <w:style w:type="paragraph" w:customStyle="1" w:styleId="350">
    <w:name w:val="xl57"/>
    <w:basedOn w:val="1"/>
    <w:qFormat/>
    <w:uiPriority w:val="0"/>
    <w:pPr>
      <w:widowControl/>
      <w:pBdr>
        <w:top w:val="single" w:color="auto" w:sz="8" w:space="0"/>
        <w:left w:val="single" w:color="auto" w:sz="8" w:space="0"/>
        <w:bottom w:val="single" w:color="auto" w:sz="4" w:space="0"/>
      </w:pBdr>
      <w:spacing w:before="100" w:beforeAutospacing="1" w:after="100" w:afterAutospacing="1"/>
      <w:jc w:val="center"/>
    </w:pPr>
    <w:rPr>
      <w:rFonts w:ascii="Arial Unicode MS" w:hAnsi="Arial Unicode MS" w:eastAsia="Arial Unicode MS" w:cs="Arial Unicode MS"/>
      <w:kern w:val="0"/>
      <w:sz w:val="20"/>
      <w:szCs w:val="20"/>
    </w:rPr>
  </w:style>
  <w:style w:type="paragraph" w:customStyle="1" w:styleId="351">
    <w:name w:val="二级标题 Char Char Char"/>
    <w:basedOn w:val="1"/>
    <w:next w:val="1"/>
    <w:qFormat/>
    <w:uiPriority w:val="0"/>
    <w:pPr>
      <w:spacing w:line="529" w:lineRule="exact"/>
      <w:ind w:firstLine="200" w:firstLineChars="200"/>
    </w:pPr>
    <w:rPr>
      <w:rFonts w:ascii="宋体" w:hAnsi="宋体" w:cs="宋体"/>
      <w:sz w:val="24"/>
    </w:rPr>
  </w:style>
  <w:style w:type="paragraph" w:customStyle="1" w:styleId="352">
    <w:name w:val="文章总标题"/>
    <w:basedOn w:val="1"/>
    <w:next w:val="1"/>
    <w:semiHidden/>
    <w:qFormat/>
    <w:uiPriority w:val="0"/>
    <w:pPr>
      <w:widowControl/>
      <w:spacing w:before="566" w:after="544" w:line="566" w:lineRule="atLeast"/>
      <w:jc w:val="center"/>
      <w:textAlignment w:val="baseline"/>
    </w:pPr>
    <w:rPr>
      <w:rFonts w:ascii="Arial" w:eastAsia="黑体" w:cs="Arial"/>
      <w:bCs/>
      <w:color w:val="000000"/>
      <w:kern w:val="0"/>
      <w:sz w:val="54"/>
      <w:szCs w:val="54"/>
      <w:u w:val="none" w:color="000000"/>
    </w:rPr>
  </w:style>
  <w:style w:type="paragraph" w:customStyle="1" w:styleId="353">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354">
    <w:name w:val="标题三沈兰华"/>
    <w:basedOn w:val="6"/>
    <w:qFormat/>
    <w:uiPriority w:val="0"/>
    <w:pPr>
      <w:spacing w:line="240" w:lineRule="auto"/>
    </w:pPr>
    <w:rPr>
      <w:rFonts w:ascii="Times New Roman" w:hAnsi="Times New Roman" w:eastAsia="宋体" w:cs="Times New Roman"/>
      <w:bCs w:val="0"/>
      <w:snapToGrid/>
      <w:color w:val="auto"/>
      <w:kern w:val="2"/>
      <w:sz w:val="28"/>
      <w:szCs w:val="28"/>
    </w:rPr>
  </w:style>
  <w:style w:type="paragraph" w:customStyle="1" w:styleId="355">
    <w:name w:val="xl34"/>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3"/>
      <w:szCs w:val="23"/>
    </w:rPr>
  </w:style>
  <w:style w:type="paragraph" w:customStyle="1" w:styleId="356">
    <w:name w:val="font10"/>
    <w:basedOn w:val="1"/>
    <w:qFormat/>
    <w:uiPriority w:val="0"/>
    <w:pPr>
      <w:widowControl/>
      <w:spacing w:before="100" w:beforeAutospacing="1" w:after="100" w:afterAutospacing="1"/>
      <w:jc w:val="left"/>
    </w:pPr>
    <w:rPr>
      <w:rFonts w:ascii="Arial" w:hAnsi="Arial" w:eastAsia="Arial Unicode MS" w:cs="Arial"/>
      <w:kern w:val="0"/>
      <w:sz w:val="23"/>
      <w:szCs w:val="23"/>
    </w:rPr>
  </w:style>
  <w:style w:type="paragraph" w:customStyle="1" w:styleId="357">
    <w:name w:val="样式 标题 2 + Times New Roman 小三 居中 行距: 固定值 20 磅"/>
    <w:basedOn w:val="5"/>
    <w:semiHidden/>
    <w:qFormat/>
    <w:uiPriority w:val="0"/>
    <w:pPr>
      <w:widowControl/>
      <w:autoSpaceDE/>
      <w:autoSpaceDN/>
      <w:spacing w:before="260" w:after="260" w:line="400" w:lineRule="exact"/>
      <w:ind w:firstLine="538" w:firstLineChars="192"/>
      <w:textAlignment w:val="auto"/>
    </w:pPr>
    <w:rPr>
      <w:rFonts w:ascii="Times New Roman" w:hAnsi="Times New Roman" w:cs="宋体"/>
      <w:bCs w:val="0"/>
    </w:rPr>
  </w:style>
  <w:style w:type="paragraph" w:customStyle="1" w:styleId="358">
    <w:name w:val="表正文 Char1 Char"/>
    <w:basedOn w:val="1"/>
    <w:qFormat/>
    <w:uiPriority w:val="0"/>
    <w:pPr>
      <w:widowControl/>
      <w:spacing w:line="500" w:lineRule="exact"/>
      <w:ind w:firstLine="420"/>
      <w:jc w:val="left"/>
    </w:pPr>
    <w:rPr>
      <w:kern w:val="0"/>
      <w:sz w:val="28"/>
      <w:szCs w:val="20"/>
    </w:rPr>
  </w:style>
  <w:style w:type="paragraph" w:customStyle="1" w:styleId="359">
    <w:name w:val=" Char Char Char Char Char"/>
    <w:basedOn w:val="1"/>
    <w:semiHidden/>
    <w:qFormat/>
    <w:uiPriority w:val="0"/>
    <w:rPr>
      <w:rFonts w:ascii="宋体" w:hAnsi="Courier New" w:cs="Courier New"/>
      <w:szCs w:val="21"/>
    </w:rPr>
  </w:style>
  <w:style w:type="paragraph" w:customStyle="1" w:styleId="360">
    <w:name w:val="reader-word-layer reader-word-s11-5"/>
    <w:basedOn w:val="1"/>
    <w:qFormat/>
    <w:uiPriority w:val="0"/>
    <w:pPr>
      <w:widowControl/>
      <w:spacing w:before="100" w:beforeAutospacing="1" w:after="100" w:afterAutospacing="1"/>
      <w:jc w:val="left"/>
    </w:pPr>
    <w:rPr>
      <w:rFonts w:ascii="宋体" w:hAnsi="宋体" w:cs="宋体"/>
      <w:kern w:val="0"/>
      <w:sz w:val="24"/>
    </w:rPr>
  </w:style>
  <w:style w:type="paragraph" w:customStyle="1" w:styleId="361">
    <w:name w:val=" Char Char Char1 Char"/>
    <w:basedOn w:val="1"/>
    <w:semiHidden/>
    <w:qFormat/>
    <w:uiPriority w:val="0"/>
  </w:style>
  <w:style w:type="paragraph" w:customStyle="1" w:styleId="362">
    <w:name w:val="xl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3"/>
      <w:szCs w:val="23"/>
    </w:rPr>
  </w:style>
  <w:style w:type="paragraph" w:customStyle="1" w:styleId="363">
    <w:name w:val="title4"/>
    <w:basedOn w:val="1"/>
    <w:qFormat/>
    <w:uiPriority w:val="0"/>
    <w:pPr>
      <w:spacing w:beforeLines="50" w:line="480" w:lineRule="atLeast"/>
    </w:pPr>
    <w:rPr>
      <w:b/>
      <w:sz w:val="28"/>
    </w:rPr>
  </w:style>
  <w:style w:type="paragraph" w:customStyle="1" w:styleId="364">
    <w:name w:val="Char Char Char1 Char"/>
    <w:basedOn w:val="1"/>
    <w:semiHidden/>
    <w:qFormat/>
    <w:uiPriority w:val="0"/>
  </w:style>
  <w:style w:type="paragraph" w:customStyle="1" w:styleId="365">
    <w:name w:val="xl60"/>
    <w:basedOn w:val="1"/>
    <w:qFormat/>
    <w:uiPriority w:val="0"/>
    <w:pPr>
      <w:widowControl/>
      <w:pBdr>
        <w:top w:val="single" w:color="auto" w:sz="8" w:space="0"/>
        <w:left w:val="single" w:color="auto" w:sz="4" w:space="0"/>
        <w:bottom w:val="single" w:color="auto" w:sz="4" w:space="0"/>
        <w:right w:val="single" w:color="auto" w:sz="8" w:space="0"/>
      </w:pBdr>
      <w:spacing w:before="100" w:beforeAutospacing="1" w:after="100" w:afterAutospacing="1"/>
      <w:jc w:val="center"/>
    </w:pPr>
    <w:rPr>
      <w:rFonts w:eastAsia="Arial Unicode MS"/>
      <w:kern w:val="0"/>
      <w:sz w:val="20"/>
      <w:szCs w:val="20"/>
    </w:rPr>
  </w:style>
  <w:style w:type="paragraph" w:customStyle="1" w:styleId="366">
    <w:name w:val="CM2"/>
    <w:basedOn w:val="152"/>
    <w:next w:val="152"/>
    <w:qFormat/>
    <w:uiPriority w:val="0"/>
    <w:pPr>
      <w:spacing w:line="471" w:lineRule="atLeast"/>
    </w:pPr>
    <w:rPr>
      <w:rFonts w:cs="Times New Roman"/>
      <w:color w:val="auto"/>
    </w:rPr>
  </w:style>
  <w:style w:type="paragraph" w:customStyle="1" w:styleId="367">
    <w:name w:val="@节"/>
    <w:basedOn w:val="5"/>
    <w:qFormat/>
    <w:uiPriority w:val="0"/>
    <w:pPr>
      <w:tabs>
        <w:tab w:val="clear" w:pos="0"/>
      </w:tabs>
      <w:autoSpaceDE/>
      <w:autoSpaceDN/>
      <w:spacing w:before="260" w:beforeLines="70" w:after="260" w:afterLines="70" w:line="240" w:lineRule="auto"/>
      <w:ind w:left="0" w:firstLine="0"/>
      <w:jc w:val="both"/>
      <w:textAlignment w:val="auto"/>
    </w:pPr>
    <w:rPr>
      <w:rFonts w:ascii="宋体" w:hAnsi="宋体" w:eastAsia="宋体" w:cs="Times New Roman"/>
      <w:bCs w:val="0"/>
      <w:kern w:val="2"/>
      <w:sz w:val="32"/>
    </w:rPr>
  </w:style>
  <w:style w:type="paragraph" w:customStyle="1" w:styleId="368">
    <w:name w:val="font1"/>
    <w:basedOn w:val="1"/>
    <w:qFormat/>
    <w:uiPriority w:val="0"/>
    <w:pPr>
      <w:widowControl/>
      <w:spacing w:before="100" w:beforeAutospacing="1" w:after="100" w:afterAutospacing="1"/>
      <w:jc w:val="left"/>
    </w:pPr>
    <w:rPr>
      <w:rFonts w:hint="eastAsia" w:ascii="宋体" w:hAnsi="宋体" w:cs="Arial Unicode MS"/>
      <w:kern w:val="0"/>
      <w:sz w:val="24"/>
    </w:rPr>
  </w:style>
  <w:style w:type="paragraph" w:customStyle="1" w:styleId="369">
    <w:name w:val="xl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Arial" w:hAnsi="Arial" w:eastAsia="Arial Unicode MS" w:cs="Arial"/>
      <w:color w:val="000000"/>
      <w:kern w:val="0"/>
      <w:sz w:val="23"/>
      <w:szCs w:val="23"/>
    </w:rPr>
  </w:style>
  <w:style w:type="paragraph" w:customStyle="1" w:styleId="370">
    <w:name w:val="正文ldh"/>
    <w:basedOn w:val="1"/>
    <w:next w:val="1"/>
    <w:qFormat/>
    <w:uiPriority w:val="0"/>
    <w:pPr>
      <w:suppressAutoHyphens/>
      <w:topLinePunct/>
      <w:spacing w:line="360" w:lineRule="auto"/>
      <w:contextualSpacing/>
    </w:pPr>
    <w:rPr>
      <w:rFonts w:ascii="Calibri" w:hAnsi="Calibri" w:cs="宋体"/>
      <w:kern w:val="28"/>
      <w:sz w:val="28"/>
      <w:szCs w:val="28"/>
      <w:lang w:val="en-GB"/>
    </w:rPr>
  </w:style>
  <w:style w:type="paragraph" w:customStyle="1" w:styleId="371">
    <w:name w:val="表格数字"/>
    <w:qFormat/>
    <w:uiPriority w:val="0"/>
    <w:pPr>
      <w:jc w:val="center"/>
    </w:pPr>
    <w:rPr>
      <w:rFonts w:ascii="宋体" w:hAnsi="宋体" w:eastAsia="宋体" w:cs="Times New Roman"/>
      <w:sz w:val="21"/>
      <w:szCs w:val="21"/>
      <w:lang w:val="en-US" w:eastAsia="zh-CN" w:bidi="ar-SA"/>
    </w:rPr>
  </w:style>
  <w:style w:type="paragraph" w:customStyle="1" w:styleId="372">
    <w:name w:val="样式 标题 2 + Times New Roman 小三 居中"/>
    <w:basedOn w:val="5"/>
    <w:semiHidden/>
    <w:qFormat/>
    <w:uiPriority w:val="0"/>
    <w:pPr>
      <w:widowControl/>
      <w:autoSpaceDE/>
      <w:autoSpaceDN/>
      <w:spacing w:before="260" w:after="260" w:line="415" w:lineRule="auto"/>
      <w:ind w:firstLine="538" w:firstLineChars="192"/>
      <w:textAlignment w:val="auto"/>
    </w:pPr>
    <w:rPr>
      <w:rFonts w:ascii="Times New Roman" w:hAnsi="Times New Roman" w:cs="宋体"/>
      <w:bCs w:val="0"/>
    </w:rPr>
  </w:style>
  <w:style w:type="paragraph" w:customStyle="1" w:styleId="373">
    <w:name w:val="样式4"/>
    <w:basedOn w:val="1"/>
    <w:qFormat/>
    <w:uiPriority w:val="0"/>
    <w:pPr>
      <w:widowControl/>
      <w:tabs>
        <w:tab w:val="left" w:pos="425"/>
      </w:tabs>
      <w:ind w:left="425" w:hanging="425"/>
      <w:jc w:val="left"/>
    </w:pPr>
    <w:rPr>
      <w:kern w:val="0"/>
      <w:sz w:val="20"/>
      <w:szCs w:val="20"/>
    </w:rPr>
  </w:style>
  <w:style w:type="paragraph" w:customStyle="1" w:styleId="374">
    <w:name w:val="font17"/>
    <w:basedOn w:val="1"/>
    <w:qFormat/>
    <w:uiPriority w:val="0"/>
    <w:pPr>
      <w:widowControl/>
      <w:spacing w:before="100" w:beforeAutospacing="1" w:after="100" w:afterAutospacing="1"/>
      <w:jc w:val="left"/>
    </w:pPr>
    <w:rPr>
      <w:rFonts w:ascii="Arial" w:hAnsi="Arial" w:eastAsia="Arial Unicode MS" w:cs="Arial"/>
      <w:color w:val="FF00FF"/>
      <w:kern w:val="0"/>
      <w:sz w:val="23"/>
      <w:szCs w:val="23"/>
    </w:rPr>
  </w:style>
  <w:style w:type="paragraph" w:customStyle="1" w:styleId="375">
    <w:name w:val="xl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eastAsia="Arial Unicode MS" w:cs="Arial"/>
      <w:color w:val="000000"/>
      <w:kern w:val="0"/>
      <w:sz w:val="24"/>
    </w:rPr>
  </w:style>
  <w:style w:type="paragraph" w:customStyle="1" w:styleId="376">
    <w:name w:val="xl61"/>
    <w:basedOn w:val="1"/>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jc w:val="center"/>
    </w:pPr>
    <w:rPr>
      <w:rFonts w:eastAsia="Arial Unicode MS"/>
      <w:kern w:val="0"/>
      <w:sz w:val="20"/>
      <w:szCs w:val="20"/>
    </w:rPr>
  </w:style>
  <w:style w:type="paragraph" w:customStyle="1" w:styleId="377">
    <w:name w:val="标题 333"/>
    <w:basedOn w:val="1"/>
    <w:next w:val="1"/>
    <w:qFormat/>
    <w:uiPriority w:val="0"/>
    <w:pPr>
      <w:spacing w:before="120" w:beforeLines="50"/>
      <w:outlineLvl w:val="2"/>
    </w:pPr>
    <w:rPr>
      <w:b/>
      <w:kern w:val="12"/>
      <w:sz w:val="28"/>
      <w:szCs w:val="28"/>
    </w:rPr>
  </w:style>
  <w:style w:type="paragraph" w:customStyle="1" w:styleId="378">
    <w:name w:val="表格名称"/>
    <w:basedOn w:val="47"/>
    <w:qFormat/>
    <w:uiPriority w:val="0"/>
    <w:pPr>
      <w:tabs>
        <w:tab w:val="left" w:pos="3800"/>
        <w:tab w:val="left" w:pos="5200"/>
      </w:tabs>
      <w:autoSpaceDE w:val="0"/>
      <w:autoSpaceDN w:val="0"/>
      <w:adjustRightInd w:val="0"/>
      <w:spacing w:line="500" w:lineRule="exact"/>
      <w:jc w:val="center"/>
      <w:textAlignment w:val="baseline"/>
    </w:pPr>
    <w:rPr>
      <w:rFonts w:ascii="黑体" w:hAnsi="宋体" w:eastAsia="黑体" w:cs="Times New Roman"/>
      <w:bCs/>
      <w:snapToGrid w:val="0"/>
      <w:color w:val="000000"/>
      <w:kern w:val="28"/>
      <w:sz w:val="24"/>
      <w:szCs w:val="28"/>
    </w:rPr>
  </w:style>
  <w:style w:type="paragraph" w:customStyle="1" w:styleId="379">
    <w:name w:val="Char Char Char Char Char Char"/>
    <w:basedOn w:val="1"/>
    <w:semiHidden/>
    <w:qFormat/>
    <w:uiPriority w:val="0"/>
  </w:style>
  <w:style w:type="paragraph" w:customStyle="1" w:styleId="380">
    <w:name w:val="xl72"/>
    <w:basedOn w:val="1"/>
    <w:qFormat/>
    <w:uiPriority w:val="0"/>
    <w:pPr>
      <w:widowControl/>
      <w:pBdr>
        <w:top w:val="single" w:color="auto" w:sz="4" w:space="0"/>
        <w:left w:val="single" w:color="auto" w:sz="4" w:space="0"/>
        <w:right w:val="single" w:color="auto" w:sz="8" w:space="0"/>
      </w:pBdr>
      <w:spacing w:before="100" w:beforeAutospacing="1" w:after="100" w:afterAutospacing="1"/>
      <w:jc w:val="center"/>
    </w:pPr>
    <w:rPr>
      <w:rFonts w:eastAsia="Arial Unicode MS"/>
      <w:kern w:val="0"/>
      <w:sz w:val="20"/>
      <w:szCs w:val="20"/>
    </w:rPr>
  </w:style>
  <w:style w:type="paragraph" w:customStyle="1" w:styleId="381">
    <w:name w:val="样式 宋体 五号 加粗 居中 行距: 多倍行距 1.25 字行"/>
    <w:basedOn w:val="1"/>
    <w:qFormat/>
    <w:uiPriority w:val="0"/>
    <w:pPr>
      <w:spacing w:line="300" w:lineRule="auto"/>
      <w:jc w:val="center"/>
    </w:pPr>
    <w:rPr>
      <w:rFonts w:ascii="宋体" w:hAnsi="宋体"/>
      <w:b/>
      <w:bCs/>
      <w:szCs w:val="20"/>
    </w:rPr>
  </w:style>
  <w:style w:type="paragraph" w:customStyle="1" w:styleId="382">
    <w:name w:val="reader-word-layer reader-word-s2-14 reader-word-s2-20"/>
    <w:basedOn w:val="1"/>
    <w:qFormat/>
    <w:uiPriority w:val="0"/>
    <w:pPr>
      <w:widowControl/>
      <w:spacing w:before="100" w:beforeAutospacing="1" w:after="100" w:afterAutospacing="1"/>
      <w:jc w:val="left"/>
    </w:pPr>
    <w:rPr>
      <w:rFonts w:ascii="宋体" w:hAnsi="宋体" w:cs="宋体"/>
      <w:kern w:val="0"/>
      <w:sz w:val="24"/>
    </w:rPr>
  </w:style>
  <w:style w:type="paragraph" w:customStyle="1" w:styleId="383">
    <w:name w:val="xl75"/>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eastAsia="Arial Unicode MS"/>
      <w:kern w:val="0"/>
      <w:sz w:val="20"/>
      <w:szCs w:val="20"/>
    </w:rPr>
  </w:style>
  <w:style w:type="paragraph" w:customStyle="1" w:styleId="384">
    <w:name w:val=" Char Char Char1 Char1 Char Char Char Char Char Char Char Char Char Char Char Char Char Char"/>
    <w:basedOn w:val="1"/>
    <w:semiHidden/>
    <w:qFormat/>
    <w:uiPriority w:val="0"/>
  </w:style>
  <w:style w:type="paragraph" w:customStyle="1" w:styleId="385">
    <w:name w:val="正文居中"/>
    <w:basedOn w:val="1"/>
    <w:qFormat/>
    <w:uiPriority w:val="0"/>
    <w:pPr>
      <w:jc w:val="center"/>
    </w:pPr>
  </w:style>
  <w:style w:type="paragraph" w:customStyle="1" w:styleId="386">
    <w:name w:val="font18"/>
    <w:basedOn w:val="1"/>
    <w:qFormat/>
    <w:uiPriority w:val="0"/>
    <w:pPr>
      <w:widowControl/>
      <w:spacing w:before="100" w:beforeAutospacing="1" w:after="100" w:afterAutospacing="1"/>
      <w:jc w:val="left"/>
    </w:pPr>
    <w:rPr>
      <w:rFonts w:hint="eastAsia" w:ascii="宋体" w:hAnsi="宋体" w:cs="Arial Unicode MS"/>
      <w:color w:val="008080"/>
      <w:kern w:val="0"/>
      <w:sz w:val="23"/>
      <w:szCs w:val="23"/>
    </w:rPr>
  </w:style>
  <w:style w:type="paragraph" w:customStyle="1" w:styleId="387">
    <w:name w:val="p17"/>
    <w:basedOn w:val="1"/>
    <w:qFormat/>
    <w:uiPriority w:val="0"/>
    <w:pPr>
      <w:widowControl/>
      <w:spacing w:after="120"/>
    </w:pPr>
    <w:rPr>
      <w:rFonts w:ascii="Arial" w:hAnsi="Arial" w:cs="Arial"/>
      <w:kern w:val="0"/>
      <w:sz w:val="28"/>
      <w:szCs w:val="28"/>
    </w:rPr>
  </w:style>
  <w:style w:type="paragraph" w:customStyle="1" w:styleId="388">
    <w:name w:val="正文文字一"/>
    <w:basedOn w:val="1"/>
    <w:qFormat/>
    <w:uiPriority w:val="0"/>
    <w:pPr>
      <w:spacing w:line="520" w:lineRule="exact"/>
      <w:ind w:firstLine="567"/>
    </w:pPr>
    <w:rPr>
      <w:sz w:val="28"/>
    </w:rPr>
  </w:style>
  <w:style w:type="paragraph" w:customStyle="1" w:styleId="389">
    <w:name w:val="默认段落字体 Para Char"/>
    <w:basedOn w:val="1"/>
    <w:next w:val="1"/>
    <w:qFormat/>
    <w:uiPriority w:val="0"/>
    <w:pPr>
      <w:spacing w:line="360" w:lineRule="auto"/>
      <w:ind w:firstLine="200" w:firstLineChars="200"/>
    </w:pPr>
    <w:rPr>
      <w:rFonts w:ascii="宋体" w:hAnsi="宋体" w:cs="宋体"/>
      <w:sz w:val="24"/>
    </w:rPr>
  </w:style>
  <w:style w:type="paragraph" w:customStyle="1" w:styleId="390">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kern w:val="0"/>
      <w:sz w:val="22"/>
      <w:szCs w:val="22"/>
    </w:rPr>
  </w:style>
  <w:style w:type="paragraph" w:customStyle="1" w:styleId="391">
    <w:name w:val="Char Char Char Char Char Char Char Char Char Char Char Char Char Char Char Char Char Char Char Char Char Char Char Char Char Char Char Char Char Char Char Char Char Char Char Char Char Char Char Char Char Char Char Char Char Char"/>
    <w:basedOn w:val="1"/>
    <w:next w:val="1"/>
    <w:qFormat/>
    <w:uiPriority w:val="0"/>
    <w:pPr>
      <w:pBdr>
        <w:right w:val="single" w:color="auto" w:sz="12" w:space="4"/>
      </w:pBdr>
      <w:spacing w:line="360" w:lineRule="auto"/>
      <w:ind w:firstLine="200" w:firstLineChars="200"/>
    </w:pPr>
    <w:rPr>
      <w:rFonts w:ascii="宋体" w:hAnsi="宋体" w:cs="宋体"/>
      <w:sz w:val="24"/>
    </w:rPr>
  </w:style>
  <w:style w:type="paragraph" w:customStyle="1" w:styleId="392">
    <w:name w:val="xl38"/>
    <w:basedOn w:val="1"/>
    <w:qFormat/>
    <w:uiPriority w:val="0"/>
    <w:pPr>
      <w:widowControl/>
      <w:spacing w:before="100" w:beforeAutospacing="1" w:after="100" w:afterAutospacing="1"/>
      <w:jc w:val="left"/>
    </w:pPr>
    <w:rPr>
      <w:rFonts w:ascii="Arial Unicode MS" w:hAnsi="Arial Unicode MS" w:eastAsia="Arial Unicode MS" w:cs="Arial Unicode MS"/>
      <w:kern w:val="0"/>
      <w:sz w:val="23"/>
      <w:szCs w:val="23"/>
    </w:rPr>
  </w:style>
  <w:style w:type="paragraph" w:customStyle="1" w:styleId="393">
    <w:name w:val="_Style 391"/>
    <w:semiHidden/>
    <w:qFormat/>
    <w:uiPriority w:val="99"/>
    <w:rPr>
      <w:rFonts w:ascii="Times New Roman" w:hAnsi="Times New Roman" w:eastAsia="宋体" w:cs="Times New Roman"/>
      <w:kern w:val="2"/>
      <w:sz w:val="21"/>
      <w:szCs w:val="24"/>
      <w:lang w:val="en-US" w:eastAsia="zh-CN" w:bidi="ar-SA"/>
    </w:rPr>
  </w:style>
  <w:style w:type="paragraph" w:customStyle="1" w:styleId="394">
    <w:name w:val="font15"/>
    <w:basedOn w:val="1"/>
    <w:qFormat/>
    <w:uiPriority w:val="0"/>
    <w:pPr>
      <w:widowControl/>
      <w:spacing w:before="100" w:beforeAutospacing="1" w:after="100" w:afterAutospacing="1"/>
      <w:jc w:val="left"/>
    </w:pPr>
    <w:rPr>
      <w:rFonts w:hint="eastAsia" w:ascii="宋体" w:hAnsi="宋体" w:cs="Arial Unicode MS"/>
      <w:color w:val="FF00FF"/>
      <w:kern w:val="0"/>
      <w:sz w:val="23"/>
      <w:szCs w:val="23"/>
    </w:rPr>
  </w:style>
  <w:style w:type="paragraph" w:customStyle="1" w:styleId="395">
    <w:name w:val="样式 Arial 13 磅 行距: 固定值 25 磅"/>
    <w:basedOn w:val="1"/>
    <w:qFormat/>
    <w:uiPriority w:val="0"/>
    <w:pPr>
      <w:spacing w:line="500" w:lineRule="exact"/>
      <w:ind w:firstLine="200" w:firstLineChars="200"/>
    </w:pPr>
    <w:rPr>
      <w:rFonts w:ascii="Arial" w:hAnsi="Arial" w:cs="宋体"/>
      <w:sz w:val="26"/>
      <w:szCs w:val="20"/>
    </w:rPr>
  </w:style>
  <w:style w:type="paragraph" w:customStyle="1" w:styleId="396">
    <w:name w:val="样式 标题 3样式　标题 3　自动设置标题 3 Char章 + Times New 表题3"/>
    <w:basedOn w:val="6"/>
    <w:qFormat/>
    <w:uiPriority w:val="0"/>
    <w:pPr>
      <w:tabs>
        <w:tab w:val="left" w:pos="3800"/>
        <w:tab w:val="left" w:pos="5200"/>
      </w:tabs>
      <w:autoSpaceDE w:val="0"/>
      <w:autoSpaceDN w:val="0"/>
      <w:adjustRightInd w:val="0"/>
      <w:spacing w:before="120" w:after="120" w:line="240" w:lineRule="auto"/>
    </w:pPr>
    <w:rPr>
      <w:rFonts w:ascii="Times New Roman" w:hAnsi="Times New Roman" w:cs="宋体"/>
      <w:bCs w:val="0"/>
      <w:snapToGrid/>
      <w:kern w:val="2"/>
    </w:rPr>
  </w:style>
  <w:style w:type="paragraph" w:customStyle="1" w:styleId="397">
    <w:name w:val="样式2"/>
    <w:basedOn w:val="1"/>
    <w:qFormat/>
    <w:uiPriority w:val="0"/>
    <w:pPr>
      <w:keepNext/>
      <w:keepLines/>
      <w:autoSpaceDE w:val="0"/>
      <w:autoSpaceDN w:val="0"/>
      <w:spacing w:before="120" w:after="120" w:line="500" w:lineRule="exact"/>
      <w:jc w:val="left"/>
      <w:textAlignment w:val="bottom"/>
      <w:outlineLvl w:val="1"/>
    </w:pPr>
    <w:rPr>
      <w:rFonts w:ascii="Arial" w:hAnsi="Arial" w:cs="Arial"/>
      <w:b/>
      <w:bCs/>
      <w:kern w:val="0"/>
      <w:sz w:val="28"/>
      <w:szCs w:val="20"/>
    </w:rPr>
  </w:style>
  <w:style w:type="paragraph" w:customStyle="1" w:styleId="398">
    <w:name w:val="样式 标题 3 + 小三 非加粗 黑色"/>
    <w:basedOn w:val="6"/>
    <w:qFormat/>
    <w:uiPriority w:val="0"/>
    <w:pPr>
      <w:widowControl/>
      <w:spacing w:after="120" w:line="240" w:lineRule="auto"/>
      <w:ind w:left="105" w:firstLine="0"/>
      <w:jc w:val="left"/>
    </w:pPr>
    <w:rPr>
      <w:rFonts w:ascii="Times New Roman" w:hAnsi="Times New Roman" w:cs="Times New Roman"/>
      <w:snapToGrid/>
      <w:sz w:val="30"/>
      <w:szCs w:val="30"/>
    </w:rPr>
  </w:style>
  <w:style w:type="paragraph" w:customStyle="1" w:styleId="399">
    <w:name w:val=" Char Char Char1 Char Char Char Char Char Char Char Char Char Char Char Char Char"/>
    <w:basedOn w:val="1"/>
    <w:semiHidden/>
    <w:qFormat/>
    <w:uiPriority w:val="0"/>
  </w:style>
  <w:style w:type="paragraph" w:customStyle="1" w:styleId="400">
    <w:name w:val="reader-word-layer reader-word-s2-19"/>
    <w:basedOn w:val="1"/>
    <w:qFormat/>
    <w:uiPriority w:val="0"/>
    <w:pPr>
      <w:widowControl/>
      <w:spacing w:before="100" w:beforeAutospacing="1" w:after="100" w:afterAutospacing="1"/>
      <w:jc w:val="left"/>
    </w:pPr>
    <w:rPr>
      <w:rFonts w:ascii="宋体" w:hAnsi="宋体" w:cs="宋体"/>
      <w:kern w:val="0"/>
      <w:sz w:val="24"/>
    </w:rPr>
  </w:style>
  <w:style w:type="paragraph" w:customStyle="1" w:styleId="401">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402">
    <w:name w:val="font11"/>
    <w:basedOn w:val="1"/>
    <w:qFormat/>
    <w:uiPriority w:val="0"/>
    <w:pPr>
      <w:widowControl/>
      <w:spacing w:before="100" w:beforeAutospacing="1" w:after="100" w:afterAutospacing="1"/>
      <w:jc w:val="left"/>
    </w:pPr>
    <w:rPr>
      <w:rFonts w:hint="eastAsia" w:ascii="宋体" w:hAnsi="宋体" w:cs="Arial Unicode MS"/>
      <w:color w:val="FF0000"/>
      <w:kern w:val="0"/>
      <w:sz w:val="23"/>
      <w:szCs w:val="23"/>
    </w:rPr>
  </w:style>
  <w:style w:type="paragraph" w:customStyle="1" w:styleId="403">
    <w:name w:val="正文文字"/>
    <w:basedOn w:val="1"/>
    <w:semiHidden/>
    <w:qFormat/>
    <w:uiPriority w:val="0"/>
    <w:pPr>
      <w:widowControl/>
      <w:tabs>
        <w:tab w:val="left" w:pos="1332"/>
      </w:tabs>
      <w:spacing w:line="351" w:lineRule="atLeast"/>
      <w:ind w:firstLine="680"/>
      <w:textAlignment w:val="baseline"/>
    </w:pPr>
    <w:rPr>
      <w:bCs/>
      <w:color w:val="000000"/>
      <w:spacing w:val="5"/>
      <w:kern w:val="0"/>
      <w:szCs w:val="21"/>
      <w:u w:val="none" w:color="000000"/>
    </w:rPr>
  </w:style>
  <w:style w:type="paragraph" w:customStyle="1" w:styleId="404">
    <w:name w:val="xl69"/>
    <w:basedOn w:val="1"/>
    <w:qFormat/>
    <w:uiPriority w:val="0"/>
    <w:pPr>
      <w:widowControl/>
      <w:pBdr>
        <w:top w:val="single" w:color="auto" w:sz="4" w:space="0"/>
        <w:left w:val="single" w:color="auto" w:sz="8" w:space="0"/>
        <w:right w:val="single" w:color="auto" w:sz="4" w:space="0"/>
      </w:pBdr>
      <w:spacing w:before="100" w:beforeAutospacing="1" w:after="100" w:afterAutospacing="1"/>
      <w:jc w:val="center"/>
    </w:pPr>
    <w:rPr>
      <w:rFonts w:ascii="Arial Unicode MS" w:hAnsi="Arial Unicode MS" w:eastAsia="Arial Unicode MS" w:cs="Arial Unicode MS"/>
      <w:kern w:val="0"/>
      <w:sz w:val="20"/>
      <w:szCs w:val="20"/>
    </w:rPr>
  </w:style>
  <w:style w:type="paragraph" w:customStyle="1" w:styleId="405">
    <w:name w:val="Char"/>
    <w:basedOn w:val="1"/>
    <w:qFormat/>
    <w:uiPriority w:val="0"/>
  </w:style>
  <w:style w:type="paragraph" w:customStyle="1" w:styleId="406">
    <w:name w:val=" Char Char Char1 Char1 Char Char Char Char Char Char Char Char Char Char Char Char"/>
    <w:basedOn w:val="1"/>
    <w:semiHidden/>
    <w:qFormat/>
    <w:uiPriority w:val="0"/>
  </w:style>
  <w:style w:type="paragraph" w:customStyle="1" w:styleId="407">
    <w:name w:val="公正文"/>
    <w:basedOn w:val="7"/>
    <w:qFormat/>
    <w:uiPriority w:val="0"/>
    <w:pPr>
      <w:adjustRightInd w:val="0"/>
      <w:snapToGrid w:val="0"/>
      <w:spacing w:line="355" w:lineRule="auto"/>
      <w:ind w:firstLine="200"/>
    </w:pPr>
    <w:rPr>
      <w:rFonts w:ascii="宋体" w:hAnsi="宋体" w:eastAsia="仿宋_GB2312"/>
      <w:sz w:val="28"/>
      <w:szCs w:val="28"/>
    </w:rPr>
  </w:style>
  <w:style w:type="paragraph" w:customStyle="1" w:styleId="408">
    <w:name w:val="正文文字 2"/>
    <w:basedOn w:val="1"/>
    <w:qFormat/>
    <w:uiPriority w:val="0"/>
    <w:rPr>
      <w:rFonts w:ascii="宋体" w:cs="宋体"/>
      <w:color w:val="000000"/>
      <w:sz w:val="28"/>
      <w:szCs w:val="28"/>
    </w:rPr>
  </w:style>
  <w:style w:type="paragraph" w:customStyle="1" w:styleId="409">
    <w:name w:val="reader-word-layer reader-word-s2-22"/>
    <w:basedOn w:val="1"/>
    <w:qFormat/>
    <w:uiPriority w:val="0"/>
    <w:pPr>
      <w:widowControl/>
      <w:spacing w:before="100" w:beforeAutospacing="1" w:after="100" w:afterAutospacing="1"/>
      <w:jc w:val="left"/>
    </w:pPr>
    <w:rPr>
      <w:rFonts w:ascii="宋体" w:hAnsi="宋体" w:cs="宋体"/>
      <w:kern w:val="0"/>
      <w:sz w:val="24"/>
    </w:rPr>
  </w:style>
  <w:style w:type="paragraph" w:customStyle="1" w:styleId="410">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FF0000"/>
      <w:kern w:val="0"/>
      <w:sz w:val="18"/>
      <w:szCs w:val="18"/>
    </w:rPr>
  </w:style>
  <w:style w:type="paragraph" w:customStyle="1" w:styleId="411">
    <w:name w:val="p15"/>
    <w:basedOn w:val="1"/>
    <w:qFormat/>
    <w:uiPriority w:val="0"/>
    <w:pPr>
      <w:widowControl/>
      <w:jc w:val="center"/>
    </w:pPr>
    <w:rPr>
      <w:rFonts w:ascii="Arial" w:hAnsi="Arial" w:cs="Arial"/>
      <w:kern w:val="0"/>
      <w:szCs w:val="21"/>
    </w:rPr>
  </w:style>
  <w:style w:type="paragraph" w:customStyle="1" w:styleId="412">
    <w:name w:val=" Char Char Char Char Char Char1 Char Char Char Char"/>
    <w:basedOn w:val="1"/>
    <w:qFormat/>
    <w:uiPriority w:val="0"/>
    <w:rPr>
      <w:sz w:val="24"/>
    </w:rPr>
  </w:style>
  <w:style w:type="paragraph" w:customStyle="1" w:styleId="413">
    <w:name w:val="Char1"/>
    <w:basedOn w:val="1"/>
    <w:semiHidden/>
    <w:qFormat/>
    <w:uiPriority w:val="0"/>
  </w:style>
  <w:style w:type="paragraph" w:customStyle="1" w:styleId="414">
    <w:name w:val="4"/>
    <w:basedOn w:val="10"/>
    <w:qFormat/>
    <w:uiPriority w:val="0"/>
    <w:pPr>
      <w:tabs>
        <w:tab w:val="left" w:pos="1440"/>
      </w:tabs>
      <w:adjustRightInd/>
      <w:spacing w:line="320" w:lineRule="auto"/>
      <w:jc w:val="both"/>
      <w:textAlignment w:val="auto"/>
    </w:pPr>
    <w:rPr>
      <w:rFonts w:ascii="Calibri" w:hAnsi="Calibri" w:eastAsia="宋体"/>
      <w:bCs/>
      <w:szCs w:val="24"/>
      <w:lang w:eastAsia="en-US" w:bidi="en-US"/>
    </w:rPr>
  </w:style>
  <w:style w:type="paragraph" w:customStyle="1" w:styleId="415">
    <w:name w:val="reader-word-layer reader-word-s11-6"/>
    <w:basedOn w:val="1"/>
    <w:qFormat/>
    <w:uiPriority w:val="0"/>
    <w:pPr>
      <w:widowControl/>
      <w:spacing w:before="100" w:beforeAutospacing="1" w:after="100" w:afterAutospacing="1"/>
      <w:jc w:val="left"/>
    </w:pPr>
    <w:rPr>
      <w:rFonts w:ascii="宋体" w:hAnsi="宋体" w:cs="宋体"/>
      <w:kern w:val="0"/>
      <w:sz w:val="24"/>
    </w:rPr>
  </w:style>
  <w:style w:type="paragraph" w:customStyle="1" w:styleId="416">
    <w:name w:val="样式 标题 1 + (中文) 黑体 三号 居中 行距: 单倍行距"/>
    <w:basedOn w:val="4"/>
    <w:semiHidden/>
    <w:qFormat/>
    <w:uiPriority w:val="0"/>
    <w:pPr>
      <w:keepNext/>
      <w:keepLines/>
      <w:widowControl/>
      <w:topLinePunct/>
      <w:spacing w:before="340" w:beforeLines="0" w:after="330" w:afterLines="0" w:line="240" w:lineRule="auto"/>
      <w:ind w:firstLine="538" w:firstLineChars="224"/>
      <w:jc w:val="left"/>
      <w:textAlignment w:val="auto"/>
    </w:pPr>
    <w:rPr>
      <w:rFonts w:ascii="宋体" w:hAnsi="Times New Roman" w:cs="宋体"/>
      <w:b w:val="0"/>
      <w:kern w:val="44"/>
      <w:szCs w:val="20"/>
    </w:rPr>
  </w:style>
  <w:style w:type="paragraph" w:customStyle="1" w:styleId="417">
    <w:name w:val="正文文字缩进 31"/>
    <w:basedOn w:val="1"/>
    <w:next w:val="53"/>
    <w:semiHidden/>
    <w:qFormat/>
    <w:uiPriority w:val="0"/>
    <w:pPr>
      <w:spacing w:line="360" w:lineRule="auto"/>
      <w:ind w:firstLine="280" w:firstLineChars="100"/>
    </w:pPr>
    <w:rPr>
      <w:rFonts w:ascii="宋体" w:hAnsi="宋体" w:cs="宋体"/>
      <w:bCs/>
      <w:sz w:val="28"/>
      <w:szCs w:val="30"/>
    </w:rPr>
  </w:style>
  <w:style w:type="paragraph" w:customStyle="1" w:styleId="418">
    <w:name w:val="album-div"/>
    <w:basedOn w:val="1"/>
    <w:qFormat/>
    <w:uiPriority w:val="0"/>
    <w:pPr>
      <w:widowControl/>
      <w:spacing w:before="100" w:beforeAutospacing="1" w:after="100" w:afterAutospacing="1"/>
      <w:jc w:val="left"/>
    </w:pPr>
    <w:rPr>
      <w:rFonts w:ascii="宋体" w:hAnsi="宋体" w:cs="宋体"/>
      <w:kern w:val="0"/>
      <w:sz w:val="24"/>
    </w:rPr>
  </w:style>
  <w:style w:type="paragraph" w:customStyle="1" w:styleId="419">
    <w:name w:val="样式 宋体 四号 黑色 两端对齐 首行缩进:  2 字符1"/>
    <w:basedOn w:val="1"/>
    <w:qFormat/>
    <w:uiPriority w:val="0"/>
    <w:pPr>
      <w:widowControl/>
      <w:ind w:firstLine="560" w:firstLineChars="200"/>
    </w:pPr>
    <w:rPr>
      <w:rFonts w:cs="宋体"/>
      <w:color w:val="000000"/>
      <w:kern w:val="0"/>
      <w:sz w:val="28"/>
      <w:szCs w:val="28"/>
    </w:rPr>
  </w:style>
  <w:style w:type="paragraph" w:customStyle="1" w:styleId="420">
    <w:name w:val="_Style 16"/>
    <w:basedOn w:val="1"/>
    <w:qFormat/>
    <w:uiPriority w:val="0"/>
  </w:style>
  <w:style w:type="paragraph" w:customStyle="1" w:styleId="421">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2"/>
      <w:szCs w:val="22"/>
    </w:rPr>
  </w:style>
  <w:style w:type="paragraph" w:customStyle="1" w:styleId="422">
    <w:name w:val="reader-word-layer reader-word-s11-12"/>
    <w:basedOn w:val="1"/>
    <w:qFormat/>
    <w:uiPriority w:val="0"/>
    <w:pPr>
      <w:widowControl/>
      <w:spacing w:before="100" w:beforeAutospacing="1" w:after="100" w:afterAutospacing="1"/>
      <w:jc w:val="left"/>
    </w:pPr>
    <w:rPr>
      <w:rFonts w:ascii="宋体" w:hAnsi="宋体" w:cs="宋体"/>
      <w:kern w:val="0"/>
      <w:sz w:val="24"/>
    </w:rPr>
  </w:style>
  <w:style w:type="paragraph" w:customStyle="1" w:styleId="423">
    <w:name w:val="reader-word-layer reader-word-s12-5"/>
    <w:basedOn w:val="1"/>
    <w:qFormat/>
    <w:uiPriority w:val="0"/>
    <w:pPr>
      <w:widowControl/>
      <w:spacing w:before="100" w:beforeAutospacing="1" w:after="100" w:afterAutospacing="1"/>
      <w:jc w:val="left"/>
    </w:pPr>
    <w:rPr>
      <w:rFonts w:ascii="宋体" w:hAnsi="宋体" w:cs="宋体"/>
      <w:kern w:val="0"/>
      <w:sz w:val="24"/>
    </w:rPr>
  </w:style>
  <w:style w:type="paragraph" w:customStyle="1" w:styleId="424">
    <w:name w:val="xl23"/>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Arial Unicode MS" w:hAnsi="Arial Unicode MS" w:eastAsia="Arial Unicode MS" w:cs="Arial Unicode MS"/>
      <w:color w:val="000000"/>
      <w:kern w:val="0"/>
      <w:sz w:val="22"/>
      <w:szCs w:val="22"/>
    </w:rPr>
  </w:style>
  <w:style w:type="paragraph" w:customStyle="1" w:styleId="425">
    <w:name w:val="xl42"/>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Arial" w:hAnsi="Arial" w:eastAsia="Arial Unicode MS" w:cs="Arial"/>
      <w:color w:val="000000"/>
      <w:kern w:val="0"/>
      <w:sz w:val="23"/>
      <w:szCs w:val="23"/>
    </w:rPr>
  </w:style>
  <w:style w:type="paragraph" w:customStyle="1" w:styleId="426">
    <w:name w:val="xl67"/>
    <w:basedOn w:val="1"/>
    <w:qFormat/>
    <w:uiPriority w:val="0"/>
    <w:pPr>
      <w:widowControl/>
      <w:pBdr>
        <w:top w:val="single" w:color="auto" w:sz="8" w:space="0"/>
        <w:left w:val="single" w:color="auto" w:sz="4" w:space="0"/>
        <w:right w:val="single" w:color="auto" w:sz="8" w:space="0"/>
      </w:pBdr>
      <w:spacing w:before="100" w:beforeAutospacing="1" w:after="100" w:afterAutospacing="1"/>
      <w:jc w:val="center"/>
    </w:pPr>
    <w:rPr>
      <w:rFonts w:ascii="Arial Unicode MS" w:hAnsi="Arial Unicode MS" w:eastAsia="Arial Unicode MS" w:cs="Arial Unicode MS"/>
      <w:kern w:val="0"/>
      <w:sz w:val="20"/>
      <w:szCs w:val="20"/>
    </w:rPr>
  </w:style>
  <w:style w:type="paragraph" w:customStyle="1" w:styleId="427">
    <w:name w:val="样式 标题 1 + Times New Roman 加粗"/>
    <w:basedOn w:val="4"/>
    <w:qFormat/>
    <w:uiPriority w:val="0"/>
    <w:pPr>
      <w:spacing w:before="100" w:beforeAutospacing="1" w:after="320" w:line="240" w:lineRule="auto"/>
      <w:ind w:left="729" w:hanging="567"/>
      <w:jc w:val="left"/>
    </w:pPr>
    <w:rPr>
      <w:rFonts w:ascii="Times New Roman" w:hAnsi="Times New Roman" w:cs="Times New Roman"/>
      <w:snapToGrid/>
      <w:kern w:val="44"/>
      <w:sz w:val="44"/>
      <w:szCs w:val="44"/>
    </w:rPr>
  </w:style>
  <w:style w:type="paragraph" w:customStyle="1" w:styleId="428">
    <w:name w:val="font8"/>
    <w:basedOn w:val="1"/>
    <w:qFormat/>
    <w:uiPriority w:val="0"/>
    <w:pPr>
      <w:widowControl/>
      <w:spacing w:before="100" w:beforeAutospacing="1" w:after="100" w:afterAutospacing="1"/>
      <w:jc w:val="left"/>
    </w:pPr>
    <w:rPr>
      <w:rFonts w:ascii="Arial" w:hAnsi="Arial" w:eastAsia="Arial Unicode MS" w:cs="Arial"/>
      <w:kern w:val="0"/>
      <w:sz w:val="23"/>
      <w:szCs w:val="23"/>
    </w:rPr>
  </w:style>
  <w:style w:type="paragraph" w:customStyle="1" w:styleId="429">
    <w:name w:val="xl4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w:hAnsi="Arial" w:eastAsia="Arial Unicode MS" w:cs="Arial"/>
      <w:kern w:val="0"/>
      <w:szCs w:val="21"/>
    </w:rPr>
  </w:style>
  <w:style w:type="paragraph" w:customStyle="1" w:styleId="430">
    <w:name w:val="表内文字"/>
    <w:basedOn w:val="1"/>
    <w:qFormat/>
    <w:uiPriority w:val="0"/>
    <w:pPr>
      <w:spacing w:line="360" w:lineRule="exact"/>
      <w:jc w:val="center"/>
    </w:pPr>
    <w:rPr>
      <w:rFonts w:eastAsia="楷体_GB2312"/>
    </w:rPr>
  </w:style>
  <w:style w:type="paragraph" w:customStyle="1" w:styleId="431">
    <w:name w:val="reader-word-layer reader-word-s2-8 reader-word-s2-20"/>
    <w:basedOn w:val="1"/>
    <w:qFormat/>
    <w:uiPriority w:val="0"/>
    <w:pPr>
      <w:widowControl/>
      <w:spacing w:before="100" w:beforeAutospacing="1" w:after="100" w:afterAutospacing="1"/>
      <w:jc w:val="left"/>
    </w:pPr>
    <w:rPr>
      <w:rFonts w:ascii="宋体" w:hAnsi="宋体" w:cs="宋体"/>
      <w:kern w:val="0"/>
      <w:sz w:val="24"/>
    </w:rPr>
  </w:style>
  <w:style w:type="paragraph" w:customStyle="1" w:styleId="432">
    <w:name w:val="样式 标题 3 + 宋体 四号"/>
    <w:basedOn w:val="6"/>
    <w:qFormat/>
    <w:uiPriority w:val="99"/>
    <w:pPr>
      <w:tabs>
        <w:tab w:val="clear" w:pos="0"/>
      </w:tabs>
      <w:ind w:left="0" w:firstLine="630" w:firstLineChars="224"/>
    </w:pPr>
    <w:rPr>
      <w:rFonts w:ascii="宋体" w:hAnsi="宋体"/>
      <w:kern w:val="0"/>
    </w:rPr>
  </w:style>
  <w:style w:type="paragraph" w:customStyle="1" w:styleId="433">
    <w:name w:val="样式 样式 (中文) 黑体 加粗 + 首行缩进:  1.98 字符"/>
    <w:basedOn w:val="1"/>
    <w:qFormat/>
    <w:uiPriority w:val="0"/>
    <w:pPr>
      <w:adjustRightInd w:val="0"/>
      <w:spacing w:line="500" w:lineRule="exact"/>
      <w:ind w:firstLine="557" w:firstLineChars="198"/>
      <w:textAlignment w:val="baseline"/>
    </w:pPr>
    <w:rPr>
      <w:rFonts w:eastAsia="新宋体" w:cs="宋体"/>
      <w:b/>
      <w:bCs/>
      <w:sz w:val="28"/>
      <w:szCs w:val="28"/>
    </w:rPr>
  </w:style>
  <w:style w:type="paragraph" w:customStyle="1" w:styleId="434">
    <w:name w:val="1"/>
    <w:basedOn w:val="1"/>
    <w:qFormat/>
    <w:uiPriority w:val="0"/>
    <w:pPr>
      <w:spacing w:line="400" w:lineRule="exact"/>
      <w:ind w:firstLine="567"/>
    </w:pPr>
    <w:rPr>
      <w:rFonts w:ascii="宋体" w:hAnsi="宋体"/>
      <w:sz w:val="24"/>
      <w:szCs w:val="20"/>
    </w:rPr>
  </w:style>
  <w:style w:type="paragraph" w:customStyle="1" w:styleId="435">
    <w:name w:val="reader-word-layer reader-word-s12-2"/>
    <w:basedOn w:val="1"/>
    <w:qFormat/>
    <w:uiPriority w:val="0"/>
    <w:pPr>
      <w:widowControl/>
      <w:spacing w:before="100" w:beforeAutospacing="1" w:after="100" w:afterAutospacing="1"/>
      <w:jc w:val="left"/>
    </w:pPr>
    <w:rPr>
      <w:rFonts w:ascii="宋体" w:hAnsi="宋体" w:cs="宋体"/>
      <w:kern w:val="0"/>
      <w:sz w:val="24"/>
    </w:rPr>
  </w:style>
  <w:style w:type="paragraph" w:customStyle="1" w:styleId="436">
    <w:name w:val="Char Char Char Char"/>
    <w:basedOn w:val="1"/>
    <w:qFormat/>
    <w:uiPriority w:val="0"/>
  </w:style>
  <w:style w:type="paragraph" w:customStyle="1" w:styleId="437">
    <w:name w:val="样式 左侧:  0.85 厘米2"/>
    <w:basedOn w:val="1"/>
    <w:qFormat/>
    <w:uiPriority w:val="0"/>
    <w:pPr>
      <w:wordWrap w:val="0"/>
      <w:spacing w:line="360" w:lineRule="auto"/>
      <w:ind w:firstLine="200" w:firstLineChars="200"/>
      <w:jc w:val="left"/>
    </w:pPr>
    <w:rPr>
      <w:rFonts w:eastAsia="仿宋_GB2312" w:cs="宋体"/>
      <w:sz w:val="24"/>
      <w:szCs w:val="20"/>
    </w:rPr>
  </w:style>
  <w:style w:type="paragraph" w:customStyle="1" w:styleId="438">
    <w:name w:val=" Char Char Char Char Char Char Char Char Char Char Char Char Char Char Char Char Char Char Char Char Char Char Char Char Char Char Char Char Char Char Char Char Char Char Char Char Char Char Char Char Char Char Char Char Char Char Char Char1"/>
    <w:basedOn w:val="1"/>
    <w:next w:val="1"/>
    <w:qFormat/>
    <w:uiPriority w:val="0"/>
    <w:pPr>
      <w:pBdr>
        <w:right w:val="single" w:color="auto" w:sz="12" w:space="4"/>
      </w:pBdr>
      <w:spacing w:line="360" w:lineRule="auto"/>
      <w:ind w:firstLine="200" w:firstLineChars="200"/>
    </w:pPr>
    <w:rPr>
      <w:rFonts w:ascii="宋体" w:hAnsi="宋体" w:cs="宋体"/>
      <w:sz w:val="24"/>
    </w:rPr>
  </w:style>
  <w:style w:type="paragraph" w:customStyle="1" w:styleId="439">
    <w:name w:val="reader-word-layer reader-word-s2-9"/>
    <w:basedOn w:val="1"/>
    <w:qFormat/>
    <w:uiPriority w:val="0"/>
    <w:pPr>
      <w:widowControl/>
      <w:spacing w:before="100" w:beforeAutospacing="1" w:after="100" w:afterAutospacing="1"/>
      <w:jc w:val="left"/>
    </w:pPr>
    <w:rPr>
      <w:rFonts w:ascii="宋体" w:hAnsi="宋体" w:cs="宋体"/>
      <w:kern w:val="0"/>
      <w:sz w:val="24"/>
    </w:rPr>
  </w:style>
  <w:style w:type="paragraph" w:customStyle="1" w:styleId="440">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Cs w:val="21"/>
    </w:rPr>
  </w:style>
  <w:style w:type="paragraph" w:customStyle="1" w:styleId="441">
    <w:name w:val="纯文本1"/>
    <w:basedOn w:val="1"/>
    <w:qFormat/>
    <w:uiPriority w:val="0"/>
    <w:pPr>
      <w:adjustRightInd w:val="0"/>
      <w:jc w:val="left"/>
      <w:textAlignment w:val="baseline"/>
    </w:pPr>
    <w:rPr>
      <w:rFonts w:ascii="宋体"/>
      <w:kern w:val="0"/>
      <w:sz w:val="24"/>
      <w:szCs w:val="20"/>
    </w:rPr>
  </w:style>
  <w:style w:type="paragraph" w:customStyle="1" w:styleId="442">
    <w:name w:val="Char Char Char Char Char Char1 Char Char Char Char"/>
    <w:basedOn w:val="1"/>
    <w:qFormat/>
    <w:uiPriority w:val="0"/>
    <w:rPr>
      <w:sz w:val="24"/>
    </w:rPr>
  </w:style>
  <w:style w:type="paragraph" w:customStyle="1" w:styleId="443">
    <w:name w:val="Char Char Char Char Char Char Char"/>
    <w:basedOn w:val="1"/>
    <w:next w:val="1"/>
    <w:qFormat/>
    <w:uiPriority w:val="0"/>
    <w:pPr>
      <w:spacing w:line="360" w:lineRule="auto"/>
      <w:ind w:firstLine="200" w:firstLineChars="200"/>
    </w:pPr>
    <w:rPr>
      <w:rFonts w:ascii="宋体" w:hAnsi="宋体" w:cs="宋体"/>
      <w:sz w:val="24"/>
    </w:rPr>
  </w:style>
  <w:style w:type="paragraph" w:customStyle="1" w:styleId="444">
    <w:name w:val=" Char Char Char1 Char1 Char Char Char"/>
    <w:basedOn w:val="1"/>
    <w:semiHidden/>
    <w:qFormat/>
    <w:uiPriority w:val="0"/>
  </w:style>
  <w:style w:type="paragraph" w:customStyle="1" w:styleId="445">
    <w:name w:val="样式7"/>
    <w:basedOn w:val="1"/>
    <w:qFormat/>
    <w:uiPriority w:val="0"/>
    <w:pPr>
      <w:adjustRightInd w:val="0"/>
      <w:spacing w:line="360" w:lineRule="auto"/>
      <w:textAlignment w:val="baseline"/>
    </w:pPr>
    <w:rPr>
      <w:sz w:val="24"/>
    </w:rPr>
  </w:style>
  <w:style w:type="paragraph" w:customStyle="1" w:styleId="446">
    <w:name w:val="xl66"/>
    <w:basedOn w:val="1"/>
    <w:qFormat/>
    <w:uiPriority w:val="0"/>
    <w:pPr>
      <w:widowControl/>
      <w:pBdr>
        <w:top w:val="single" w:color="auto" w:sz="8" w:space="0"/>
        <w:left w:val="single" w:color="auto" w:sz="8" w:space="0"/>
        <w:right w:val="single" w:color="auto" w:sz="4" w:space="0"/>
      </w:pBdr>
      <w:spacing w:before="100" w:beforeAutospacing="1" w:after="100" w:afterAutospacing="1"/>
      <w:jc w:val="center"/>
    </w:pPr>
    <w:rPr>
      <w:rFonts w:ascii="Arial Unicode MS" w:hAnsi="Arial Unicode MS" w:eastAsia="Arial Unicode MS" w:cs="Arial Unicode MS"/>
      <w:kern w:val="0"/>
      <w:sz w:val="20"/>
      <w:szCs w:val="20"/>
    </w:rPr>
  </w:style>
  <w:style w:type="paragraph" w:customStyle="1" w:styleId="447">
    <w:name w:val="font9"/>
    <w:basedOn w:val="1"/>
    <w:qFormat/>
    <w:uiPriority w:val="0"/>
    <w:pPr>
      <w:widowControl/>
      <w:spacing w:before="100" w:beforeAutospacing="1" w:after="100" w:afterAutospacing="1"/>
      <w:jc w:val="left"/>
    </w:pPr>
    <w:rPr>
      <w:rFonts w:eastAsia="Arial Unicode MS"/>
      <w:kern w:val="0"/>
      <w:sz w:val="22"/>
      <w:szCs w:val="22"/>
    </w:rPr>
  </w:style>
  <w:style w:type="paragraph" w:customStyle="1" w:styleId="448">
    <w:name w:val="area"/>
    <w:basedOn w:val="1"/>
    <w:qFormat/>
    <w:uiPriority w:val="0"/>
    <w:pPr>
      <w:widowControl/>
      <w:spacing w:before="100" w:beforeAutospacing="1" w:after="100" w:afterAutospacing="1"/>
      <w:jc w:val="left"/>
    </w:pPr>
    <w:rPr>
      <w:rFonts w:ascii="宋体" w:hAnsi="宋体" w:cs="宋体"/>
      <w:kern w:val="0"/>
      <w:sz w:val="24"/>
    </w:rPr>
  </w:style>
  <w:style w:type="paragraph" w:customStyle="1" w:styleId="449">
    <w:name w:val="reader-word-layer reader-word-s2-24"/>
    <w:basedOn w:val="1"/>
    <w:qFormat/>
    <w:uiPriority w:val="0"/>
    <w:pPr>
      <w:widowControl/>
      <w:spacing w:before="100" w:beforeAutospacing="1" w:after="100" w:afterAutospacing="1"/>
      <w:jc w:val="left"/>
    </w:pPr>
    <w:rPr>
      <w:rFonts w:ascii="宋体" w:hAnsi="宋体" w:cs="宋体"/>
      <w:kern w:val="0"/>
      <w:sz w:val="24"/>
    </w:rPr>
  </w:style>
  <w:style w:type="paragraph" w:customStyle="1" w:styleId="450">
    <w:name w:val="样式 黑色 行距: 1.5 倍行距"/>
    <w:basedOn w:val="1"/>
    <w:qFormat/>
    <w:uiPriority w:val="0"/>
    <w:pPr>
      <w:spacing w:line="520" w:lineRule="exact"/>
      <w:ind w:firstLine="200" w:firstLineChars="200"/>
    </w:pPr>
    <w:rPr>
      <w:rFonts w:cs="宋体"/>
      <w:color w:val="000000"/>
      <w:sz w:val="28"/>
      <w:szCs w:val="20"/>
    </w:rPr>
  </w:style>
  <w:style w:type="paragraph" w:customStyle="1" w:styleId="451">
    <w:name w:val=" Char Char Char1 Char Char Char Char Char Char Char1 Char Char Char"/>
    <w:basedOn w:val="1"/>
    <w:semiHidden/>
    <w:qFormat/>
    <w:uiPriority w:val="0"/>
  </w:style>
  <w:style w:type="paragraph" w:customStyle="1" w:styleId="452">
    <w:name w:val="列出段落1"/>
    <w:basedOn w:val="1"/>
    <w:qFormat/>
    <w:uiPriority w:val="34"/>
    <w:pPr>
      <w:ind w:firstLine="420" w:firstLineChars="200"/>
    </w:pPr>
    <w:rPr>
      <w:rFonts w:ascii="Calibri" w:hAnsi="Calibri" w:eastAsia="宋体" w:cs="Times New Roman"/>
      <w:szCs w:val="22"/>
    </w:rPr>
  </w:style>
  <w:style w:type="paragraph" w:customStyle="1" w:styleId="453">
    <w:name w:val="font20"/>
    <w:basedOn w:val="1"/>
    <w:qFormat/>
    <w:uiPriority w:val="0"/>
    <w:pPr>
      <w:widowControl/>
      <w:spacing w:before="100" w:beforeAutospacing="1" w:after="100" w:afterAutospacing="1"/>
      <w:jc w:val="left"/>
    </w:pPr>
    <w:rPr>
      <w:rFonts w:ascii="Arial" w:hAnsi="Arial" w:eastAsia="Arial Unicode MS" w:cs="Arial"/>
      <w:color w:val="008080"/>
      <w:kern w:val="0"/>
      <w:sz w:val="23"/>
      <w:szCs w:val="23"/>
    </w:rPr>
  </w:style>
  <w:style w:type="paragraph" w:customStyle="1" w:styleId="454">
    <w:name w:val="xl7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0"/>
      <w:szCs w:val="20"/>
    </w:rPr>
  </w:style>
  <w:style w:type="paragraph" w:customStyle="1" w:styleId="455">
    <w:name w:val="_Style 453"/>
    <w:basedOn w:val="4"/>
    <w:next w:val="1"/>
    <w:qFormat/>
    <w:uiPriority w:val="39"/>
    <w:pPr>
      <w:keepNext/>
      <w:keepLines/>
      <w:widowControl/>
      <w:autoSpaceDE/>
      <w:autoSpaceDN/>
      <w:adjustRightInd/>
      <w:snapToGrid/>
      <w:spacing w:before="480" w:line="276" w:lineRule="auto"/>
      <w:jc w:val="left"/>
      <w:textAlignment w:val="auto"/>
      <w:outlineLvl w:val="9"/>
    </w:pPr>
    <w:rPr>
      <w:rFonts w:ascii="Cambria" w:hAnsi="Cambria" w:eastAsia="宋体" w:cs="Times New Roman"/>
      <w:b w:val="0"/>
      <w:bCs w:val="0"/>
      <w:snapToGrid/>
      <w:color w:val="365F91"/>
      <w:sz w:val="28"/>
      <w:szCs w:val="28"/>
    </w:rPr>
  </w:style>
  <w:style w:type="paragraph" w:customStyle="1" w:styleId="456">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top"/>
    </w:pPr>
    <w:rPr>
      <w:rFonts w:ascii="Arial" w:hAnsi="Arial" w:eastAsia="Arial Unicode MS" w:cs="Arial"/>
      <w:color w:val="000000"/>
      <w:kern w:val="0"/>
      <w:sz w:val="23"/>
      <w:szCs w:val="23"/>
    </w:rPr>
  </w:style>
  <w:style w:type="paragraph" w:customStyle="1" w:styleId="457">
    <w:name w:val="样式 Arial 居中"/>
    <w:basedOn w:val="1"/>
    <w:qFormat/>
    <w:uiPriority w:val="0"/>
    <w:pPr>
      <w:jc w:val="center"/>
    </w:pPr>
    <w:rPr>
      <w:rFonts w:ascii="Arial" w:hAnsi="Arial" w:cs="宋体"/>
      <w:kern w:val="0"/>
      <w:szCs w:val="20"/>
    </w:rPr>
  </w:style>
  <w:style w:type="paragraph" w:customStyle="1" w:styleId="458">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eastAsia="Arial Unicode MS" w:cs="Arial"/>
      <w:kern w:val="0"/>
      <w:szCs w:val="21"/>
    </w:rPr>
  </w:style>
  <w:style w:type="paragraph" w:customStyle="1" w:styleId="459">
    <w:name w:val="xl54"/>
    <w:basedOn w:val="1"/>
    <w:qFormat/>
    <w:uiPriority w:val="0"/>
    <w:pPr>
      <w:widowControl/>
      <w:pBdr>
        <w:top w:val="single" w:color="auto" w:sz="4" w:space="0"/>
        <w:bottom w:val="single" w:color="auto" w:sz="4" w:space="0"/>
        <w:right w:val="single" w:color="000000" w:sz="4" w:space="0"/>
      </w:pBdr>
      <w:spacing w:before="100" w:beforeAutospacing="1" w:after="100" w:afterAutospacing="1"/>
      <w:jc w:val="left"/>
    </w:pPr>
    <w:rPr>
      <w:rFonts w:hint="eastAsia" w:ascii="黑体" w:hAnsi="Arial Unicode MS" w:eastAsia="黑体"/>
      <w:b/>
      <w:bCs/>
      <w:kern w:val="0"/>
      <w:sz w:val="23"/>
      <w:szCs w:val="23"/>
    </w:rPr>
  </w:style>
  <w:style w:type="paragraph" w:customStyle="1" w:styleId="460">
    <w:name w:val="xl52"/>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3"/>
      <w:szCs w:val="23"/>
    </w:rPr>
  </w:style>
  <w:style w:type="paragraph" w:customStyle="1" w:styleId="461">
    <w:name w:val="reader-word-layer reader-word-s2-20"/>
    <w:basedOn w:val="1"/>
    <w:qFormat/>
    <w:uiPriority w:val="0"/>
    <w:pPr>
      <w:widowControl/>
      <w:spacing w:before="100" w:beforeAutospacing="1" w:after="100" w:afterAutospacing="1"/>
      <w:jc w:val="left"/>
    </w:pPr>
    <w:rPr>
      <w:rFonts w:ascii="宋体" w:hAnsi="宋体" w:cs="宋体"/>
      <w:kern w:val="0"/>
      <w:sz w:val="24"/>
    </w:rPr>
  </w:style>
  <w:style w:type="paragraph" w:customStyle="1" w:styleId="462">
    <w:name w:val="xl56"/>
    <w:basedOn w:val="1"/>
    <w:qFormat/>
    <w:uiPriority w:val="0"/>
    <w:pPr>
      <w:widowControl/>
      <w:pBdr>
        <w:top w:val="single" w:color="auto" w:sz="4" w:space="0"/>
        <w:bottom w:val="single" w:color="auto" w:sz="8" w:space="0"/>
        <w:right w:val="single" w:color="auto" w:sz="4" w:space="0"/>
      </w:pBdr>
      <w:spacing w:before="100" w:beforeAutospacing="1" w:after="100" w:afterAutospacing="1"/>
      <w:jc w:val="center"/>
    </w:pPr>
    <w:rPr>
      <w:rFonts w:ascii="Arial Unicode MS" w:hAnsi="Arial Unicode MS" w:eastAsia="Arial Unicode MS" w:cs="Arial Unicode MS"/>
      <w:kern w:val="0"/>
      <w:sz w:val="20"/>
      <w:szCs w:val="20"/>
    </w:rPr>
  </w:style>
  <w:style w:type="paragraph" w:customStyle="1" w:styleId="463">
    <w:name w:val="xl74"/>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jc w:val="center"/>
    </w:pPr>
    <w:rPr>
      <w:rFonts w:eastAsia="Arial Unicode MS"/>
      <w:kern w:val="0"/>
      <w:sz w:val="20"/>
      <w:szCs w:val="20"/>
    </w:rPr>
  </w:style>
  <w:style w:type="paragraph" w:customStyle="1" w:styleId="464">
    <w:name w:val="xl65"/>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0"/>
      <w:szCs w:val="20"/>
    </w:rPr>
  </w:style>
  <w:style w:type="paragraph" w:customStyle="1" w:styleId="465">
    <w:name w:val="font16"/>
    <w:basedOn w:val="1"/>
    <w:qFormat/>
    <w:uiPriority w:val="0"/>
    <w:pPr>
      <w:widowControl/>
      <w:spacing w:before="100" w:beforeAutospacing="1" w:after="100" w:afterAutospacing="1"/>
      <w:jc w:val="left"/>
    </w:pPr>
    <w:rPr>
      <w:rFonts w:ascii="Arial" w:hAnsi="Arial" w:eastAsia="Arial Unicode MS" w:cs="Arial"/>
      <w:color w:val="FF00FF"/>
      <w:kern w:val="0"/>
      <w:sz w:val="23"/>
      <w:szCs w:val="23"/>
    </w:rPr>
  </w:style>
  <w:style w:type="paragraph" w:customStyle="1" w:styleId="466">
    <w:name w:val="hb3"/>
    <w:basedOn w:val="6"/>
    <w:qFormat/>
    <w:uiPriority w:val="0"/>
    <w:pPr>
      <w:adjustRightInd w:val="0"/>
      <w:spacing w:before="260" w:after="260" w:line="500" w:lineRule="exact"/>
      <w:jc w:val="left"/>
      <w:textAlignment w:val="baseline"/>
    </w:pPr>
    <w:rPr>
      <w:rFonts w:ascii="Times New Roman" w:hAnsi="Times New Roman" w:cs="Times New Roman"/>
      <w:snapToGrid/>
      <w:kern w:val="2"/>
    </w:rPr>
  </w:style>
  <w:style w:type="paragraph" w:customStyle="1" w:styleId="467">
    <w:name w:val="xl64"/>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0"/>
      <w:szCs w:val="20"/>
    </w:rPr>
  </w:style>
  <w:style w:type="paragraph" w:customStyle="1" w:styleId="468">
    <w:name w:val="标题 2节标题 1.1"/>
    <w:basedOn w:val="5"/>
    <w:qFormat/>
    <w:uiPriority w:val="0"/>
    <w:pPr>
      <w:spacing w:line="480" w:lineRule="exact"/>
    </w:pPr>
    <w:rPr>
      <w:rFonts w:cs="宋体"/>
    </w:rPr>
  </w:style>
  <w:style w:type="paragraph" w:customStyle="1" w:styleId="469">
    <w:name w:val=" Char Char Char Char Char Char Char"/>
    <w:basedOn w:val="1"/>
    <w:qFormat/>
    <w:uiPriority w:val="0"/>
  </w:style>
  <w:style w:type="paragraph" w:customStyle="1" w:styleId="470">
    <w:name w:val="xl59"/>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pPr>
    <w:rPr>
      <w:rFonts w:eastAsia="Arial Unicode MS"/>
      <w:kern w:val="0"/>
      <w:sz w:val="20"/>
      <w:szCs w:val="20"/>
    </w:rPr>
  </w:style>
  <w:style w:type="paragraph" w:customStyle="1" w:styleId="471">
    <w:name w:val=" Char Char Char Char Char Char Char Char Char"/>
    <w:basedOn w:val="1"/>
    <w:qFormat/>
    <w:uiPriority w:val="0"/>
    <w:pPr>
      <w:spacing w:line="360" w:lineRule="auto"/>
      <w:ind w:firstLine="200" w:firstLineChars="200"/>
    </w:pPr>
    <w:rPr>
      <w:rFonts w:ascii="宋体" w:hAnsi="宋体" w:cs="宋体"/>
      <w:sz w:val="24"/>
    </w:rPr>
  </w:style>
  <w:style w:type="paragraph" w:customStyle="1" w:styleId="472">
    <w:name w:val="默认段落字体 Para Char Char Char Char Char Char Char Char"/>
    <w:basedOn w:val="1"/>
    <w:qFormat/>
    <w:uiPriority w:val="0"/>
    <w:pPr>
      <w:spacing w:line="360" w:lineRule="auto"/>
      <w:ind w:firstLine="200" w:firstLineChars="200"/>
    </w:pPr>
    <w:rPr>
      <w:szCs w:val="20"/>
    </w:rPr>
  </w:style>
  <w:style w:type="paragraph" w:customStyle="1" w:styleId="473">
    <w:name w:val="reader-word-layer reader-word-s2-10"/>
    <w:basedOn w:val="1"/>
    <w:qFormat/>
    <w:uiPriority w:val="0"/>
    <w:pPr>
      <w:widowControl/>
      <w:spacing w:before="100" w:beforeAutospacing="1" w:after="100" w:afterAutospacing="1"/>
      <w:jc w:val="left"/>
    </w:pPr>
    <w:rPr>
      <w:rFonts w:ascii="宋体" w:hAnsi="宋体" w:cs="宋体"/>
      <w:kern w:val="0"/>
      <w:sz w:val="24"/>
    </w:rPr>
  </w:style>
  <w:style w:type="paragraph" w:customStyle="1" w:styleId="474">
    <w:name w:val="xl63"/>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ascii="Arial Unicode MS" w:hAnsi="Arial Unicode MS" w:eastAsia="Arial Unicode MS" w:cs="Arial Unicode MS"/>
      <w:kern w:val="0"/>
      <w:sz w:val="20"/>
      <w:szCs w:val="20"/>
    </w:rPr>
  </w:style>
  <w:style w:type="paragraph" w:customStyle="1" w:styleId="475">
    <w:name w:val="样式 标题 1 + 黑体 三号"/>
    <w:basedOn w:val="4"/>
    <w:semiHidden/>
    <w:qFormat/>
    <w:uiPriority w:val="0"/>
    <w:pPr>
      <w:keepNext/>
      <w:keepLines/>
      <w:widowControl/>
      <w:topLinePunct/>
      <w:spacing w:before="340" w:beforeLines="0" w:after="330" w:afterLines="0" w:line="240" w:lineRule="auto"/>
      <w:ind w:firstLine="538" w:firstLineChars="224"/>
      <w:textAlignment w:val="auto"/>
    </w:pPr>
    <w:rPr>
      <w:rFonts w:ascii="黑体" w:hAnsi="黑体" w:cs="Times New Roman"/>
      <w:b w:val="0"/>
      <w:kern w:val="44"/>
      <w:szCs w:val="44"/>
    </w:rPr>
  </w:style>
  <w:style w:type="paragraph" w:customStyle="1" w:styleId="476">
    <w:name w:val="reader-word-layer reader-word-s11-5 reader-word-s11-15"/>
    <w:basedOn w:val="1"/>
    <w:qFormat/>
    <w:uiPriority w:val="0"/>
    <w:pPr>
      <w:widowControl/>
      <w:spacing w:before="100" w:beforeAutospacing="1" w:after="100" w:afterAutospacing="1"/>
      <w:jc w:val="left"/>
    </w:pPr>
    <w:rPr>
      <w:rFonts w:ascii="宋体" w:hAnsi="宋体" w:cs="宋体"/>
      <w:kern w:val="0"/>
      <w:sz w:val="24"/>
    </w:rPr>
  </w:style>
  <w:style w:type="paragraph" w:customStyle="1" w:styleId="477">
    <w:name w:val="font13"/>
    <w:basedOn w:val="1"/>
    <w:qFormat/>
    <w:uiPriority w:val="0"/>
    <w:pPr>
      <w:widowControl/>
      <w:spacing w:before="100" w:beforeAutospacing="1" w:after="100" w:afterAutospacing="1"/>
      <w:jc w:val="left"/>
    </w:pPr>
    <w:rPr>
      <w:rFonts w:ascii="Arial" w:hAnsi="Arial" w:eastAsia="Arial Unicode MS" w:cs="Arial"/>
      <w:color w:val="FF0000"/>
      <w:kern w:val="0"/>
      <w:sz w:val="23"/>
      <w:szCs w:val="23"/>
    </w:rPr>
  </w:style>
  <w:style w:type="paragraph" w:customStyle="1" w:styleId="478">
    <w:name w:val="样式 标题 2 + Times New Roman"/>
    <w:basedOn w:val="5"/>
    <w:semiHidden/>
    <w:qFormat/>
    <w:uiPriority w:val="0"/>
    <w:pPr>
      <w:widowControl/>
      <w:autoSpaceDE/>
      <w:autoSpaceDN/>
      <w:spacing w:before="260" w:after="260" w:line="415" w:lineRule="auto"/>
      <w:ind w:firstLine="538" w:firstLineChars="192"/>
      <w:textAlignment w:val="auto"/>
    </w:pPr>
    <w:rPr>
      <w:rFonts w:ascii="Times New Roman" w:hAnsi="Times New Roman" w:cs="Times New Roman"/>
      <w:bCs w:val="0"/>
      <w:sz w:val="32"/>
      <w:szCs w:val="32"/>
    </w:rPr>
  </w:style>
  <w:style w:type="paragraph" w:customStyle="1" w:styleId="479">
    <w:name w:val="reader-word-layer reader-word-s2-12 reader-word-s2-20"/>
    <w:basedOn w:val="1"/>
    <w:qFormat/>
    <w:uiPriority w:val="0"/>
    <w:pPr>
      <w:widowControl/>
      <w:spacing w:before="100" w:beforeAutospacing="1" w:after="100" w:afterAutospacing="1"/>
      <w:jc w:val="left"/>
    </w:pPr>
    <w:rPr>
      <w:rFonts w:ascii="宋体" w:hAnsi="宋体" w:cs="宋体"/>
      <w:kern w:val="0"/>
      <w:sz w:val="24"/>
    </w:rPr>
  </w:style>
  <w:style w:type="paragraph" w:customStyle="1" w:styleId="480">
    <w:name w:val="reader-word-layer reader-word-s2-15 reader-word-s2-20"/>
    <w:basedOn w:val="1"/>
    <w:qFormat/>
    <w:uiPriority w:val="0"/>
    <w:pPr>
      <w:widowControl/>
      <w:spacing w:before="100" w:beforeAutospacing="1" w:after="100" w:afterAutospacing="1"/>
      <w:jc w:val="left"/>
    </w:pPr>
    <w:rPr>
      <w:rFonts w:ascii="宋体" w:hAnsi="宋体" w:cs="宋体"/>
      <w:kern w:val="0"/>
      <w:sz w:val="24"/>
    </w:rPr>
  </w:style>
  <w:style w:type="paragraph" w:customStyle="1" w:styleId="481">
    <w:name w:val="reader-word-layer reader-word-s11-17"/>
    <w:basedOn w:val="1"/>
    <w:qFormat/>
    <w:uiPriority w:val="0"/>
    <w:pPr>
      <w:widowControl/>
      <w:spacing w:before="100" w:beforeAutospacing="1" w:after="100" w:afterAutospacing="1"/>
      <w:jc w:val="left"/>
    </w:pPr>
    <w:rPr>
      <w:rFonts w:ascii="宋体" w:hAnsi="宋体" w:cs="宋体"/>
      <w:kern w:val="0"/>
      <w:sz w:val="24"/>
    </w:rPr>
  </w:style>
  <w:style w:type="paragraph" w:customStyle="1" w:styleId="482">
    <w:name w:val="zyy样式 Char Char Char"/>
    <w:basedOn w:val="1"/>
    <w:semiHidden/>
    <w:qFormat/>
    <w:uiPriority w:val="0"/>
    <w:pPr>
      <w:spacing w:before="120" w:beforeLines="50" w:after="120" w:afterLines="50" w:line="360" w:lineRule="auto"/>
      <w:ind w:firstLine="536" w:firstLineChars="200"/>
    </w:pPr>
    <w:rPr>
      <w:rFonts w:ascii="宋体" w:hAnsi="宋体" w:cs="宋体"/>
      <w:kern w:val="0"/>
      <w:sz w:val="24"/>
      <w:szCs w:val="28"/>
    </w:rPr>
  </w:style>
  <w:style w:type="paragraph" w:customStyle="1" w:styleId="483">
    <w:name w:val="默认段落字体 Para Char Char Char Char"/>
    <w:basedOn w:val="1"/>
    <w:qFormat/>
    <w:uiPriority w:val="0"/>
  </w:style>
  <w:style w:type="paragraph" w:customStyle="1" w:styleId="484">
    <w:name w:val="reader-word-layer reader-word-s11-10"/>
    <w:basedOn w:val="1"/>
    <w:qFormat/>
    <w:uiPriority w:val="0"/>
    <w:pPr>
      <w:widowControl/>
      <w:spacing w:before="100" w:beforeAutospacing="1" w:after="100" w:afterAutospacing="1"/>
      <w:jc w:val="left"/>
    </w:pPr>
    <w:rPr>
      <w:rFonts w:ascii="宋体" w:hAnsi="宋体" w:cs="宋体"/>
      <w:kern w:val="0"/>
      <w:sz w:val="24"/>
    </w:rPr>
  </w:style>
  <w:style w:type="paragraph" w:customStyle="1" w:styleId="485">
    <w:name w:val="xl46"/>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color w:val="000000"/>
      <w:kern w:val="0"/>
      <w:sz w:val="23"/>
      <w:szCs w:val="23"/>
    </w:rPr>
  </w:style>
  <w:style w:type="paragraph" w:customStyle="1" w:styleId="486">
    <w:name w:val="xl36"/>
    <w:basedOn w:val="1"/>
    <w:qFormat/>
    <w:uiPriority w:val="0"/>
    <w:pPr>
      <w:widowControl/>
      <w:pBdr>
        <w:left w:val="single" w:color="auto" w:sz="4" w:space="0"/>
      </w:pBdr>
      <w:spacing w:before="100" w:beforeAutospacing="1" w:after="100" w:afterAutospacing="1"/>
      <w:jc w:val="center"/>
    </w:pPr>
    <w:rPr>
      <w:rFonts w:ascii="Arial Unicode MS" w:hAnsi="Arial Unicode MS" w:eastAsia="Arial Unicode MS" w:cs="Arial Unicode MS"/>
      <w:kern w:val="0"/>
      <w:sz w:val="23"/>
      <w:szCs w:val="23"/>
    </w:rPr>
  </w:style>
  <w:style w:type="paragraph" w:customStyle="1" w:styleId="487">
    <w:name w:val=" Char Char7"/>
    <w:basedOn w:val="1"/>
    <w:semiHidden/>
    <w:qFormat/>
    <w:uiPriority w:val="0"/>
    <w:pPr>
      <w:adjustRightInd w:val="0"/>
      <w:snapToGrid w:val="0"/>
      <w:spacing w:line="360" w:lineRule="auto"/>
      <w:ind w:firstLine="200" w:firstLineChars="200"/>
    </w:pPr>
    <w:rPr>
      <w:rFonts w:ascii="宋体" w:hAnsi="宋体" w:cs="宋体"/>
      <w:sz w:val="24"/>
      <w:szCs w:val="26"/>
    </w:rPr>
  </w:style>
  <w:style w:type="paragraph" w:customStyle="1" w:styleId="488">
    <w:name w:val="xl47"/>
    <w:basedOn w:val="1"/>
    <w:qFormat/>
    <w:uiPriority w:val="0"/>
    <w:pPr>
      <w:widowControl/>
      <w:pBdr>
        <w:top w:val="single" w:color="auto" w:sz="4" w:space="0"/>
        <w:bottom w:val="single" w:color="auto" w:sz="4" w:space="0"/>
      </w:pBdr>
      <w:spacing w:before="100" w:beforeAutospacing="1" w:after="100" w:afterAutospacing="1"/>
      <w:jc w:val="left"/>
    </w:pPr>
    <w:rPr>
      <w:rFonts w:ascii="Arial" w:hAnsi="Arial" w:eastAsia="Arial Unicode MS" w:cs="Arial"/>
      <w:color w:val="000000"/>
      <w:kern w:val="0"/>
      <w:sz w:val="23"/>
      <w:szCs w:val="23"/>
    </w:rPr>
  </w:style>
  <w:style w:type="paragraph" w:customStyle="1" w:styleId="489">
    <w:name w:val="王勇"/>
    <w:basedOn w:val="1"/>
    <w:qFormat/>
    <w:uiPriority w:val="0"/>
    <w:pPr>
      <w:spacing w:line="360" w:lineRule="auto"/>
      <w:ind w:firstLine="200" w:firstLineChars="200"/>
    </w:pPr>
    <w:rPr>
      <w:kern w:val="24"/>
      <w:sz w:val="24"/>
    </w:rPr>
  </w:style>
  <w:style w:type="paragraph" w:customStyle="1" w:styleId="490">
    <w:name w:val="S表格"/>
    <w:basedOn w:val="1"/>
    <w:qFormat/>
    <w:uiPriority w:val="0"/>
    <w:pPr>
      <w:spacing w:before="240" w:line="360" w:lineRule="auto"/>
      <w:outlineLvl w:val="2"/>
    </w:pPr>
    <w:rPr>
      <w:bCs/>
      <w:sz w:val="24"/>
    </w:rPr>
  </w:style>
  <w:style w:type="paragraph" w:customStyle="1" w:styleId="491">
    <w:name w:val="font12"/>
    <w:basedOn w:val="1"/>
    <w:qFormat/>
    <w:uiPriority w:val="0"/>
    <w:pPr>
      <w:widowControl/>
      <w:spacing w:before="100" w:beforeAutospacing="1" w:after="100" w:afterAutospacing="1"/>
      <w:jc w:val="left"/>
    </w:pPr>
    <w:rPr>
      <w:rFonts w:ascii="Arial" w:hAnsi="Arial" w:eastAsia="Arial Unicode MS" w:cs="Arial"/>
      <w:color w:val="FF0000"/>
      <w:kern w:val="0"/>
      <w:sz w:val="23"/>
      <w:szCs w:val="23"/>
    </w:rPr>
  </w:style>
  <w:style w:type="paragraph" w:customStyle="1" w:styleId="492">
    <w:name w:val="标题二"/>
    <w:basedOn w:val="1"/>
    <w:next w:val="1"/>
    <w:qFormat/>
    <w:uiPriority w:val="0"/>
    <w:pPr>
      <w:spacing w:line="360" w:lineRule="auto"/>
      <w:jc w:val="left"/>
      <w:outlineLvl w:val="1"/>
    </w:pPr>
    <w:rPr>
      <w:b/>
      <w:sz w:val="30"/>
      <w:szCs w:val="30"/>
    </w:rPr>
  </w:style>
  <w:style w:type="paragraph" w:customStyle="1" w:styleId="493">
    <w:name w:val="xl68"/>
    <w:basedOn w:val="1"/>
    <w:qFormat/>
    <w:uiPriority w:val="0"/>
    <w:pPr>
      <w:widowControl/>
      <w:pBdr>
        <w:top w:val="single" w:color="auto" w:sz="8" w:space="0"/>
        <w:left w:val="single" w:color="auto" w:sz="8" w:space="0"/>
      </w:pBdr>
      <w:spacing w:before="100" w:beforeAutospacing="1" w:after="100" w:afterAutospacing="1"/>
      <w:jc w:val="center"/>
    </w:pPr>
    <w:rPr>
      <w:rFonts w:ascii="Arial Unicode MS" w:hAnsi="Arial Unicode MS" w:eastAsia="Arial Unicode MS" w:cs="Arial Unicode MS"/>
      <w:kern w:val="0"/>
      <w:sz w:val="20"/>
      <w:szCs w:val="20"/>
    </w:rPr>
  </w:style>
  <w:style w:type="paragraph" w:customStyle="1" w:styleId="494">
    <w:name w:val=" Char Char Char1 Char1 Char Char Char Char Char Char"/>
    <w:basedOn w:val="1"/>
    <w:semiHidden/>
    <w:qFormat/>
    <w:uiPriority w:val="0"/>
  </w:style>
  <w:style w:type="paragraph" w:customStyle="1" w:styleId="495">
    <w:name w:val="样式 标题 2 + Times New Roman 黑色"/>
    <w:basedOn w:val="5"/>
    <w:qFormat/>
    <w:uiPriority w:val="0"/>
    <w:pPr>
      <w:widowControl/>
      <w:autoSpaceDE/>
      <w:autoSpaceDN/>
      <w:spacing w:before="240" w:after="240" w:line="240" w:lineRule="auto"/>
      <w:ind w:left="324" w:firstLine="0"/>
      <w:textAlignment w:val="auto"/>
    </w:pPr>
    <w:rPr>
      <w:rFonts w:ascii="Times New Roman" w:hAnsi="Times New Roman" w:cs="Times New Roman"/>
      <w:b w:val="0"/>
      <w:color w:val="000000"/>
      <w:sz w:val="32"/>
      <w:szCs w:val="32"/>
    </w:rPr>
  </w:style>
  <w:style w:type="paragraph" w:customStyle="1" w:styleId="496">
    <w:name w:val="xl55"/>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Arial Unicode MS" w:hAnsi="Arial Unicode MS" w:eastAsia="Arial Unicode MS"/>
      <w:kern w:val="0"/>
      <w:sz w:val="23"/>
      <w:szCs w:val="23"/>
    </w:rPr>
  </w:style>
  <w:style w:type="paragraph" w:customStyle="1" w:styleId="497">
    <w:name w:val=" Char2 Char Char Char Char Char Char Char Char Char Char Char Char Char Char Char Char Char Char1 Char"/>
    <w:basedOn w:val="6"/>
    <w:qFormat/>
    <w:uiPriority w:val="0"/>
    <w:pPr>
      <w:snapToGrid w:val="0"/>
      <w:spacing w:before="156" w:beforeLines="50" w:after="156" w:afterLines="50"/>
      <w:ind w:firstLine="200"/>
      <w:jc w:val="left"/>
    </w:pPr>
    <w:rPr>
      <w:rFonts w:ascii="Times New Roman" w:hAnsi="Times New Roman" w:cs="宋体"/>
      <w:bCs w:val="0"/>
      <w:kern w:val="2"/>
    </w:rPr>
  </w:style>
  <w:style w:type="paragraph" w:customStyle="1" w:styleId="498">
    <w:name w:val=" Char Char Char Char Char Char1 Char"/>
    <w:basedOn w:val="1"/>
    <w:qFormat/>
    <w:uiPriority w:val="0"/>
    <w:pPr>
      <w:spacing w:line="360" w:lineRule="auto"/>
      <w:ind w:firstLine="200" w:firstLineChars="200"/>
    </w:pPr>
    <w:rPr>
      <w:rFonts w:ascii="宋体" w:hAnsi="宋体" w:cs="宋体"/>
      <w:sz w:val="24"/>
    </w:rPr>
  </w:style>
  <w:style w:type="paragraph" w:customStyle="1" w:styleId="499">
    <w:name w:val="标题三"/>
    <w:basedOn w:val="1"/>
    <w:next w:val="1"/>
    <w:qFormat/>
    <w:uiPriority w:val="0"/>
    <w:pPr>
      <w:numPr>
        <w:ilvl w:val="0"/>
        <w:numId w:val="2"/>
      </w:numPr>
      <w:spacing w:line="360" w:lineRule="auto"/>
      <w:jc w:val="left"/>
      <w:outlineLvl w:val="2"/>
    </w:pPr>
    <w:rPr>
      <w:b/>
      <w:sz w:val="28"/>
      <w:szCs w:val="30"/>
    </w:rPr>
  </w:style>
  <w:style w:type="paragraph" w:customStyle="1" w:styleId="500">
    <w:name w:val="样式 标题 4 + Times New Roman 黑色"/>
    <w:basedOn w:val="8"/>
    <w:qFormat/>
    <w:uiPriority w:val="0"/>
    <w:pPr>
      <w:widowControl/>
      <w:numPr>
        <w:ilvl w:val="0"/>
        <w:numId w:val="0"/>
      </w:numPr>
      <w:adjustRightInd/>
      <w:spacing w:line="240" w:lineRule="auto"/>
      <w:textAlignment w:val="auto"/>
    </w:pPr>
    <w:rPr>
      <w:rFonts w:ascii="Times New Roman" w:hAnsi="Times New Roman"/>
      <w:bCs/>
      <w:snapToGrid/>
      <w:color w:val="000000"/>
      <w:sz w:val="28"/>
      <w:szCs w:val="28"/>
    </w:rPr>
  </w:style>
  <w:style w:type="paragraph" w:customStyle="1" w:styleId="501">
    <w:name w:val="xl76"/>
    <w:basedOn w:val="1"/>
    <w:qFormat/>
    <w:uiPriority w:val="0"/>
    <w:pPr>
      <w:widowControl/>
      <w:pBdr>
        <w:left w:val="single" w:color="auto" w:sz="8" w:space="0"/>
        <w:bottom w:val="single" w:color="auto" w:sz="8" w:space="0"/>
      </w:pBdr>
      <w:spacing w:before="100" w:beforeAutospacing="1" w:after="100" w:afterAutospacing="1"/>
      <w:jc w:val="center"/>
    </w:pPr>
    <w:rPr>
      <w:rFonts w:ascii="Arial Unicode MS" w:hAnsi="Arial Unicode MS" w:eastAsia="Arial Unicode MS" w:cs="Arial Unicode MS"/>
      <w:kern w:val="0"/>
      <w:sz w:val="20"/>
      <w:szCs w:val="20"/>
    </w:rPr>
  </w:style>
  <w:style w:type="paragraph" w:customStyle="1" w:styleId="502">
    <w:name w:val="xl7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0"/>
      <w:szCs w:val="20"/>
    </w:rPr>
  </w:style>
  <w:style w:type="paragraph" w:customStyle="1" w:styleId="503">
    <w:name w:val="xl73"/>
    <w:basedOn w:val="1"/>
    <w:qFormat/>
    <w:uiPriority w:val="0"/>
    <w:pPr>
      <w:widowControl/>
      <w:pBdr>
        <w:left w:val="single" w:color="auto" w:sz="8" w:space="0"/>
      </w:pBdr>
      <w:spacing w:before="100" w:beforeAutospacing="1" w:after="100" w:afterAutospacing="1"/>
      <w:jc w:val="center"/>
    </w:pPr>
    <w:rPr>
      <w:rFonts w:ascii="Arial Unicode MS" w:hAnsi="Arial Unicode MS" w:eastAsia="Arial Unicode MS" w:cs="Arial Unicode MS"/>
      <w:kern w:val="0"/>
      <w:sz w:val="20"/>
      <w:szCs w:val="20"/>
    </w:rPr>
  </w:style>
  <w:style w:type="paragraph" w:customStyle="1" w:styleId="504">
    <w:name w:val="xl58"/>
    <w:basedOn w:val="1"/>
    <w:qFormat/>
    <w:uiPriority w:val="0"/>
    <w:pPr>
      <w:widowControl/>
      <w:pBdr>
        <w:top w:val="single" w:color="auto" w:sz="8"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0"/>
      <w:szCs w:val="20"/>
    </w:rPr>
  </w:style>
  <w:style w:type="paragraph" w:customStyle="1" w:styleId="505">
    <w:name w:val=" Char1"/>
    <w:basedOn w:val="1"/>
    <w:semiHidden/>
    <w:qFormat/>
    <w:uiPriority w:val="0"/>
  </w:style>
  <w:style w:type="paragraph" w:customStyle="1" w:styleId="506">
    <w:name w:val="xl39"/>
    <w:basedOn w:val="1"/>
    <w:qFormat/>
    <w:uiPriority w:val="0"/>
    <w:pPr>
      <w:widowControl/>
      <w:spacing w:before="100" w:beforeAutospacing="1" w:after="100" w:afterAutospacing="1"/>
      <w:jc w:val="left"/>
    </w:pPr>
    <w:rPr>
      <w:rFonts w:ascii="Arial" w:hAnsi="Arial" w:eastAsia="Arial Unicode MS" w:cs="Arial"/>
      <w:kern w:val="0"/>
      <w:sz w:val="23"/>
      <w:szCs w:val="23"/>
    </w:rPr>
  </w:style>
  <w:style w:type="paragraph" w:customStyle="1" w:styleId="507">
    <w:name w:val="xl49"/>
    <w:basedOn w:val="1"/>
    <w:qFormat/>
    <w:uiPriority w:val="0"/>
    <w:pPr>
      <w:widowControl/>
      <w:pBdr>
        <w:left w:val="single" w:color="auto" w:sz="4" w:space="0"/>
        <w:bottom w:val="single" w:color="auto" w:sz="4" w:space="0"/>
        <w:right w:val="single" w:color="auto" w:sz="4" w:space="0"/>
      </w:pBdr>
      <w:spacing w:before="100" w:beforeAutospacing="1" w:after="100" w:afterAutospacing="1"/>
      <w:jc w:val="right"/>
    </w:pPr>
    <w:rPr>
      <w:rFonts w:ascii="Arial Unicode MS" w:hAnsi="Arial Unicode MS" w:eastAsia="Arial Unicode MS" w:cs="Arial Unicode MS"/>
      <w:color w:val="000000"/>
      <w:kern w:val="0"/>
      <w:sz w:val="23"/>
      <w:szCs w:val="23"/>
    </w:rPr>
  </w:style>
  <w:style w:type="paragraph" w:customStyle="1" w:styleId="508">
    <w:name w:val=" Char Char Char1 Char1 Char Char Char Char Char Char Char Char"/>
    <w:basedOn w:val="1"/>
    <w:semiHidden/>
    <w:qFormat/>
    <w:uiPriority w:val="0"/>
  </w:style>
  <w:style w:type="paragraph" w:customStyle="1" w:styleId="509">
    <w:name w:val="font5"/>
    <w:basedOn w:val="1"/>
    <w:qFormat/>
    <w:uiPriority w:val="0"/>
    <w:pPr>
      <w:widowControl/>
      <w:spacing w:before="100" w:beforeAutospacing="1" w:after="100" w:afterAutospacing="1"/>
      <w:jc w:val="left"/>
    </w:pPr>
    <w:rPr>
      <w:rFonts w:hint="eastAsia" w:ascii="宋体" w:hAnsi="宋体" w:cs="Arial Unicode MS"/>
      <w:kern w:val="0"/>
      <w:sz w:val="18"/>
      <w:szCs w:val="18"/>
    </w:rPr>
  </w:style>
  <w:style w:type="paragraph" w:customStyle="1" w:styleId="510">
    <w:name w:val="样式 标题 2 + Times New Roman 小三 居中 行距: 单倍行距"/>
    <w:basedOn w:val="5"/>
    <w:semiHidden/>
    <w:qFormat/>
    <w:uiPriority w:val="0"/>
    <w:pPr>
      <w:widowControl/>
      <w:autoSpaceDE/>
      <w:autoSpaceDN/>
      <w:spacing w:before="260" w:after="260" w:line="240" w:lineRule="auto"/>
      <w:ind w:firstLine="538" w:firstLineChars="192"/>
      <w:textAlignment w:val="auto"/>
    </w:pPr>
    <w:rPr>
      <w:rFonts w:ascii="Times New Roman" w:hAnsi="Times New Roman" w:cs="宋体"/>
      <w:bCs w:val="0"/>
    </w:rPr>
  </w:style>
  <w:style w:type="paragraph" w:customStyle="1" w:styleId="511">
    <w:name w:val=" Char Char Char Char Char2 Char"/>
    <w:basedOn w:val="1"/>
    <w:semiHidden/>
    <w:qFormat/>
    <w:uiPriority w:val="0"/>
    <w:pPr>
      <w:adjustRightInd w:val="0"/>
      <w:snapToGrid w:val="0"/>
      <w:spacing w:line="360" w:lineRule="auto"/>
      <w:ind w:firstLine="200" w:firstLineChars="200"/>
    </w:pPr>
    <w:rPr>
      <w:rFonts w:ascii="宋体" w:hAnsi="宋体" w:cs="宋体"/>
      <w:sz w:val="24"/>
      <w:szCs w:val="26"/>
    </w:rPr>
  </w:style>
  <w:style w:type="paragraph" w:customStyle="1" w:styleId="512">
    <w:name w:val="zgr表格"/>
    <w:basedOn w:val="1"/>
    <w:qFormat/>
    <w:uiPriority w:val="0"/>
    <w:pPr>
      <w:jc w:val="center"/>
    </w:pPr>
    <w:rPr>
      <w:szCs w:val="21"/>
    </w:rPr>
  </w:style>
  <w:style w:type="paragraph" w:customStyle="1" w:styleId="513">
    <w:name w:val="表样式"/>
    <w:basedOn w:val="324"/>
    <w:semiHidden/>
    <w:qFormat/>
    <w:uiPriority w:val="0"/>
    <w:pPr>
      <w:keepNext w:val="0"/>
      <w:widowControl w:val="0"/>
      <w:spacing w:before="0" w:beforeLines="0" w:after="0" w:afterLines="0" w:line="240" w:lineRule="auto"/>
    </w:pPr>
    <w:rPr>
      <w:rFonts w:ascii="仿宋_GB2312" w:eastAsia="黑体"/>
      <w:sz w:val="21"/>
    </w:rPr>
  </w:style>
  <w:style w:type="paragraph" w:customStyle="1" w:styleId="514">
    <w:name w:val=" Char Char Char1 Char Char Char Char Char Char Char"/>
    <w:basedOn w:val="1"/>
    <w:semiHidden/>
    <w:qFormat/>
    <w:uiPriority w:val="0"/>
  </w:style>
  <w:style w:type="paragraph" w:customStyle="1" w:styleId="515">
    <w:name w:val="CM116"/>
    <w:basedOn w:val="152"/>
    <w:next w:val="152"/>
    <w:qFormat/>
    <w:uiPriority w:val="0"/>
    <w:pPr>
      <w:spacing w:after="90"/>
    </w:pPr>
    <w:rPr>
      <w:rFonts w:cs="Times New Roman"/>
      <w:color w:val="auto"/>
    </w:rPr>
  </w:style>
  <w:style w:type="paragraph" w:customStyle="1" w:styleId="516">
    <w:name w:val="Char Char14"/>
    <w:basedOn w:val="10"/>
    <w:qFormat/>
    <w:uiPriority w:val="0"/>
    <w:pPr>
      <w:tabs>
        <w:tab w:val="left" w:pos="1440"/>
      </w:tabs>
      <w:adjustRightInd/>
      <w:spacing w:line="319" w:lineRule="auto"/>
      <w:jc w:val="both"/>
      <w:textAlignment w:val="auto"/>
    </w:pPr>
    <w:rPr>
      <w:rFonts w:ascii="Calibri" w:hAnsi="Calibri" w:eastAsia="宋体"/>
      <w:bCs/>
      <w:szCs w:val="24"/>
      <w:lang w:eastAsia="en-US" w:bidi="en-US"/>
    </w:rPr>
  </w:style>
  <w:style w:type="paragraph" w:customStyle="1" w:styleId="517">
    <w:name w:val="reader-word-layer reader-word-s2-11 reader-word-s2-20"/>
    <w:basedOn w:val="1"/>
    <w:qFormat/>
    <w:uiPriority w:val="0"/>
    <w:pPr>
      <w:widowControl/>
      <w:spacing w:before="100" w:beforeAutospacing="1" w:after="100" w:afterAutospacing="1"/>
      <w:jc w:val="left"/>
    </w:pPr>
    <w:rPr>
      <w:rFonts w:ascii="宋体" w:hAnsi="宋体" w:cs="宋体"/>
      <w:kern w:val="0"/>
      <w:sz w:val="24"/>
    </w:rPr>
  </w:style>
  <w:style w:type="paragraph" w:customStyle="1" w:styleId="518">
    <w:name w:val="font6"/>
    <w:basedOn w:val="1"/>
    <w:qFormat/>
    <w:uiPriority w:val="0"/>
    <w:pPr>
      <w:widowControl/>
      <w:spacing w:before="100" w:beforeAutospacing="1" w:after="100" w:afterAutospacing="1"/>
      <w:jc w:val="left"/>
    </w:pPr>
    <w:rPr>
      <w:rFonts w:hint="eastAsia" w:ascii="宋体" w:hAnsi="宋体" w:cs="Arial Unicode MS"/>
      <w:kern w:val="0"/>
      <w:sz w:val="22"/>
      <w:szCs w:val="22"/>
    </w:rPr>
  </w:style>
  <w:style w:type="paragraph" w:customStyle="1" w:styleId="519">
    <w:name w:val="font14"/>
    <w:basedOn w:val="1"/>
    <w:qFormat/>
    <w:uiPriority w:val="0"/>
    <w:pPr>
      <w:widowControl/>
      <w:spacing w:before="100" w:beforeAutospacing="1" w:after="100" w:afterAutospacing="1"/>
      <w:jc w:val="left"/>
    </w:pPr>
    <w:rPr>
      <w:rFonts w:ascii="Arial" w:hAnsi="Arial" w:eastAsia="Arial Unicode MS" w:cs="Arial"/>
      <w:kern w:val="0"/>
      <w:szCs w:val="21"/>
    </w:rPr>
  </w:style>
  <w:style w:type="paragraph" w:customStyle="1" w:styleId="520">
    <w:name w:val="xl62"/>
    <w:basedOn w:val="1"/>
    <w:qFormat/>
    <w:uiPriority w:val="0"/>
    <w:pPr>
      <w:widowControl/>
      <w:pBdr>
        <w:top w:val="single" w:color="auto" w:sz="8" w:space="0"/>
        <w:left w:val="single" w:color="auto" w:sz="4" w:space="0"/>
        <w:bottom w:val="single" w:color="auto" w:sz="4" w:space="0"/>
        <w:right w:val="single" w:color="auto" w:sz="8" w:space="0"/>
      </w:pBdr>
      <w:spacing w:before="100" w:beforeAutospacing="1" w:after="100" w:afterAutospacing="1"/>
      <w:jc w:val="center"/>
    </w:pPr>
    <w:rPr>
      <w:rFonts w:eastAsia="Arial Unicode MS"/>
      <w:kern w:val="0"/>
      <w:sz w:val="20"/>
      <w:szCs w:val="20"/>
    </w:rPr>
  </w:style>
  <w:style w:type="paragraph" w:styleId="521">
    <w:name w:val="List Paragraph"/>
    <w:basedOn w:val="1"/>
    <w:qFormat/>
    <w:uiPriority w:val="0"/>
    <w:pPr>
      <w:ind w:firstLine="420" w:firstLineChars="200"/>
    </w:pPr>
    <w:rPr>
      <w:rFonts w:ascii="Calibri" w:hAnsi="Calibri"/>
      <w:szCs w:val="22"/>
    </w:rPr>
  </w:style>
  <w:style w:type="paragraph" w:customStyle="1" w:styleId="522">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8080"/>
      <w:kern w:val="0"/>
      <w:sz w:val="23"/>
      <w:szCs w:val="23"/>
    </w:rPr>
  </w:style>
  <w:style w:type="paragraph" w:customStyle="1" w:styleId="523">
    <w:name w:val="表中样式"/>
    <w:basedOn w:val="1"/>
    <w:semiHidden/>
    <w:qFormat/>
    <w:uiPriority w:val="0"/>
    <w:pPr>
      <w:widowControl/>
      <w:spacing w:line="240" w:lineRule="exact"/>
      <w:ind w:left="-25" w:leftChars="-25" w:right="-31" w:rightChars="-31"/>
      <w:jc w:val="center"/>
    </w:pPr>
    <w:rPr>
      <w:rFonts w:ascii="宋体" w:hAnsi="宋体" w:cs="宋体"/>
      <w:bCs/>
      <w:kern w:val="0"/>
      <w:szCs w:val="32"/>
    </w:rPr>
  </w:style>
  <w:style w:type="paragraph" w:customStyle="1" w:styleId="524">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FF00FF"/>
      <w:kern w:val="0"/>
      <w:sz w:val="23"/>
      <w:szCs w:val="23"/>
    </w:rPr>
  </w:style>
  <w:style w:type="paragraph" w:customStyle="1" w:styleId="525">
    <w:name w:val="xl53"/>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Arial" w:hAnsi="Arial" w:eastAsia="Arial Unicode MS" w:cs="Arial"/>
      <w:color w:val="000000"/>
      <w:kern w:val="0"/>
      <w:sz w:val="23"/>
      <w:szCs w:val="23"/>
    </w:rPr>
  </w:style>
  <w:style w:type="paragraph" w:customStyle="1" w:styleId="526">
    <w:name w:val="样式 宋体 四号 两端对齐 首行缩进:  2 字符"/>
    <w:basedOn w:val="1"/>
    <w:qFormat/>
    <w:uiPriority w:val="0"/>
    <w:pPr>
      <w:widowControl/>
      <w:ind w:firstLine="560" w:firstLineChars="200"/>
    </w:pPr>
    <w:rPr>
      <w:rFonts w:cs="宋体"/>
      <w:kern w:val="0"/>
      <w:sz w:val="28"/>
      <w:szCs w:val="28"/>
    </w:rPr>
  </w:style>
  <w:style w:type="paragraph" w:customStyle="1" w:styleId="527">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4"/>
    </w:rPr>
  </w:style>
  <w:style w:type="paragraph" w:customStyle="1" w:styleId="528">
    <w:name w:val="样式 仿宋 小四 行距: 1.5 倍行距"/>
    <w:basedOn w:val="1"/>
    <w:qFormat/>
    <w:uiPriority w:val="0"/>
    <w:pPr>
      <w:spacing w:line="360" w:lineRule="auto"/>
      <w:ind w:firstLine="480" w:firstLineChars="200"/>
    </w:pPr>
    <w:rPr>
      <w:rFonts w:eastAsia="仿宋" w:cs="宋体"/>
      <w:sz w:val="24"/>
      <w:szCs w:val="20"/>
    </w:rPr>
  </w:style>
  <w:style w:type="paragraph" w:customStyle="1" w:styleId="529">
    <w:name w:val="正文(a)"/>
    <w:basedOn w:val="403"/>
    <w:semiHidden/>
    <w:qFormat/>
    <w:uiPriority w:val="0"/>
    <w:pPr>
      <w:tabs>
        <w:tab w:val="left" w:pos="1139"/>
      </w:tabs>
      <w:ind w:left="-141" w:firstLine="566"/>
    </w:pPr>
    <w:rPr>
      <w:rFonts w:ascii="宋体" w:cs="宋体"/>
    </w:rPr>
  </w:style>
  <w:style w:type="paragraph" w:customStyle="1" w:styleId="530">
    <w:name w:val="xl37"/>
    <w:basedOn w:val="1"/>
    <w:qFormat/>
    <w:uiPriority w:val="0"/>
    <w:pPr>
      <w:widowControl/>
      <w:pBdr>
        <w:top w:val="single" w:color="auto" w:sz="4" w:space="0"/>
        <w:bottom w:val="single" w:color="auto" w:sz="4" w:space="0"/>
      </w:pBdr>
      <w:spacing w:before="100" w:beforeAutospacing="1" w:after="100" w:afterAutospacing="1"/>
      <w:jc w:val="left"/>
    </w:pPr>
    <w:rPr>
      <w:rFonts w:ascii="Arial" w:hAnsi="Arial" w:eastAsia="Arial Unicode MS" w:cs="Arial"/>
      <w:kern w:val="0"/>
      <w:sz w:val="23"/>
      <w:szCs w:val="23"/>
    </w:rPr>
  </w:style>
  <w:style w:type="paragraph" w:customStyle="1" w:styleId="531">
    <w:name w:val=" Char Char21 Char Char"/>
    <w:basedOn w:val="1"/>
    <w:next w:val="3"/>
    <w:qFormat/>
    <w:uiPriority w:val="0"/>
    <w:rPr>
      <w:szCs w:val="20"/>
    </w:rPr>
  </w:style>
  <w:style w:type="paragraph" w:customStyle="1" w:styleId="532">
    <w:name w:val="reader-word-layer reader-word-s11-16"/>
    <w:basedOn w:val="1"/>
    <w:qFormat/>
    <w:uiPriority w:val="0"/>
    <w:pPr>
      <w:widowControl/>
      <w:spacing w:before="100" w:beforeAutospacing="1" w:after="100" w:afterAutospacing="1"/>
      <w:jc w:val="left"/>
    </w:pPr>
    <w:rPr>
      <w:rFonts w:ascii="宋体" w:hAnsi="宋体" w:cs="宋体"/>
      <w:kern w:val="0"/>
      <w:sz w:val="24"/>
    </w:rPr>
  </w:style>
  <w:style w:type="paragraph" w:customStyle="1" w:styleId="533">
    <w:name w:val="5"/>
    <w:basedOn w:val="1"/>
    <w:semiHidden/>
    <w:qFormat/>
    <w:uiPriority w:val="0"/>
    <w:pPr>
      <w:spacing w:line="500" w:lineRule="exact"/>
      <w:ind w:firstLine="200" w:firstLineChars="200"/>
    </w:pPr>
    <w:rPr>
      <w:rFonts w:ascii="Tahoma" w:hAnsi="Tahoma"/>
      <w:b/>
      <w:sz w:val="28"/>
      <w:szCs w:val="28"/>
    </w:rPr>
  </w:style>
  <w:style w:type="paragraph" w:customStyle="1" w:styleId="534">
    <w:name w:val=" Char Char Char Char"/>
    <w:basedOn w:val="1"/>
    <w:semiHidden/>
    <w:qFormat/>
    <w:uiPriority w:val="0"/>
    <w:pPr>
      <w:snapToGrid w:val="0"/>
      <w:spacing w:line="440" w:lineRule="atLeast"/>
    </w:pPr>
    <w:rPr>
      <w:rFonts w:ascii="宋体"/>
      <w:sz w:val="24"/>
    </w:rPr>
  </w:style>
  <w:style w:type="paragraph" w:customStyle="1" w:styleId="535">
    <w:name w:val="表名"/>
    <w:basedOn w:val="1"/>
    <w:qFormat/>
    <w:uiPriority w:val="0"/>
    <w:pPr>
      <w:spacing w:before="60" w:after="60"/>
      <w:ind w:firstLine="100" w:firstLineChars="100"/>
    </w:pPr>
    <w:rPr>
      <w:rFonts w:ascii="黑体" w:eastAsia="黑体"/>
      <w:sz w:val="24"/>
    </w:rPr>
  </w:style>
  <w:style w:type="paragraph" w:customStyle="1" w:styleId="536">
    <w:name w:val="xl48"/>
    <w:basedOn w:val="1"/>
    <w:qFormat/>
    <w:uiPriority w:val="0"/>
    <w:pPr>
      <w:widowControl/>
      <w:pBdr>
        <w:top w:val="single" w:color="auto" w:sz="4" w:space="0"/>
        <w:bottom w:val="single" w:color="auto" w:sz="4" w:space="0"/>
      </w:pBdr>
      <w:spacing w:before="100" w:beforeAutospacing="1" w:after="100" w:afterAutospacing="1"/>
      <w:jc w:val="center"/>
    </w:pPr>
    <w:rPr>
      <w:rFonts w:ascii="Arial" w:hAnsi="Arial" w:eastAsia="Arial Unicode MS" w:cs="Arial"/>
      <w:color w:val="000000"/>
      <w:kern w:val="0"/>
      <w:sz w:val="23"/>
      <w:szCs w:val="23"/>
    </w:rPr>
  </w:style>
  <w:style w:type="paragraph" w:customStyle="1" w:styleId="537">
    <w:name w:val="p16"/>
    <w:basedOn w:val="1"/>
    <w:qFormat/>
    <w:uiPriority w:val="0"/>
    <w:pPr>
      <w:widowControl/>
      <w:jc w:val="center"/>
    </w:pPr>
    <w:rPr>
      <w:rFonts w:ascii="Arial" w:hAnsi="Arial" w:cs="Arial"/>
      <w:kern w:val="0"/>
      <w:szCs w:val="21"/>
    </w:rPr>
  </w:style>
  <w:style w:type="paragraph" w:customStyle="1" w:styleId="538">
    <w:name w:val="xl4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3"/>
      <w:szCs w:val="23"/>
    </w:rPr>
  </w:style>
  <w:style w:type="paragraph" w:customStyle="1" w:styleId="539">
    <w:name w:val="CM27"/>
    <w:basedOn w:val="152"/>
    <w:next w:val="152"/>
    <w:qFormat/>
    <w:uiPriority w:val="0"/>
    <w:rPr>
      <w:rFonts w:ascii="隶书" w:eastAsia="隶书" w:cs="隶书"/>
      <w:color w:val="auto"/>
    </w:rPr>
  </w:style>
  <w:style w:type="paragraph" w:customStyle="1" w:styleId="540">
    <w:name w:val="_Style 283"/>
    <w:basedOn w:val="10"/>
    <w:qFormat/>
    <w:uiPriority w:val="0"/>
    <w:pPr>
      <w:tabs>
        <w:tab w:val="left" w:pos="1440"/>
      </w:tabs>
      <w:adjustRightInd/>
      <w:spacing w:line="320" w:lineRule="auto"/>
      <w:ind w:left="0" w:firstLine="0"/>
      <w:jc w:val="both"/>
      <w:textAlignment w:val="auto"/>
    </w:pPr>
    <w:rPr>
      <w:rFonts w:ascii="Calibri" w:hAnsi="Calibri" w:eastAsia="宋体"/>
      <w:bCs/>
      <w:szCs w:val="24"/>
      <w:lang w:eastAsia="en-US" w:bidi="en-US"/>
    </w:rPr>
  </w:style>
  <w:style w:type="paragraph" w:customStyle="1" w:styleId="541">
    <w:name w:val="样式 正文文字 2 + Times New Roman 自动设置 左 行距: 最小值 25 磅"/>
    <w:basedOn w:val="1"/>
    <w:qFormat/>
    <w:uiPriority w:val="0"/>
    <w:pPr>
      <w:spacing w:line="500" w:lineRule="exact"/>
      <w:ind w:firstLine="200" w:firstLineChars="200"/>
      <w:jc w:val="left"/>
    </w:pPr>
    <w:rPr>
      <w:rFonts w:cs="宋体"/>
      <w:sz w:val="28"/>
      <w:szCs w:val="20"/>
    </w:rPr>
  </w:style>
  <w:style w:type="paragraph" w:customStyle="1" w:styleId="542">
    <w:name w:val="设计正文"/>
    <w:basedOn w:val="1"/>
    <w:qFormat/>
    <w:uiPriority w:val="0"/>
    <w:pPr>
      <w:adjustRightInd w:val="0"/>
      <w:spacing w:line="360" w:lineRule="auto"/>
      <w:ind w:firstLine="200" w:firstLineChars="200"/>
      <w:textAlignment w:val="baseline"/>
    </w:pPr>
    <w:rPr>
      <w:kern w:val="0"/>
      <w:sz w:val="28"/>
      <w:szCs w:val="20"/>
    </w:rPr>
  </w:style>
  <w:style w:type="paragraph" w:customStyle="1" w:styleId="543">
    <w:name w:val="表格内文字"/>
    <w:basedOn w:val="1"/>
    <w:next w:val="1"/>
    <w:qFormat/>
    <w:uiPriority w:val="0"/>
    <w:pPr>
      <w:jc w:val="center"/>
    </w:pPr>
  </w:style>
  <w:style w:type="table" w:customStyle="1" w:styleId="544">
    <w:name w:val="网格型6"/>
    <w:basedOn w:val="122"/>
    <w:qFormat/>
    <w:uiPriority w:val="0"/>
    <w:pPr>
      <w:jc w:val="center"/>
    </w:pPr>
    <w:tblPr>
      <w:tblBorders>
        <w:top w:val="single" w:color="auto" w:sz="12" w:space="0"/>
        <w:bottom w:val="single" w:color="auto" w:sz="12" w:space="0"/>
        <w:insideH w:val="single" w:color="auto" w:sz="2" w:space="0"/>
        <w:insideV w:val="single" w:color="auto" w:sz="2" w:space="0"/>
      </w:tblBorders>
    </w:tblPr>
    <w:tcPr>
      <w:vAlign w:val="center"/>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545">
    <w:name w:val="网格型7"/>
    <w:basedOn w:val="122"/>
    <w:qFormat/>
    <w:uiPriority w:val="0"/>
    <w:pPr>
      <w:jc w:val="center"/>
    </w:pPr>
    <w:tblPr>
      <w:tblBorders>
        <w:top w:val="single" w:color="auto" w:sz="12" w:space="0"/>
        <w:bottom w:val="single" w:color="auto" w:sz="12" w:space="0"/>
        <w:insideH w:val="single" w:color="auto" w:sz="2" w:space="0"/>
        <w:insideV w:val="single" w:color="auto" w:sz="2" w:space="0"/>
      </w:tblBorders>
      <w:tblCellMar>
        <w:top w:w="0" w:type="dxa"/>
        <w:left w:w="108" w:type="dxa"/>
        <w:bottom w:w="0" w:type="dxa"/>
        <w:right w:w="108" w:type="dxa"/>
      </w:tblCellMar>
    </w:tblPr>
    <w:tcPr>
      <w:shd w:val="clear" w:color="auto" w:fill="auto"/>
      <w:vAlign w:val="center"/>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546">
    <w:name w:val="网格型8"/>
    <w:basedOn w:val="122"/>
    <w:qFormat/>
    <w:uiPriority w:val="0"/>
    <w:pPr>
      <w:jc w:val="center"/>
    </w:pPr>
    <w:tblPr>
      <w:tblBorders>
        <w:top w:val="single" w:color="auto" w:sz="12" w:space="0"/>
        <w:bottom w:val="single" w:color="auto" w:sz="12" w:space="0"/>
        <w:insideH w:val="single" w:color="auto" w:sz="2" w:space="0"/>
        <w:insideV w:val="single" w:color="auto" w:sz="2" w:space="0"/>
      </w:tblBorders>
      <w:tblCellMar>
        <w:top w:w="0" w:type="dxa"/>
        <w:left w:w="108" w:type="dxa"/>
        <w:bottom w:w="0" w:type="dxa"/>
        <w:right w:w="108" w:type="dxa"/>
      </w:tblCellMar>
    </w:tblPr>
    <w:tcPr>
      <w:shd w:val="clear" w:color="auto" w:fill="auto"/>
      <w:vAlign w:val="center"/>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paragraph" w:customStyle="1" w:styleId="547">
    <w:name w:val="样式 首行缩进:  2 字符"/>
    <w:basedOn w:val="1"/>
    <w:qFormat/>
    <w:uiPriority w:val="0"/>
    <w:pPr>
      <w:spacing w:before="120" w:after="120" w:line="360" w:lineRule="auto"/>
      <w:ind w:firstLine="582" w:firstLineChars="200"/>
    </w:pPr>
    <w:rPr>
      <w:rFonts w:eastAsia="仿宋_GB2312" w:cs="宋体"/>
      <w:kern w:val="10"/>
      <w:sz w:val="28"/>
      <w:szCs w:val="28"/>
    </w:rPr>
  </w:style>
  <w:style w:type="character" w:customStyle="1" w:styleId="548">
    <w:name w:val="font31"/>
    <w:qFormat/>
    <w:uiPriority w:val="0"/>
    <w:rPr>
      <w:rFonts w:hint="default" w:ascii="仿宋_GB2312" w:eastAsia="仿宋_GB2312" w:cs="仿宋_GB2312"/>
      <w:color w:val="000000"/>
      <w:sz w:val="21"/>
      <w:szCs w:val="21"/>
      <w:u w:val="none"/>
      <w:vertAlign w:val="superscript"/>
    </w:rPr>
  </w:style>
  <w:style w:type="character" w:customStyle="1" w:styleId="549">
    <w:name w:val="font51"/>
    <w:qFormat/>
    <w:uiPriority w:val="0"/>
    <w:rPr>
      <w:rFonts w:ascii="仿宋_GB2312" w:eastAsia="仿宋_GB2312" w:cs="仿宋_GB2312"/>
      <w:b/>
      <w:bCs/>
      <w:color w:val="000000"/>
      <w:sz w:val="21"/>
      <w:szCs w:val="21"/>
      <w:u w:val="none"/>
    </w:rPr>
  </w:style>
  <w:style w:type="character" w:customStyle="1" w:styleId="550">
    <w:name w:val="font21"/>
    <w:qFormat/>
    <w:uiPriority w:val="0"/>
    <w:rPr>
      <w:rFonts w:hint="default" w:ascii="仿宋_GB2312" w:eastAsia="仿宋_GB2312" w:cs="仿宋_GB2312"/>
      <w:color w:val="000000"/>
      <w:sz w:val="21"/>
      <w:szCs w:val="21"/>
      <w:u w:val="none"/>
    </w:rPr>
  </w:style>
  <w:style w:type="character" w:customStyle="1" w:styleId="551">
    <w:name w:val="font41"/>
    <w:qFormat/>
    <w:uiPriority w:val="0"/>
    <w:rPr>
      <w:rFonts w:hint="default" w:ascii="Times New Roman" w:hAnsi="Times New Roman" w:cs="Times New Roman"/>
      <w:color w:val="000000"/>
      <w:sz w:val="21"/>
      <w:szCs w:val="21"/>
      <w:u w:val="none"/>
    </w:rPr>
  </w:style>
  <w:style w:type="character" w:customStyle="1" w:styleId="552">
    <w:name w:val="font61"/>
    <w:qFormat/>
    <w:uiPriority w:val="0"/>
    <w:rPr>
      <w:rFonts w:hint="default" w:ascii="Times New Roman" w:hAnsi="Times New Roman" w:cs="Times New Roman"/>
      <w:color w:val="000000"/>
      <w:sz w:val="21"/>
      <w:szCs w:val="21"/>
      <w:u w:val="none"/>
      <w:vertAlign w:val="superscript"/>
    </w:rPr>
  </w:style>
  <w:style w:type="character" w:customStyle="1" w:styleId="553">
    <w:name w:val="font71"/>
    <w:qFormat/>
    <w:uiPriority w:val="0"/>
    <w:rPr>
      <w:rFonts w:ascii="仿宋_GB2312" w:eastAsia="仿宋_GB2312" w:cs="仿宋_GB2312"/>
      <w:b/>
      <w:bCs/>
      <w:color w:val="000000"/>
      <w:sz w:val="21"/>
      <w:szCs w:val="21"/>
      <w:u w:val="none"/>
    </w:rPr>
  </w:style>
  <w:style w:type="character" w:customStyle="1" w:styleId="554">
    <w:name w:val="font101"/>
    <w:qFormat/>
    <w:uiPriority w:val="0"/>
    <w:rPr>
      <w:rFonts w:hint="default" w:ascii="仿宋_GB2312" w:eastAsia="仿宋_GB2312" w:cs="仿宋_GB2312"/>
      <w:color w:val="000000"/>
      <w:sz w:val="21"/>
      <w:szCs w:val="21"/>
      <w:u w:val="none"/>
    </w:rPr>
  </w:style>
  <w:style w:type="character" w:customStyle="1" w:styleId="555">
    <w:name w:val="font81"/>
    <w:basedOn w:val="133"/>
    <w:qFormat/>
    <w:uiPriority w:val="0"/>
    <w:rPr>
      <w:rFonts w:hint="default" w:ascii="仿宋_GB2312" w:eastAsia="仿宋_GB2312" w:cs="仿宋_GB2312"/>
      <w:color w:val="000000"/>
      <w:sz w:val="21"/>
      <w:szCs w:val="21"/>
      <w:u w:val="none"/>
    </w:rPr>
  </w:style>
  <w:style w:type="table" w:customStyle="1" w:styleId="556">
    <w:name w:val="Table Normal"/>
    <w:unhideWhenUsed/>
    <w:qFormat/>
    <w:uiPriority w:val="2"/>
    <w:pPr>
      <w:widowControl w:val="0"/>
      <w:autoSpaceDE w:val="0"/>
      <w:autoSpaceDN w:val="0"/>
    </w:pPr>
    <w:rPr>
      <w:rFonts w:ascii="Calibri" w:hAnsi="Calibri"/>
      <w:sz w:val="22"/>
      <w:szCs w:val="22"/>
      <w:lang w:val="en-US" w:eastAsia="en-US" w:bidi="ar-SA"/>
    </w:rPr>
    <w:tblPr>
      <w:tblCellMar>
        <w:top w:w="0" w:type="dxa"/>
        <w:left w:w="0" w:type="dxa"/>
        <w:bottom w:w="0" w:type="dxa"/>
        <w:right w:w="0" w:type="dxa"/>
      </w:tblCellMar>
    </w:tblPr>
  </w:style>
  <w:style w:type="table" w:customStyle="1" w:styleId="557">
    <w:name w:val="Table Normal9"/>
    <w:unhideWhenUsed/>
    <w:qFormat/>
    <w:uiPriority w:val="2"/>
    <w:pPr>
      <w:widowControl w:val="0"/>
      <w:autoSpaceDE w:val="0"/>
      <w:autoSpaceDN w:val="0"/>
    </w:pPr>
    <w:rPr>
      <w:rFonts w:ascii="Calibri" w:hAnsi="Calibri"/>
      <w:sz w:val="22"/>
      <w:szCs w:val="22"/>
      <w:lang w:val="en-US" w:eastAsia="en-US" w:bidi="ar-SA"/>
    </w:rPr>
    <w:tblPr>
      <w:tblCellMar>
        <w:top w:w="0" w:type="dxa"/>
        <w:left w:w="0" w:type="dxa"/>
        <w:bottom w:w="0" w:type="dxa"/>
        <w:right w:w="0" w:type="dxa"/>
      </w:tblCellMar>
    </w:tblPr>
  </w:style>
  <w:style w:type="table" w:customStyle="1" w:styleId="558">
    <w:name w:val="Table Normal11"/>
    <w:unhideWhenUsed/>
    <w:qFormat/>
    <w:uiPriority w:val="2"/>
    <w:pPr>
      <w:widowControl w:val="0"/>
      <w:autoSpaceDE w:val="0"/>
      <w:autoSpaceDN w:val="0"/>
    </w:pPr>
    <w:rPr>
      <w:rFonts w:ascii="Calibri" w:hAnsi="Calibri"/>
      <w:sz w:val="22"/>
      <w:szCs w:val="22"/>
      <w:lang w:val="en-US" w:eastAsia="en-US" w:bidi="ar-SA"/>
    </w:rPr>
    <w:tblPr>
      <w:tblCellMar>
        <w:top w:w="0" w:type="dxa"/>
        <w:left w:w="0" w:type="dxa"/>
        <w:bottom w:w="0" w:type="dxa"/>
        <w:right w:w="0" w:type="dxa"/>
      </w:tblCellMar>
    </w:tblPr>
  </w:style>
  <w:style w:type="character" w:customStyle="1" w:styleId="559">
    <w:name w:val="font111"/>
    <w:qFormat/>
    <w:uiPriority w:val="0"/>
    <w:rPr>
      <w:rFonts w:hint="eastAsia" w:ascii="宋体" w:hAnsi="宋体" w:eastAsia="宋体" w:cs="宋体"/>
      <w:b/>
      <w:bCs/>
      <w:color w:val="000000"/>
      <w:sz w:val="15"/>
      <w:szCs w:val="15"/>
      <w:u w:val="none"/>
    </w:rPr>
  </w:style>
  <w:style w:type="character" w:customStyle="1" w:styleId="560">
    <w:name w:val="font122"/>
    <w:qFormat/>
    <w:uiPriority w:val="0"/>
    <w:rPr>
      <w:rFonts w:hint="default" w:ascii="仿宋_GB2312" w:eastAsia="仿宋_GB2312" w:cs="仿宋_GB2312"/>
      <w:b/>
      <w:bCs/>
      <w:color w:val="000000"/>
      <w:sz w:val="15"/>
      <w:szCs w:val="15"/>
      <w:u w:val="none"/>
    </w:rPr>
  </w:style>
  <w:style w:type="character" w:customStyle="1" w:styleId="561">
    <w:name w:val="font131"/>
    <w:qFormat/>
    <w:uiPriority w:val="0"/>
    <w:rPr>
      <w:rFonts w:hint="default" w:ascii="仿宋_GB2312" w:eastAsia="仿宋_GB2312" w:cs="仿宋_GB2312"/>
      <w:color w:val="000000"/>
      <w:sz w:val="21"/>
      <w:szCs w:val="21"/>
      <w:u w:val="none"/>
    </w:rPr>
  </w:style>
  <w:style w:type="paragraph" w:customStyle="1" w:styleId="562">
    <w:name w:val="000表格"/>
    <w:basedOn w:val="1"/>
    <w:qFormat/>
    <w:uiPriority w:val="0"/>
    <w:pPr>
      <w:widowControl/>
      <w:spacing w:line="240" w:lineRule="exact"/>
      <w:jc w:val="center"/>
    </w:pPr>
    <w:rPr>
      <w:rFonts w:eastAsia="仿宋_GB2312"/>
      <w:kern w:val="0"/>
      <w:sz w:val="20"/>
      <w:szCs w:val="20"/>
    </w:rPr>
  </w:style>
  <w:style w:type="paragraph" w:customStyle="1" w:styleId="563">
    <w:name w:val="00表格字体"/>
    <w:qFormat/>
    <w:uiPriority w:val="0"/>
    <w:pPr>
      <w:widowControl w:val="0"/>
      <w:adjustRightInd w:val="0"/>
      <w:snapToGrid w:val="0"/>
      <w:spacing w:line="240" w:lineRule="exact"/>
      <w:jc w:val="center"/>
    </w:pPr>
    <w:rPr>
      <w:rFonts w:ascii="Times New Roman" w:hAnsi="Times New Roman" w:eastAsia="仿宋_GB2312" w:cs="Arial"/>
      <w:szCs w:val="18"/>
      <w:lang w:val="en-US" w:eastAsia="zh-CN" w:bidi="ar-SA"/>
    </w:rPr>
  </w:style>
  <w:style w:type="paragraph" w:customStyle="1" w:styleId="564">
    <w:name w:val="文本"/>
    <w:basedOn w:val="1"/>
    <w:qFormat/>
    <w:uiPriority w:val="0"/>
    <w:pPr>
      <w:spacing w:line="360" w:lineRule="auto"/>
      <w:ind w:firstLine="200" w:firstLineChars="200"/>
      <w:jc w:val="left"/>
    </w:pPr>
  </w:style>
  <w:style w:type="paragraph" w:customStyle="1" w:styleId="565">
    <w:name w:val="Heading #2|1"/>
    <w:basedOn w:val="1"/>
    <w:qFormat/>
    <w:uiPriority w:val="0"/>
    <w:pPr>
      <w:spacing w:after="560" w:line="595" w:lineRule="exact"/>
      <w:jc w:val="center"/>
      <w:outlineLvl w:val="1"/>
    </w:pPr>
    <w:rPr>
      <w:rFonts w:ascii="宋体" w:hAnsi="宋体" w:eastAsia="宋体" w:cs="宋体"/>
      <w:sz w:val="42"/>
      <w:szCs w:val="42"/>
      <w:lang w:val="zh-TW" w:eastAsia="zh-TW" w:bidi="zh-TW"/>
    </w:rPr>
  </w:style>
  <w:style w:type="paragraph" w:customStyle="1" w:styleId="566">
    <w:name w:val="Table Text"/>
    <w:basedOn w:val="1"/>
    <w:semiHidden/>
    <w:qFormat/>
    <w:uiPriority w:val="0"/>
    <w:rPr>
      <w:rFonts w:ascii="Times New Roman" w:hAnsi="Times New Roman" w:eastAsia="Times New Roman" w:cs="Times New Roman"/>
      <w:sz w:val="20"/>
      <w:szCs w:val="20"/>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header" Target="header1.xml"/><Relationship Id="rId67" Type="http://schemas.microsoft.com/office/2011/relationships/people" Target="people.xml"/><Relationship Id="rId66" Type="http://schemas.openxmlformats.org/officeDocument/2006/relationships/fontTable" Target="fontTable.xml"/><Relationship Id="rId65" Type="http://schemas.openxmlformats.org/officeDocument/2006/relationships/numbering" Target="numbering.xml"/><Relationship Id="rId64" Type="http://schemas.openxmlformats.org/officeDocument/2006/relationships/customXml" Target="../customXml/item1.xml"/><Relationship Id="rId63" Type="http://schemas.openxmlformats.org/officeDocument/2006/relationships/image" Target="media/image21.jpeg"/><Relationship Id="rId62" Type="http://schemas.openxmlformats.org/officeDocument/2006/relationships/image" Target="media/image20.jpeg"/><Relationship Id="rId61" Type="http://schemas.openxmlformats.org/officeDocument/2006/relationships/image" Target="media/image19.jpeg"/><Relationship Id="rId60" Type="http://schemas.openxmlformats.org/officeDocument/2006/relationships/image" Target="media/image18.jpeg"/><Relationship Id="rId6" Type="http://schemas.openxmlformats.org/officeDocument/2006/relationships/footer" Target="footer2.xml"/><Relationship Id="rId59" Type="http://schemas.openxmlformats.org/officeDocument/2006/relationships/image" Target="media/image17.jpeg"/><Relationship Id="rId58" Type="http://schemas.openxmlformats.org/officeDocument/2006/relationships/image" Target="media/image16.jpeg"/><Relationship Id="rId57" Type="http://schemas.openxmlformats.org/officeDocument/2006/relationships/image" Target="media/image15.jpeg"/><Relationship Id="rId56" Type="http://schemas.openxmlformats.org/officeDocument/2006/relationships/image" Target="media/image14.jpeg"/><Relationship Id="rId55" Type="http://schemas.openxmlformats.org/officeDocument/2006/relationships/image" Target="media/image13.jpeg"/><Relationship Id="rId54" Type="http://schemas.openxmlformats.org/officeDocument/2006/relationships/image" Target="media/image12.png"/><Relationship Id="rId53" Type="http://schemas.openxmlformats.org/officeDocument/2006/relationships/chart" Target="charts/chart2.xml"/><Relationship Id="rId52" Type="http://schemas.openxmlformats.org/officeDocument/2006/relationships/chart" Target="charts/chart1.xml"/><Relationship Id="rId51" Type="http://schemas.openxmlformats.org/officeDocument/2006/relationships/image" Target="media/image11.jpeg"/><Relationship Id="rId50" Type="http://schemas.openxmlformats.org/officeDocument/2006/relationships/image" Target="media/image10.jpeg"/><Relationship Id="rId5" Type="http://schemas.openxmlformats.org/officeDocument/2006/relationships/footer" Target="footer1.xml"/><Relationship Id="rId49" Type="http://schemas.openxmlformats.org/officeDocument/2006/relationships/image" Target="media/image9.png"/><Relationship Id="rId48" Type="http://schemas.openxmlformats.org/officeDocument/2006/relationships/image" Target="media/image8.jpeg"/><Relationship Id="rId47" Type="http://schemas.openxmlformats.org/officeDocument/2006/relationships/image" Target="media/image7.jpeg"/><Relationship Id="rId46" Type="http://schemas.openxmlformats.org/officeDocument/2006/relationships/image" Target="media/image6.emf"/><Relationship Id="rId45" Type="http://schemas.openxmlformats.org/officeDocument/2006/relationships/image" Target="media/image5.emf"/><Relationship Id="rId44" Type="http://schemas.openxmlformats.org/officeDocument/2006/relationships/image" Target="media/image4.jpeg"/><Relationship Id="rId43" Type="http://schemas.openxmlformats.org/officeDocument/2006/relationships/image" Target="media/image3.jpeg"/><Relationship Id="rId42" Type="http://schemas.openxmlformats.org/officeDocument/2006/relationships/image" Target="media/image2.jpeg"/><Relationship Id="rId41" Type="http://schemas.openxmlformats.org/officeDocument/2006/relationships/image" Target="media/image1.jpeg"/><Relationship Id="rId40" Type="http://schemas.openxmlformats.org/officeDocument/2006/relationships/theme" Target="theme/theme1.xml"/><Relationship Id="rId4" Type="http://schemas.microsoft.com/office/2011/relationships/commentsExtended" Target="commentsExtended.xml"/><Relationship Id="rId39" Type="http://schemas.openxmlformats.org/officeDocument/2006/relationships/footer" Target="footer16.xml"/><Relationship Id="rId38" Type="http://schemas.openxmlformats.org/officeDocument/2006/relationships/header" Target="header19.xml"/><Relationship Id="rId37" Type="http://schemas.openxmlformats.org/officeDocument/2006/relationships/header" Target="header18.xml"/><Relationship Id="rId36" Type="http://schemas.openxmlformats.org/officeDocument/2006/relationships/header" Target="header17.xml"/><Relationship Id="rId35" Type="http://schemas.openxmlformats.org/officeDocument/2006/relationships/footer" Target="footer15.xml"/><Relationship Id="rId34" Type="http://schemas.openxmlformats.org/officeDocument/2006/relationships/header" Target="header16.xml"/><Relationship Id="rId33" Type="http://schemas.openxmlformats.org/officeDocument/2006/relationships/footer" Target="footer14.xml"/><Relationship Id="rId32" Type="http://schemas.openxmlformats.org/officeDocument/2006/relationships/header" Target="header15.xml"/><Relationship Id="rId31" Type="http://schemas.openxmlformats.org/officeDocument/2006/relationships/footer" Target="footer13.xml"/><Relationship Id="rId30" Type="http://schemas.openxmlformats.org/officeDocument/2006/relationships/header" Target="header14.xml"/><Relationship Id="rId3" Type="http://schemas.openxmlformats.org/officeDocument/2006/relationships/comments" Target="comments.xml"/><Relationship Id="rId29" Type="http://schemas.openxmlformats.org/officeDocument/2006/relationships/footer" Target="footer12.xml"/><Relationship Id="rId28" Type="http://schemas.openxmlformats.org/officeDocument/2006/relationships/header" Target="header13.xml"/><Relationship Id="rId27" Type="http://schemas.openxmlformats.org/officeDocument/2006/relationships/footer" Target="footer11.xml"/><Relationship Id="rId26" Type="http://schemas.openxmlformats.org/officeDocument/2006/relationships/header" Target="header12.xml"/><Relationship Id="rId25" Type="http://schemas.openxmlformats.org/officeDocument/2006/relationships/header" Target="header11.xml"/><Relationship Id="rId24" Type="http://schemas.openxmlformats.org/officeDocument/2006/relationships/header" Target="header10.xml"/><Relationship Id="rId23" Type="http://schemas.openxmlformats.org/officeDocument/2006/relationships/footer" Target="footer10.xml"/><Relationship Id="rId22" Type="http://schemas.openxmlformats.org/officeDocument/2006/relationships/header" Target="header9.xml"/><Relationship Id="rId21" Type="http://schemas.openxmlformats.org/officeDocument/2006/relationships/footer" Target="footer9.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header" Target="header7.xml"/><Relationship Id="rId17" Type="http://schemas.openxmlformats.org/officeDocument/2006/relationships/footer" Target="footer7.xml"/><Relationship Id="rId16" Type="http://schemas.openxmlformats.org/officeDocument/2006/relationships/header" Target="header6.xml"/><Relationship Id="rId15" Type="http://schemas.openxmlformats.org/officeDocument/2006/relationships/footer" Target="footer6.xml"/><Relationship Id="rId14" Type="http://schemas.openxmlformats.org/officeDocument/2006/relationships/header" Target="header5.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header" Target="header3.xml"/><Relationship Id="rId10" Type="http://schemas.openxmlformats.org/officeDocument/2006/relationships/footer" Target="footer4.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4" Type="http://schemas.microsoft.com/office/2011/relationships/chartColorStyle" Target="colors2.xml"/><Relationship Id="rId3" Type="http://schemas.microsoft.com/office/2011/relationships/chartStyle" Target="style2.xml"/><Relationship Id="rId2" Type="http://schemas.openxmlformats.org/officeDocument/2006/relationships/themeOverride" Target="../theme/themeOverride1.xml"/><Relationship Id="rId1" Type="http://schemas.openxmlformats.org/officeDocument/2006/relationships/package" Target="../embeddings/Workbook2.xlsx"/></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系列 1</c:v>
                </c:pt>
              </c:strCache>
            </c:strRef>
          </c:tx>
          <c:spPr>
            <a:solidFill>
              <a:srgbClr val="3DB8BF"/>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616161"/>
                    </a:solidFill>
                    <a:latin typeface="汉仪旗黑-55简" panose="00020600040101010101" charset="-128"/>
                    <a:ea typeface="汉仪旗黑-55简" panose="00020600040101010101" charset="-128"/>
                    <a:cs typeface="汉仪旗黑-55简" panose="00020600040101010101" charset="-128"/>
                    <a:sym typeface="汉仪旗黑-55简" panose="00020600040101010101" charset="-128"/>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建构筑物区</c:v>
                </c:pt>
                <c:pt idx="1">
                  <c:v>道路及硬化区</c:v>
                </c:pt>
                <c:pt idx="2">
                  <c:v>绿化区</c:v>
                </c:pt>
              </c:strCache>
            </c:strRef>
          </c:cat>
          <c:val>
            <c:numRef>
              <c:f>Sheet1!$B$2:$B$4</c:f>
              <c:numCache>
                <c:formatCode>0.00_ </c:formatCode>
                <c:ptCount val="3"/>
                <c:pt idx="0">
                  <c:v>432.225504</c:v>
                </c:pt>
                <c:pt idx="1">
                  <c:v>574.977312</c:v>
                </c:pt>
                <c:pt idx="2">
                  <c:v>35.939952</c:v>
                </c:pt>
              </c:numCache>
            </c:numRef>
          </c:val>
        </c:ser>
        <c:dLbls>
          <c:showLegendKey val="0"/>
          <c:showVal val="1"/>
          <c:showCatName val="0"/>
          <c:showSerName val="0"/>
          <c:showPercent val="0"/>
          <c:showBubbleSize val="0"/>
        </c:dLbls>
        <c:gapWidth val="150"/>
        <c:overlap val="0"/>
        <c:axId val="677883074"/>
        <c:axId val="959833540"/>
        <c:extLst>
          <c:ext xmlns:c15="http://schemas.microsoft.com/office/drawing/2012/chart" uri="{02D57815-91ED-43cb-92C2-25804820EDAC}">
            <c15:filteredBarSeries>
              <c15:ser>
                <c:idx val="1"/>
                <c:order val="1"/>
                <c:tx>
                  <c:strRef>
                    <c:extLst>
                      <c:ext uri="{02D57815-91ED-43cb-92C2-25804820EDAC}">
                        <c15:formulaRef>
                          <c15:sqref>Sheet1!#REF!</c15:sqref>
                        </c15:formulaRef>
                      </c:ext>
                    </c:extLst>
                    <c:strCache>
                      <c:ptCount val="1"/>
                      <c:pt idx="0">
                        <c:v/>
                      </c:pt>
                    </c:strCache>
                  </c:strRef>
                </c:tx>
                <c:spPr>
                  <a:solidFill>
                    <a:srgbClr val="7A7D85"/>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616161"/>
                          </a:solidFill>
                          <a:latin typeface="汉仪旗黑-55简" panose="00020600040101010101" charset="-128"/>
                          <a:ea typeface="汉仪旗黑-55简" panose="00020600040101010101" charset="-128"/>
                          <a:cs typeface="汉仪旗黑-55简" panose="00020600040101010101" charset="-128"/>
                          <a:sym typeface="汉仪旗黑-55简" panose="00020600040101010101" charset="-128"/>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ullRef>
                          <c15:sqref/>
                        </c15:fullRef>
                        <c15:formulaRef>
                          <c15:sqref>Sheet1!$A$2:$A$4</c15:sqref>
                        </c15:formulaRef>
                      </c:ext>
                    </c:extLst>
                    <c:strCache>
                      <c:ptCount val="3"/>
                      <c:pt idx="0">
                        <c:v>建构筑物区</c:v>
                      </c:pt>
                      <c:pt idx="1">
                        <c:v>道路及硬化区</c:v>
                      </c:pt>
                      <c:pt idx="2">
                        <c:v>绿化区</c:v>
                      </c:pt>
                    </c:strCache>
                  </c:strRef>
                </c:cat>
                <c:val>
                  <c:numRef>
                    <c:extLst>
                      <c:ext uri="{02D57815-91ED-43cb-92C2-25804820EDAC}">
                        <c15:formulaRef>
                          <c15:sqref>Sheet1!#REF!</c15:sqref>
                        </c15:formulaRef>
                      </c:ext>
                    </c:extLst>
                    <c:numCache>
                      <c:formatCode>General</c:formatCode>
                      <c:ptCount val="1"/>
                      <c:pt idx="0">
                        <c:v>1</c:v>
                      </c:pt>
                    </c:numCache>
                  </c:numRef>
                </c:val>
              </c15:ser>
            </c15:filteredBarSeries>
            <c15:filteredBarSeries>
              <c15:ser>
                <c:idx val="2"/>
                <c:order val="2"/>
                <c:tx>
                  <c:strRef>
                    <c:extLst>
                      <c:ext uri="{02D57815-91ED-43cb-92C2-25804820EDAC}">
                        <c15:formulaRef>
                          <c15:sqref>Sheet1!#REF!</c15:sqref>
                        </c15:formulaRef>
                      </c:ext>
                    </c:extLst>
                    <c:strCache>
                      <c:ptCount val="1"/>
                      <c:pt idx="0">
                        <c:v/>
                      </c:pt>
                    </c:strCache>
                  </c:strRef>
                </c:tx>
                <c:spPr>
                  <a:solidFill>
                    <a:srgbClr val="4D4F57"/>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616161"/>
                          </a:solidFill>
                          <a:latin typeface="汉仪旗黑-55简" panose="00020600040101010101" charset="-128"/>
                          <a:ea typeface="汉仪旗黑-55简" panose="00020600040101010101" charset="-128"/>
                          <a:cs typeface="汉仪旗黑-55简" panose="00020600040101010101" charset="-128"/>
                          <a:sym typeface="汉仪旗黑-55简" panose="00020600040101010101" charset="-128"/>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ullRef>
                          <c15:sqref/>
                        </c15:fullRef>
                        <c15:formulaRef>
                          <c15:sqref>Sheet1!$A$2:$A$4</c15:sqref>
                        </c15:formulaRef>
                      </c:ext>
                    </c:extLst>
                    <c:strCache>
                      <c:ptCount val="3"/>
                      <c:pt idx="0">
                        <c:v>建构筑物区</c:v>
                      </c:pt>
                      <c:pt idx="1">
                        <c:v>道路及硬化区</c:v>
                      </c:pt>
                      <c:pt idx="2">
                        <c:v>绿化区</c:v>
                      </c:pt>
                    </c:strCache>
                  </c:strRef>
                </c:cat>
                <c:val>
                  <c:numRef>
                    <c:extLst>
                      <c:ext uri="{02D57815-91ED-43cb-92C2-25804820EDAC}">
                        <c15:formulaRef>
                          <c15:sqref>Sheet1!#REF!</c15:sqref>
                        </c15:formulaRef>
                      </c:ext>
                    </c:extLst>
                    <c:numCache>
                      <c:formatCode>General</c:formatCode>
                      <c:ptCount val="1"/>
                      <c:pt idx="0">
                        <c:v>1</c:v>
                      </c:pt>
                    </c:numCache>
                  </c:numRef>
                </c:val>
              </c15:ser>
            </c15:filteredBarSeries>
          </c:ext>
        </c:extLst>
      </c:barChart>
      <c:catAx>
        <c:axId val="677883074"/>
        <c:scaling>
          <c:orientation val="minMax"/>
        </c:scaling>
        <c:delete val="0"/>
        <c:axPos val="b"/>
        <c:numFmt formatCode="General" sourceLinked="1"/>
        <c:majorTickMark val="out"/>
        <c:minorTickMark val="none"/>
        <c:tickLblPos val="nextTo"/>
        <c:spPr>
          <a:noFill/>
          <a:ln w="9525" cap="flat" cmpd="sng" algn="ctr">
            <a:solidFill>
              <a:sysClr val="window" lastClr="FFFFFF">
                <a:lumMod val="65000"/>
              </a:sysClr>
            </a:solidFill>
            <a:round/>
          </a:ln>
          <a:effectLst/>
        </c:spPr>
        <c:txPr>
          <a:bodyPr rot="-60000000" spcFirstLastPara="0" vertOverflow="ellipsis" vert="horz" wrap="square" anchor="ctr" anchorCtr="1" forceAA="0"/>
          <a:lstStyle/>
          <a:p>
            <a:pPr>
              <a:defRPr lang="zh-CN" sz="900" b="0" i="0" u="none" strike="noStrike" kern="1200" cap="none" spc="0" normalizeH="0" baseline="0">
                <a:solidFill>
                  <a:schemeClr val="bg1">
                    <a:lumMod val="65000"/>
                  </a:schemeClr>
                </a:solidFill>
                <a:uFill>
                  <a:solidFill>
                    <a:schemeClr val="tx1">
                      <a:lumMod val="65000"/>
                      <a:lumOff val="35000"/>
                    </a:schemeClr>
                  </a:solidFill>
                </a:uFill>
                <a:latin typeface="汉仪旗黑-55简" panose="00020600040101010101" charset="-128"/>
                <a:ea typeface="汉仪旗黑-55简" panose="00020600040101010101" charset="-128"/>
                <a:cs typeface="汉仪旗黑-55简" panose="00020600040101010101" charset="-128"/>
                <a:sym typeface="汉仪旗黑-55简" panose="00020600040101010101" charset="-128"/>
              </a:defRPr>
            </a:pPr>
          </a:p>
        </c:txPr>
        <c:crossAx val="959833540"/>
        <c:crosses val="autoZero"/>
        <c:auto val="1"/>
        <c:lblAlgn val="ctr"/>
        <c:lblOffset val="100"/>
        <c:noMultiLvlLbl val="0"/>
      </c:catAx>
      <c:valAx>
        <c:axId val="959833540"/>
        <c:scaling>
          <c:orientation val="minMax"/>
        </c:scaling>
        <c:delete val="0"/>
        <c:axPos val="l"/>
        <c:majorGridlines>
          <c:spPr>
            <a:ln w="12700" cap="flat" cmpd="sng" algn="ctr">
              <a:solidFill>
                <a:sysClr val="window" lastClr="FFFFFF">
                  <a:lumMod val="50000"/>
                  <a:alpha val="9000"/>
                </a:sysClr>
              </a:solidFill>
              <a:prstDash val="solid"/>
              <a:round/>
            </a:ln>
            <a:effectLst/>
          </c:spPr>
        </c:majorGridlines>
        <c:title>
          <c:tx>
            <c:rich>
              <a:bodyPr rot="-5400000" spcFirstLastPara="0" vertOverflow="ellipsis" vert="horz" wrap="square" anchor="ctr" anchorCtr="1"/>
              <a:lstStyle/>
              <a:p>
                <a:pPr defTabSz="914400">
                  <a:defRPr lang="zh-CN" sz="1000" b="0" i="0" u="none" strike="noStrike" kern="1200" baseline="0">
                    <a:solidFill>
                      <a:srgbClr val="616161"/>
                    </a:solidFill>
                    <a:latin typeface="汉仪旗黑-55简" panose="00020600040101010101" charset="-128"/>
                    <a:ea typeface="汉仪旗黑-55简" panose="00020600040101010101" charset="-128"/>
                    <a:cs typeface="汉仪旗黑-55简" panose="00020600040101010101" charset="-128"/>
                    <a:sym typeface="汉仪旗黑-55简" panose="00020600040101010101" charset="-128"/>
                  </a:defRPr>
                </a:pPr>
                <a:r>
                  <a:t>新增土壤流失量（</a:t>
                </a:r>
                <a:r>
                  <a:rPr lang="en-US" altLang="zh-CN"/>
                  <a:t>t</a:t>
                </a:r>
                <a:r>
                  <a:t>）</a:t>
                </a:r>
              </a:p>
            </c:rich>
          </c:tx>
          <c:layout/>
          <c:overlay val="0"/>
          <c:spPr>
            <a:noFill/>
            <a:ln>
              <a:noFill/>
            </a:ln>
            <a:effectLst/>
          </c:spPr>
        </c:title>
        <c:numFmt formatCode="0.00_ " sourceLinked="1"/>
        <c:majorTickMark val="out"/>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bg1">
                    <a:lumMod val="65000"/>
                  </a:schemeClr>
                </a:solidFill>
                <a:latin typeface="汉仪旗黑-55简" panose="00020600040101010101" charset="-128"/>
                <a:ea typeface="汉仪旗黑-55简" panose="00020600040101010101" charset="-128"/>
                <a:cs typeface="汉仪旗黑-55简" panose="00020600040101010101" charset="-128"/>
                <a:sym typeface="汉仪旗黑-55简" panose="00020600040101010101" charset="-128"/>
              </a:defRPr>
            </a:pPr>
          </a:p>
        </c:txPr>
        <c:crossAx val="677883074"/>
        <c:crosses val="autoZero"/>
        <c:crossBetween val="between"/>
      </c:valAx>
      <c:spPr>
        <a:noFill/>
        <a:ln>
          <a:noFill/>
        </a:ln>
        <a:effectLst/>
      </c:spPr>
    </c:plotArea>
    <c:plotVisOnly val="1"/>
    <c:dispBlanksAs val="gap"/>
    <c:showDLblsOverMax val="0"/>
  </c:chart>
  <c:spPr>
    <a:solidFill>
      <a:srgbClr val="FDFFFF"/>
    </a:solidFill>
    <a:ln w="12700" cap="flat" cmpd="sng" algn="ctr">
      <a:noFill/>
      <a:round/>
    </a:ln>
    <a:effectLst/>
  </c:spPr>
  <c:txPr>
    <a:bodyPr/>
    <a:lstStyle/>
    <a:p>
      <a:pPr>
        <a:defRPr lang="zh-CN">
          <a:solidFill>
            <a:srgbClr val="616161"/>
          </a:solidFill>
          <a:latin typeface="汉仪旗黑-55简" panose="00020600040101010101" charset="-128"/>
          <a:ea typeface="汉仪旗黑-55简" panose="00020600040101010101" charset="-128"/>
          <a:cs typeface="汉仪旗黑-55简" panose="00020600040101010101" charset="-128"/>
          <a:sym typeface="汉仪旗黑-55简" panose="00020600040101010101" charset="-128"/>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effectLst/>
      </c:spPr>
    </c:floor>
    <c:sideWall>
      <c:thickness val="0"/>
      <c:spPr>
        <a:noFill/>
        <a:effectLst/>
      </c:spPr>
    </c:sideWall>
    <c:backWall>
      <c:thickness val="0"/>
      <c:spPr>
        <a:noFill/>
        <a:effectLst/>
      </c:spPr>
    </c:backWall>
    <c:plotArea>
      <c:layout/>
      <c:pie3DChart>
        <c:varyColors val="1"/>
        <c:ser>
          <c:idx val="0"/>
          <c:order val="0"/>
          <c:tx>
            <c:strRef>
              <c:f>Sheet1!$B$1</c:f>
              <c:strCache>
                <c:ptCount val="1"/>
                <c:pt idx="0">
                  <c:v>销售额</c:v>
                </c:pt>
              </c:strCache>
            </c:strRef>
          </c:tx>
          <c:spPr>
            <a:scene3d>
              <a:camera prst="orthographicFront"/>
              <a:lightRig rig="threePt" dir="t"/>
            </a:scene3d>
            <a:sp3d contourW="25400"/>
          </c:spPr>
          <c:explosion val="0"/>
          <c:dPt>
            <c:idx val="0"/>
            <c:bubble3D val="0"/>
            <c:spPr>
              <a:solidFill>
                <a:schemeClr val="accent1"/>
              </a:solidFill>
              <a:ln w="25400">
                <a:solidFill>
                  <a:schemeClr val="lt1"/>
                </a:solidFill>
              </a:ln>
              <a:effectLst/>
              <a:scene3d>
                <a:camera prst="orthographicFront"/>
                <a:lightRig rig="threePt" dir="t"/>
              </a:scene3d>
              <a:sp3d contourW="25400"/>
            </c:spPr>
          </c:dPt>
          <c:dPt>
            <c:idx val="1"/>
            <c:bubble3D val="0"/>
            <c:spPr>
              <a:solidFill>
                <a:schemeClr val="accent2"/>
              </a:solidFill>
              <a:ln w="25400">
                <a:solidFill>
                  <a:schemeClr val="lt1"/>
                </a:solidFill>
              </a:ln>
              <a:effectLst/>
              <a:scene3d>
                <a:camera prst="orthographicFront"/>
                <a:lightRig rig="threePt" dir="t"/>
              </a:scene3d>
              <a:sp3d contourW="25400"/>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extLst>
                <c:ext xmlns:c15="http://schemas.microsoft.com/office/drawing/2012/chart" uri="{02D57815-91ED-43cb-92C2-25804820EDAC}">
                  <c15:fullRef>
                    <c15:sqref>Sheet1!$A$2:$A$3</c15:sqref>
                  </c15:fullRef>
                </c:ext>
              </c:extLst>
              <c:f>Sheet1!$A$2:$A$3</c:f>
              <c:strCache>
                <c:ptCount val="2"/>
                <c:pt idx="0">
                  <c:v>施工期</c:v>
                </c:pt>
                <c:pt idx="1">
                  <c:v>自然恢复期</c:v>
                </c:pt>
              </c:strCache>
            </c:strRef>
          </c:cat>
          <c:val>
            <c:numRef>
              <c:extLst>
                <c:ext xmlns:c15="http://schemas.microsoft.com/office/drawing/2012/chart" uri="{02D57815-91ED-43cb-92C2-25804820EDAC}">
                  <c15:fullRef>
                    <c15:sqref>Sheet1!$B$2:$B$3</c15:sqref>
                  </c15:fullRef>
                </c:ext>
              </c:extLst>
              <c:f>Sheet1!$B$2:$B$3</c:f>
              <c:numCache>
                <c:formatCode>General</c:formatCode>
                <c:ptCount val="2"/>
                <c:pt idx="0">
                  <c:v>82.09</c:v>
                </c:pt>
                <c:pt idx="1">
                  <c:v>17.91</c:v>
                </c:pt>
              </c:numCache>
            </c:numRef>
          </c:val>
        </c:ser>
        <c:dLbls>
          <c:showLegendKey val="0"/>
          <c:showVal val="1"/>
          <c:showCatName val="0"/>
          <c:showSerName val="0"/>
          <c:showPercent val="0"/>
          <c:showBubbleSize val="0"/>
        </c:dLbls>
      </c:pie3D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96</Pages>
  <Words>46002</Words>
  <Characters>53700</Characters>
  <Lines>438</Lines>
  <Paragraphs>123</Paragraphs>
  <TotalTime>1</TotalTime>
  <ScaleCrop>false</ScaleCrop>
  <LinksUpToDate>false</LinksUpToDate>
  <CharactersWithSpaces>54840</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2021-11-05T13:50:00Z</dcterms:created>
  <dc:creator>lyt</dc:creator>
  <cp:lastModifiedBy>Lily</cp:lastModifiedBy>
  <cp:lastPrinted>2023-01-16T17:27:00Z</cp:lastPrinted>
  <dcterms:modified xsi:type="dcterms:W3CDTF">2023-08-02T04:15:15Z</dcterms:modified>
  <dc:title>00000000</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2DDBB7AFD5204547825DAD14E3777839_13</vt:lpwstr>
  </property>
</Properties>
</file>